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GUARD</w:t>
      </w:r>
    </w:p>
    <w:p>
      <w:pPr>
        <w:pStyle w:val="Title"/>
      </w:pPr>
      <w:r>
        <w:t>Подсистема аудита Guard</w:t>
      </w:r>
    </w:p>
    <w:p>
      <w:pPr>
        <w:pStyle w:val="Subtitle"/>
      </w:pPr>
      <w:r>
        <w:t>Техническое описание</w:t>
      </w:r>
    </w:p>
    <w:p>
      <w:r>
        <w:rPr>
          <w:rFonts w:ascii="Calibri" w:hAnsi="Calibri" w:eastAsia="Calibri" w:cs="Calibri"/>
          <w:b w:val="0"/>
        </w:rPr>
        <w:t>Редакция 1.0   20 октября 2026 года</w:t>
      </w:r>
    </w:p>
    <w:p>
      <w:r>
        <w:rPr>
          <w:rFonts w:ascii="Calibri" w:hAnsi="Calibri" w:eastAsia="Calibri" w:cs="Calibri"/>
          <w:b/>
        </w:rPr>
        <w:t>Назначение документа</w:t>
      </w:r>
    </w:p>
    <w:p>
      <w:r>
        <w:rPr>
          <w:rFonts w:ascii="Calibri" w:hAnsi="Calibri" w:eastAsia="Calibri" w:cs="Calibri"/>
          <w:b w:val="0"/>
        </w:rPr>
        <w:t>Документ описывает действующий механизм аудита и порядок его проверки перед эксплуатацией. Локальная запись обязательна в обоих режимах. При неисправности обычная работа запрещается; Root использует отдельный ограниченный путь диагностики и восстановления.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Сведения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Продукт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Guard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Снимок реализации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codex/logging-reliability от 20 октября 2026 года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Аудитория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Root, сопровождение и ответственные за информационную безопасность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Комплект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Техническое описание, инструкция Root и модель BPMN 2.0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Эксплуатационная приёмка</w:t>
            </w:r>
          </w:p>
        </w:tc>
        <w:tc>
          <w:tcPr>
            <w:tcW w:type="dxa" w:w="725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Реальная RuSIEM, нагрузка и восстановление принимаются отдельно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Оглавление содержит переходы к разделам. Для подробного поиска сценария используйте коды R01–R42 и область навигации Word. Коды P00–P10 относятся к схемам BPMN.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spacing w:after="110"/>
      </w:pPr>
      <w:hyperlink w:anchor="section_1">
        <w:r>
          <w:rPr>
            <w:color w:val="264B59"/>
            <w:sz w:val="20"/>
          </w:rPr>
          <w:t>Назначение и режимы работы  ·  3</w:t>
        </w:r>
      </w:hyperlink>
    </w:p>
    <w:p>
      <w:pPr>
        <w:spacing w:after="110"/>
      </w:pPr>
      <w:hyperlink w:anchor="section_3">
        <w:r>
          <w:rPr>
            <w:color w:val="264B59"/>
            <w:sz w:val="20"/>
          </w:rPr>
          <w:t>Архитектура хранения и транзакций  ·  4</w:t>
        </w:r>
      </w:hyperlink>
    </w:p>
    <w:p>
      <w:pPr>
        <w:spacing w:after="110"/>
      </w:pPr>
      <w:hyperlink w:anchor="section_5">
        <w:r>
          <w:rPr>
            <w:color w:val="264B59"/>
            <w:sz w:val="20"/>
          </w:rPr>
          <w:t>Данные события и правила безопасности  ·  5</w:t>
        </w:r>
      </w:hyperlink>
    </w:p>
    <w:p>
      <w:pPr>
        <w:spacing w:after="110"/>
      </w:pPr>
      <w:hyperlink w:anchor="section_6">
        <w:r>
          <w:rPr>
            <w:color w:val="264B59"/>
            <w:sz w:val="20"/>
          </w:rPr>
          <w:t>Каталог действующих источников событий  ·  6</w:t>
        </w:r>
      </w:hyperlink>
    </w:p>
    <w:p>
      <w:pPr>
        <w:spacing w:after="110"/>
      </w:pPr>
      <w:hyperlink w:anchor="section_8">
        <w:r>
          <w:rPr>
            <w:color w:val="264B59"/>
            <w:sz w:val="20"/>
          </w:rPr>
          <w:t>Вход и жизненный цикл сессии  ·  7</w:t>
        </w:r>
      </w:hyperlink>
    </w:p>
    <w:p>
      <w:pPr>
        <w:spacing w:after="110"/>
      </w:pPr>
      <w:hyperlink w:anchor="section_11">
        <w:r>
          <w:rPr>
            <w:color w:val="264B59"/>
            <w:sz w:val="20"/>
          </w:rPr>
          <w:t>Состояние аудита и запрет работы  ·  8</w:t>
        </w:r>
      </w:hyperlink>
    </w:p>
    <w:p>
      <w:pPr>
        <w:spacing w:after="110"/>
      </w:pPr>
      <w:hyperlink w:anchor="section_12">
        <w:r>
          <w:rPr>
            <w:color w:val="264B59"/>
            <w:sz w:val="20"/>
          </w:rPr>
          <w:t>Очередь и повторная доставка  ·  9</w:t>
        </w:r>
      </w:hyperlink>
    </w:p>
    <w:p>
      <w:pPr>
        <w:spacing w:after="110"/>
      </w:pPr>
      <w:hyperlink w:anchor="section_13">
        <w:r>
          <w:rPr>
            <w:color w:val="264B59"/>
            <w:sz w:val="20"/>
          </w:rPr>
          <w:t>Транспорт TLS и формат CEF  ·  10</w:t>
        </w:r>
      </w:hyperlink>
    </w:p>
    <w:p>
      <w:pPr>
        <w:spacing w:after="110"/>
      </w:pPr>
      <w:hyperlink w:anchor="section_14">
        <w:r>
          <w:rPr>
            <w:color w:val="264B59"/>
            <w:sz w:val="20"/>
          </w:rPr>
          <w:t>Настройки и переходы режимов  ·  11</w:t>
        </w:r>
      </w:hyperlink>
    </w:p>
    <w:p>
      <w:pPr>
        <w:spacing w:after="110"/>
      </w:pPr>
      <w:hyperlink w:anchor="section_15">
        <w:r>
          <w:rPr>
            <w:color w:val="264B59"/>
            <w:sz w:val="20"/>
          </w:rPr>
          <w:t>Срок хранения и очистка  ·  12</w:t>
        </w:r>
      </w:hyperlink>
    </w:p>
    <w:p>
      <w:pPr>
        <w:spacing w:after="110"/>
      </w:pPr>
      <w:hyperlink w:anchor="section_16">
        <w:r>
          <w:rPr>
            <w:color w:val="264B59"/>
            <w:sz w:val="20"/>
          </w:rPr>
          <w:t>Наблюдаемость и интерфейс Root  ·  13</w:t>
        </w:r>
      </w:hyperlink>
    </w:p>
    <w:p>
      <w:pPr>
        <w:spacing w:after="110"/>
      </w:pPr>
      <w:hyperlink w:anchor="section_17">
        <w:r>
          <w:rPr>
            <w:color w:val="264B59"/>
            <w:sz w:val="20"/>
          </w:rPr>
          <w:t>Экспорт и доказуемые результаты  ·  14</w:t>
        </w:r>
      </w:hyperlink>
    </w:p>
    <w:p>
      <w:pPr>
        <w:spacing w:after="110"/>
      </w:pPr>
      <w:hyperlink w:anchor="section_18">
        <w:r>
          <w:rPr>
            <w:color w:val="264B59"/>
            <w:sz w:val="20"/>
          </w:rPr>
          <w:t>Ограничения текущей реализации  ·  15</w:t>
        </w:r>
      </w:hyperlink>
    </w:p>
    <w:p>
      <w:pPr>
        <w:spacing w:after="110"/>
      </w:pPr>
      <w:hyperlink w:anchor="section_19">
        <w:r>
          <w:rPr>
            <w:color w:val="264B59"/>
            <w:sz w:val="20"/>
          </w:rPr>
          <w:t>Выпуск и эксплуатационная приёмка  ·  16</w:t>
        </w:r>
      </w:hyperlink>
    </w:p>
    <w:p>
      <w:pPr>
        <w:spacing w:after="110"/>
      </w:pPr>
      <w:hyperlink w:anchor="section_20">
        <w:r>
          <w:rPr>
            <w:color w:val="264B59"/>
            <w:sz w:val="20"/>
          </w:rPr>
          <w:t>Навигация по модели и исходникам  ·  17</w:t>
        </w:r>
      </w:hyperlink>
    </w:p>
    <w:p>
      <w:pPr>
        <w:spacing w:after="110"/>
      </w:pPr>
      <w:hyperlink w:anchor="section_22">
        <w:r>
          <w:rPr>
            <w:color w:val="264B59"/>
            <w:sz w:val="20"/>
          </w:rPr>
          <w:t>Справочник событий 1 12  ·  18</w:t>
        </w:r>
      </w:hyperlink>
    </w:p>
    <w:p>
      <w:pPr>
        <w:spacing w:after="110"/>
      </w:pPr>
      <w:hyperlink w:anchor="section_23">
        <w:r>
          <w:rPr>
            <w:color w:val="264B59"/>
            <w:sz w:val="20"/>
          </w:rPr>
          <w:t>Справочник событий 13 24  ·  19</w:t>
        </w:r>
      </w:hyperlink>
    </w:p>
    <w:p>
      <w:pPr>
        <w:spacing w:after="110"/>
      </w:pPr>
      <w:hyperlink w:anchor="section_24">
        <w:r>
          <w:rPr>
            <w:color w:val="264B59"/>
            <w:sz w:val="20"/>
          </w:rPr>
          <w:t>Справочник событий 25 36  ·  20</w:t>
        </w:r>
      </w:hyperlink>
    </w:p>
    <w:p>
      <w:pPr>
        <w:spacing w:after="110"/>
      </w:pPr>
      <w:hyperlink w:anchor="section_25">
        <w:r>
          <w:rPr>
            <w:color w:val="264B59"/>
            <w:sz w:val="20"/>
          </w:rPr>
          <w:t>Справочник событий 37 46  ·  21</w:t>
        </w:r>
      </w:hyperlink>
    </w:p>
    <w:p>
      <w:pPr>
        <w:spacing w:after="110"/>
      </w:pPr>
      <w:hyperlink w:anchor="section_26">
        <w:r>
          <w:rPr>
            <w:color w:val="264B59"/>
            <w:sz w:val="20"/>
          </w:rPr>
          <w:t>Термины и проверка результата  ·  22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Назначение и режимы работы</w:t>
      </w:r>
      <w:bookmarkEnd w:id="1"/>
    </w:p>
    <w:p>
      <w:r>
        <w:rPr>
          <w:rFonts w:ascii="Calibri" w:hAnsi="Calibri" w:eastAsia="Calibri" w:cs="Calibri"/>
          <w:b w:val="0"/>
        </w:rPr>
        <w:t>Аудит Guard сохраняет значимые события безопасности и жизненного цикла экспорта в основной PostgreSQL БД. Локальная запись обязательна в обоих режимах. Успешная запись в технический лог или резервный файл не заменяет сохранение обязательного события.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Условие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Локальный режим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Режим RuSIEM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События в основной БД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Обязательно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Новые события для SIEM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Обязательство не создаётся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Создаётся обязательство доставки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Старая обязательная очередь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Сохраняется и приостановлена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Возобновляется с исходным возрастом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Отказ локальной записи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Рабочие операции запрещены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Рабочие операции запрещены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Сетевая недоступность SIEM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 влияет на допуск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Допустима до превышения очереди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Срок хранения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Общий срок 1–30 календарных лет</w:t>
            </w:r>
          </w:p>
        </w:tc>
        <w:tc>
          <w:tcPr>
            <w:tcW w:type="dxa" w:w="321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Тот же срок; pending сохраняются до доставки</w:t>
            </w:r>
          </w:p>
        </w:tc>
      </w:tr>
    </w:tbl>
    <w:p>
      <w:pPr>
        <w:spacing w:after="20"/>
      </w:pPr>
    </w:p>
    <w:p>
      <w:bookmarkStart w:id="2" w:name="section_2"/>
      <w:pPr>
        <w:pStyle w:val="Heading2"/>
      </w:pPr>
      <w:r>
        <w:t>Границы обязательного аудита</w:t>
      </w:r>
      <w:bookmarkEnd w:id="2"/>
    </w:p>
    <w:p>
      <w:r>
        <w:rPr>
          <w:rFonts w:ascii="Calibri" w:hAnsi="Calibri" w:eastAsia="Calibri" w:cs="Calibri"/>
          <w:b w:val="0"/>
        </w:rPr>
        <w:t>Покрываются результаты входа, выхода и отзыва сессии, управление аккаунтами, паролями, ролями и IP, изменения политик, синхронизация, экспорт и управление самим аудитом. Обычные просмотры, поиск, чтение метаданных и предварительный просмотр архива самостоятельных событий не создают.</w:t>
      </w:r>
    </w:p>
    <w:p>
      <w:r>
        <w:rPr>
          <w:rFonts w:ascii="Calibri" w:hAnsi="Calibri" w:eastAsia="Calibri" w:cs="Calibri"/>
          <w:b w:val="0"/>
        </w:rPr>
        <w:t>Root выбирает режим и параметры. Переход в локальный режим выключает доставку новых событий, но сохраняет обязательность локальной записи и прежнюю очередь. Общего разрешения обходить неисправный аудит у Root нет.</w:t>
      </w:r>
    </w:p>
    <w:p>
      <w:r>
        <w:rPr>
          <w:rFonts w:ascii="Calibri" w:hAnsi="Calibri" w:eastAsia="Calibri" w:cs="Calibri"/>
          <w:b/>
        </w:rPr>
        <w:t>При первом запуске Configured=false. До явного сохранения режима обычная работа закрыта. Не следует заменять этот порядок прямым изменением таблицы настроек.</w:t>
      </w:r>
    </w:p>
    <w:p>
      <w:r>
        <w:rPr>
          <w:rFonts w:ascii="Calibri" w:hAnsi="Calibri" w:eastAsia="Calibri" w:cs="Calibri"/>
          <w:b w:val="0"/>
        </w:rPr>
        <w:t>BPMN P00 показывает выбор процесса. P01–P10 раскрывают основные сценарии; процессы доставки и очистки независимы от обычной пользовательской операции.</w:t>
      </w:r>
    </w:p>
    <w:p>
      <w:r>
        <w:br w:type="page"/>
      </w:r>
    </w:p>
    <w:p>
      <w:bookmarkStart w:id="3" w:name="section_3"/>
      <w:pPr>
        <w:pStyle w:val="Heading1"/>
      </w:pPr>
      <w:r>
        <w:t>Архитектура хранения и транзакций</w:t>
      </w:r>
      <w:bookmarkEnd w:id="3"/>
    </w:p>
    <w:p>
      <w:r>
        <w:rPr>
          <w:rFonts w:ascii="Calibri" w:hAnsi="Calibri" w:eastAsia="Calibri" w:cs="Calibri"/>
          <w:b w:val="0"/>
        </w:rPr>
        <w:t>Web формирует доверенный контекст операции, прикладной сервис проверяет доступ и организует действие, Infrastructure обеспечивает запись. Для событий безопасности используется IAuditService, для технической диагностики — ILogger и отдельный канал Serilog.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AuditOperationContext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Инициатор, вид инициатора, доверенный IP и correlation в HTTP или Blazor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AuditPersistence и AuditTransaction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Обязательное событие в транзакции изменения; перехват SaveChanges и явные транзакционные пути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AuditJournal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Нормализация, контроль конфигурации и очереди, вставка, проба работоспособности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AuditDeliveryProcessor и SyslogAuditTransport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Аренда pending, история попыток, TLS Syslog CEF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AuditWorker и LogRetention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Независимые циклы доставки, состояния и очистки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AuditAdministrationService и AuditSearchService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Актуальная проверка Root, настройки, диагностика и поиск</w:t>
            </w:r>
          </w:p>
        </w:tc>
      </w:tr>
    </w:tbl>
    <w:p>
      <w:pPr>
        <w:spacing w:after="20"/>
      </w:pPr>
    </w:p>
    <w:p>
      <w:bookmarkStart w:id="4" w:name="section_4"/>
      <w:pPr>
        <w:pStyle w:val="Heading2"/>
      </w:pPr>
      <w:r>
        <w:t>Составной результат изменения</w:t>
      </w:r>
      <w:bookmarkEnd w:id="4"/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Начать транзакцию основной БД и выполнить необходимые изменения.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Перепроверить обязательный аудит и ограничения с учётом новых событий под общим QueueLock.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Вставить события в ту же транзакцию. Ошибка до подтверждённого commit приводит к откату собственной транзакции.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Вернуть подтверждённый успех только после общего commit. Сеть SIEM в эту транзакцию не входит.</w:t>
      </w:r>
    </w:p>
    <w:p>
      <w:r>
        <w:rPr>
          <w:rFonts w:ascii="Calibri" w:hAnsi="Calibri" w:eastAsia="Calibri" w:cs="Calibri"/>
          <w:b w:val="0"/>
        </w:rPr>
        <w:t>Если подтверждение commit потеряно, возникает OperationCommitUnknownException. Изменение и событие могли уже сохраниться. Читатель должен проверить фактическое состояние до повторения; сообщать о доказанном откате нельзя.</w:t>
      </w:r>
    </w:p>
    <w:p>
      <w:r>
        <w:rPr>
          <w:rFonts w:ascii="Calibri" w:hAnsi="Calibri" w:eastAsia="Calibri" w:cs="Calibri"/>
          <w:b w:val="0"/>
        </w:rPr>
        <w:t>Прямые SQL и ExecuteUpdate не создают историю автоматически. Производственные операции используют явное транзакционное событие. Инициализация и техническое обслуживание имеют специальные внутренние пути; они не предоставляют пользователю обход проверки. Подробность показана в P02.</w:t>
      </w:r>
    </w:p>
    <w:p>
      <w:r>
        <w:br w:type="page"/>
      </w:r>
    </w:p>
    <w:p>
      <w:bookmarkStart w:id="5" w:name="section_5"/>
      <w:pPr>
        <w:pStyle w:val="Heading1"/>
      </w:pPr>
      <w:r>
        <w:t>Данные события и правила безопасности</w:t>
      </w:r>
      <w:bookmarkEnd w:id="5"/>
    </w:p>
    <w:p>
      <w:r>
        <w:rPr>
          <w:rFonts w:ascii="Calibri" w:hAnsi="Calibri" w:eastAsia="Calibri" w:cs="Calibri"/>
          <w:b w:val="0"/>
        </w:rPr>
        <w:t>Инициатор действия, затронутый аккаунт и введённый при входе email — разные сведения. Неизвестные значения сохраняются как отсутствующие; имя неизвестного аккаунта не считается подтверждённым UserId.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Смысл и ограничение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EventId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GUID события; сохраняется при повторной доставке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OccurredAtUtc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UTC время возникновения; основа срока хранения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SchemaVersion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Версия схемы записи; новые записи используют 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EventType и Outcome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Стабильный тип и отдельный фактический результат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Actor и ActorKind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Инициатор до 256 символов; user, system или anonymous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ObjectType и ObjectId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Тип и идентификатор объекта до 64 и 128 символов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AttemptedAccount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Введённое имя аккаунта до 256 символов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ReasonCode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Машиночитаемая причина до 128 символов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ClientIp и CorrelationId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Адрес до 64; идентификатор операции до 128 символов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Details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Безопасные подробности до 16384 символов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DeliveryRequired и QueuedAtUtc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Обязательство доставки и доверенное время постановки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PayloadBytes и DestinationVersion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Размер сериализованных данных UTF-8 и версия назначения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Attempts и NextAttemptAtUtc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Число попыток и срок следующей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SentAtUtc и LastError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Завершённая TLS запись и последняя ошибка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При усечении строк добавляется короткий SHA-256 отпечаток исходного значения. Нулевой символ экранируется. CEF отдельно экранирует обратную косую черту, знак равенства и переводы строк.</w:t>
      </w:r>
    </w:p>
    <w:p>
      <w:r>
        <w:rPr>
          <w:rFonts w:ascii="Calibri" w:hAnsi="Calibri" w:eastAsia="Calibri" w:cs="Calibri"/>
          <w:b/>
        </w:rPr>
        <w:t>Пароли, токены, приватные ключи и значения хешей в события не включаются. Для чувствительных полей Identity допускается имя изменённого поля; значения до и после сохраняются только по разрешённому набору.</w:t>
      </w:r>
    </w:p>
    <w:p>
      <w:r>
        <w:rPr>
          <w:rFonts w:ascii="Calibri" w:hAnsi="Calibri" w:eastAsia="Calibri" w:cs="Calibri"/>
          <w:b w:val="0"/>
        </w:rPr>
        <w:t>Изменения безопасности и предметных сущностей могут дать несколько связанных событий. Это не означает несколько попыток входа. Сопоставляйте EventId, CorrelationId, тип, объект и результат.</w:t>
      </w:r>
    </w:p>
    <w:p>
      <w:r>
        <w:br w:type="page"/>
      </w:r>
    </w:p>
    <w:p>
      <w:bookmarkStart w:id="6" w:name="section_6"/>
      <w:pPr>
        <w:pStyle w:val="Heading1"/>
      </w:pPr>
      <w:r>
        <w:t>Каталог действующих источников событий</w:t>
      </w:r>
      <w:bookmarkEnd w:id="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Формирование и ожидаемые данные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Вход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LocalAccountService и SignInManager; итог, причина, введённый аккаунт, объект пользователя при наличии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Аккаунт и пароль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PolicyUserManager, OwnPasswordService, административные операции и AuditPersistence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Роли и permissions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RoleAccessService и транзакционный аудит Identity; изменения разрешённых значений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IP и предметные связи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IP операции и EntityChangeAudit; идентификаторы, связи, адреса и статусы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Политики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AccountPolicyService и worker; настройки до и после, системное срабатывание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Синхронизация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Настройки и итог операции; построчная история импорта не создаётся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Экспорт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Запрос, начало, готовность, передача, результат, отмена, ошибка, восстановление и истечение срока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Сам аудит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Настройки, пробная отправка, переход состояния и пакетные итоги очистки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Полный справочник числовых значений enum приведён в приложении. Наличие имени в enum не означает доступность соответствующей функции. TwoFactorEnabled, TwoFactorDisabled, PasskeyRegistered, PasskeyRemoved, ExternalLoginAdded и ExternalLoginRemoved остаются совместимыми значениями; этот документ не обещает работу таких способов входа.</w:t>
      </w:r>
    </w:p>
    <w:p>
      <w:bookmarkStart w:id="7" w:name="section_7"/>
      <w:pPr>
        <w:pStyle w:val="Heading2"/>
      </w:pPr>
      <w:r>
        <w:t>Результаты и причины</w:t>
      </w:r>
      <w:bookmarkEnd w:id="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Значение Outcome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Чтение результата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success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Действие подтверждено в своей заявленной границе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failure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Ошибка; подробность в ReasonCode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denied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Отказ по допуску или ограничению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started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Действие или попытка начаты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cancelled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Отменено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unknown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Результат не подтверждён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Успех доставки означает границу TLS записи, успех формирования экспорта — готовность артефакта, успех изменения — подтверждённый commit. Эти результаты нельзя считать взаимозаменяемыми. Экспорт просмотров журнала аудита отдельной кнопкой в текущем интерфейсе не реализован.</w:t>
      </w:r>
    </w:p>
    <w:p>
      <w:r>
        <w:br w:type="page"/>
      </w:r>
    </w:p>
    <w:p>
      <w:bookmarkStart w:id="8" w:name="section_8"/>
      <w:pPr>
        <w:pStyle w:val="Heading1"/>
      </w:pPr>
      <w:r>
        <w:t>Вход и жизненный цикл сессии</w:t>
      </w:r>
      <w:bookmarkEnd w:id="8"/>
    </w:p>
    <w:p>
      <w:bookmarkStart w:id="9" w:name="section_9"/>
      <w:pPr>
        <w:pStyle w:val="Heading2"/>
      </w:pPr>
      <w:r>
        <w:t>Обычный вход</w:t>
      </w:r>
      <w:bookmarkEnd w:id="9"/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HTTP ограничивает попытки входа: 5 запросов на IP за фиксированную минуту без очереди. Некорректная форма отклоняется с попыткой записи InvalidInput.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При исправном аудите проверяются аккаунт, локальный пароль, политика, блокировки и IP. Root освобождён от IP проверки. Для обычного пользователя отсутствие активных разрешённых IP запрещает вход.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При включённой 2FA локальная форма не выдаёт основную или промежуточную cookie; правильный пароль завершается UnsupportedTwoFactor.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LoginSuccess обязательно сохраняется до обычной cookie. После этого обновляется активность и применяется безопасный локальный ReturnUrl.</w:t>
      </w:r>
    </w:p>
    <w:p>
      <w:bookmarkStart w:id="10" w:name="section_10"/>
      <w:pPr>
        <w:pStyle w:val="Heading2"/>
      </w:pPr>
      <w:r>
        <w:t>Ограниченный вход Root</w:t>
      </w:r>
      <w:bookmarkEnd w:id="10"/>
    </w:p>
    <w:p>
      <w:r>
        <w:rPr>
          <w:rFonts w:ascii="Calibri" w:hAnsi="Calibri" w:eastAsia="Calibri" w:cs="Calibri"/>
          <w:b w:val="0"/>
        </w:rPr>
        <w:t>Если аудит не допускает обычный вход, отдельная ветка проверяет через доступную Identity БД фактическую роль Root, существующий hash пароля, блокировки и отсутствие 2FA. Есть отдельный процессный лимит 5 обращений на доверенный IP за минуту. Выдаётся непостоянная cookie на 15 минут, без продления, с признаком recovery only.</w:t>
      </w:r>
    </w:p>
    <w:p>
      <w:r>
        <w:rPr>
          <w:rFonts w:ascii="Calibri" w:hAnsi="Calibri" w:eastAsia="Calibri" w:cs="Calibri"/>
          <w:b w:val="0"/>
        </w:rPr>
        <w:t>Неверная попытка в этой ветке не увеличивает счётчик ошибок Identity и не создаёт отдельный LoginFailed внутри RecoveryAsync. Основная защита частоты — лимитеры. Ошибка локальной записи события RecoverySignIn допускается как исключение для входа в восстановление.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После восстановления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Обычная сессия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Снова проходит последующие серверные проверки при действительных правах stamp и политике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Recovery only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Остаётся ограниченной; нужен выход и обычный вход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Снята роль Root или изменён stamp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Диагностика и настройки запрещаются по актуальным данным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Входящий вызов Blazor перепроверяет доступ. Отдельная проверка пользователя и stamp выполняется раз в минуту. Периодического IP отзыва уже открытого соединения нет. Точная обычная продолжительность cookie в документации не фиксируется: её нельзя смешивать с 15 минутами восстановления. См. P01 и P06.</w:t>
      </w:r>
    </w:p>
    <w:p>
      <w:r>
        <w:br w:type="page"/>
      </w:r>
    </w:p>
    <w:p>
      <w:bookmarkStart w:id="11" w:name="section_11"/>
      <w:pPr>
        <w:pStyle w:val="Heading1"/>
      </w:pPr>
      <w:r>
        <w:t>Состояние аудита и запрет работы</w:t>
      </w:r>
      <w:bookmarkEnd w:id="11"/>
    </w:p>
    <w:p>
      <w:r>
        <w:rPr>
          <w:rFonts w:ascii="Calibri" w:hAnsi="Calibri" w:eastAsia="Calibri" w:cs="Calibri"/>
          <w:b w:val="0"/>
        </w:rPr>
        <w:t>Проверка доступности выполняет UPDATE строки настроек, INSERT и DELETE пробы и общий commit. Так выявляется и отложенный отказ фиксации. Проба не остаётся событием просмотра. Штатные состояния недоступности возвращаются без исключения при диагностическом опросе; защищённая операция получает отказ.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Смысл и действие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Ready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Локальная запись исправна; в SIEM режиме действующие пределы соблюдены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NotConfigured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Root ещё не подтвердил режим; нужен первый запуск по инструкции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InvalidConfiguration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Режим или обязательные параметры некорректны; Root проверяет настройки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StorageUnavailable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Подтверждённая проверка локальной записи невозможна; обычная работа закрыта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QueueAgeExceeded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Превышен возраст старейшего pending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QueueVolumeExceeded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Превышен объём или дополнительное количество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ServiceReserveExceeded</w:t>
            </w:r>
          </w:p>
        </w:tc>
        <w:tc>
          <w:tcPr>
            <w:tcW w:type="dxa" w:w="65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Отказ отдельной служебной вставки из-за резерва; не основной код общей проверки состояния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Запрет охватывает чтение, запись, экспорт, новые фоновые рабочие задания и действия старого circuit. Чтение повторно проверяет допуск перед возвратом; длительная передача проверяется в точках чтения. Уже показанные данные и переданные байты отозвать нельзя.</w:t>
      </w:r>
    </w:p>
    <w:p>
      <w:r>
        <w:rPr>
          <w:rFonts w:ascii="Calibri" w:hAnsi="Calibri" w:eastAsia="Calibri" w:cs="Calibri"/>
          <w:b w:val="0"/>
        </w:rPr>
        <w:t>Выход, доставка, вычисление состояния и предусмотренное обслуживание продолжаются в доступных инфраструктурных границах. Диагностика Root требует актуального подтверждения Identity. Изменение настроек требует исправной локальной записи; оно не разрешается только на основании recovery cookie.</w:t>
      </w:r>
    </w:p>
    <w:p>
      <w:r>
        <w:rPr>
          <w:rFonts w:ascii="Calibri" w:hAnsi="Calibri" w:eastAsia="Calibri" w:cs="Calibri"/>
          <w:b/>
        </w:rPr>
        <w:t>Показатели времени и счётчики процесса не являются долговечным мониторингом. Последнее успешное состояние не даёт разрешения игнорировать последующий отказ. При StorageUnavailable нули очереди означают неизвестность, а не доказанное отсутствие pending. См. P03.</w:t>
      </w:r>
    </w:p>
    <w:p>
      <w:r>
        <w:br w:type="page"/>
      </w:r>
    </w:p>
    <w:p>
      <w:bookmarkStart w:id="12" w:name="section_12"/>
      <w:pPr>
        <w:pStyle w:val="Heading1"/>
      </w:pPr>
      <w:r>
        <w:t>Очередь и повторная доставка</w:t>
      </w:r>
      <w:bookmarkEnd w:id="12"/>
    </w:p>
    <w:p>
      <w:r>
        <w:rPr>
          <w:rFonts w:ascii="Calibri" w:hAnsi="Calibri" w:eastAsia="Calibri" w:cs="Calibri"/>
          <w:b w:val="0"/>
        </w:rPr>
        <w:t>Pending — DeliveryRequired=true и SentAtUtc отсутствует. Ограничения считают сумму PayloadBytes сериализованных данных, количество и возраст от QueuedAtUtc. Они не измеряют физический размер таблиц, индексов, WAL, резервных копий или файлов.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Фактическое правило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Возраст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Превышение строго больше заданного времени запрещает работу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Байты и количество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Проверяются с добавляемыми событиями; равенство пределу допустимо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Сериализация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QueueLock предотвращает конкурентное превышение бюджета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Служебный резерв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 дополнительных max 1 МиБ или 1 процента лимита; дополнительно до 1000 событий при пределе количества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Восстановление и очистка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AuditConfigurationChanged и AuditCleanupCompleted имеют специальное исключение по резерву; локальная запись обязательна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Цикл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Каждые 2 секунды, до 25 событий за вызов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Аренда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 минуты; активная аренда мешает смене режима или назначения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Повтор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После первой ошибки примерно 10 секунд, затем рост до 1 часа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История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Попытка хранит адресат начало завершение результат и ошибку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После перезапуска новый обработчик продолжает долговечную очередь. Истёкшая аренда позволяет повторную попытку того же EventId; прежний незавершённый результат считается неизвестным. При получении события перед потерей подтверждения возможен дубликат. Получатель должен учитывать EventId.</w:t>
      </w:r>
    </w:p>
    <w:p>
      <w:r>
        <w:rPr>
          <w:rFonts w:ascii="Calibri" w:hAnsi="Calibri" w:eastAsia="Calibri" w:cs="Calibri"/>
          <w:b w:val="0"/>
        </w:rPr>
        <w:t>Local сохраняет прежние pending и их возраст, но не отправляет их. Переход обратно в SIEM может немедленно вызвать блокировку из-за старой очереди. Новые Local события задним числом обязательными не становятся. P04 описывает отправитель.</w:t>
      </w:r>
    </w:p>
    <w:p>
      <w:r>
        <w:br w:type="page"/>
      </w:r>
    </w:p>
    <w:p>
      <w:bookmarkStart w:id="13" w:name="section_13"/>
      <w:pPr>
        <w:pStyle w:val="Heading1"/>
      </w:pPr>
      <w:r>
        <w:t>Транспорт TLS и формат CEF</w:t>
      </w:r>
      <w:bookmarkEnd w:id="13"/>
    </w:p>
    <w:p>
      <w:r>
        <w:rPr>
          <w:rFonts w:ascii="Calibri" w:hAnsi="Calibri" w:eastAsia="Calibri" w:cs="Calibri"/>
          <w:b w:val="0"/>
        </w:rPr>
        <w:t>Используется Syslog RFC5424 с CEF в UTF-8 и octet counting по RFC6587. Перед сообщением передаётся его длина в байтах и пробел. Таймаут сетевой попытки — 15 секунд. Имена аккаунтов и поля CEF экранируются отдельно от заголовка Syslog.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Поле CEF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externalId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EventId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UTC время события в Unix миллисекундах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suser и src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Actor и ClientIp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outcome и msg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Фактический результат и безопасные подробности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cs1 CorrelationId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Связь событий операции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cs2 ObjectType и cs3 ObjectId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Затронутый объект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cs4 ActorKind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Вид инициатора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cs5 ReasonCode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Причина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cs6 AttemptedAccount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Введённое имя аккаунта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TLS проверяет доверие, имя получателя и срок сертификата. Запрошена онлайн проверка отзыва; её фактическая работа зависит от доступности служб отзыва в целевой сети. Можно использовать системное доверие или публичный PEM сертификат CA. Отключения проверки сертификата нет.</w:t>
      </w:r>
    </w:p>
    <w:p>
      <w:r>
        <w:rPr>
          <w:rFonts w:ascii="Calibri" w:hAnsi="Calibri" w:eastAsia="Calibri" w:cs="Calibri"/>
          <w:b/>
        </w:rPr>
        <w:t>SentAtUtc означает завершённую запись транспортом. Протокол не возвращает приложению подтверждение сохранения или нормализации записи в RuSIEM. Для сквозной приёмки Root находит тестовый EventId на стороне SIEM.</w:t>
      </w:r>
    </w:p>
    <w:p>
      <w:r>
        <w:rPr>
          <w:rFonts w:ascii="Calibri" w:hAnsi="Calibri" w:eastAsia="Calibri" w:cs="Calibri"/>
          <w:b w:val="0"/>
        </w:rPr>
        <w:t>Проверка соединения использует текущие поля формы и не сохраняет конфигурацию. Сначала локально записывается started с исходным EventId, затем выполняется тест и локально фиксируется результат с другим EventId. В RuSIEM ищут исходный идентификатор из сообщения об успешном тесте. См. P08.</w:t>
      </w:r>
    </w:p>
    <w:p>
      <w:r>
        <w:rPr>
          <w:rFonts w:ascii="Calibri" w:hAnsi="Calibri" w:eastAsia="Calibri" w:cs="Calibri"/>
          <w:b w:val="0"/>
        </w:rPr>
        <w:t>Пример назначения для документации: siem.example.test:6514. Это условное значение, а не готовое производственное подключение. Стандарты транспорта и CEF перечислены в источниках; совместимость парсера конкретной RuSIEM принимается отдельно.</w:t>
      </w:r>
    </w:p>
    <w:p>
      <w:r>
        <w:br w:type="page"/>
      </w:r>
    </w:p>
    <w:p>
      <w:bookmarkStart w:id="14" w:name="section_14"/>
      <w:pPr>
        <w:pStyle w:val="Heading1"/>
      </w:pPr>
      <w:r>
        <w:t>Настройки и переходы режимов</w:t>
      </w:r>
      <w:bookmarkEnd w:id="1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Диапазон и назначение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Режим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Local или Siem; выбор подтверждается сохранением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Срок хранения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1–30 календарных лет; первоначально 1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Сервер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Имя или IP, до 253 символов; без схемы https и пути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Порт TLS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1–65535; первоначально 6514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Возраст очереди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 SIEM от 1 до 525600 минут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Объём очереди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 SIEM не меньше 1024 байт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Количество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0 отключает только дополнительный предел количества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Публичный CA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PEM до 16384 символов; PRIVATE KEY не принимается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Версия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GUID для защиты от конкурентного редактирования</w:t>
            </w:r>
          </w:p>
        </w:tc>
      </w:tr>
    </w:tbl>
    <w:p>
      <w:pPr>
        <w:spacing w:after="20"/>
      </w:pP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Скопировать и проверить входные поля, подтвердить актуального Root.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Начать транзакцию и получить общий security lock и QueueLock. Снова подтвердить Root и версию.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Если host port или CA меняется при pending, потребовать отдельное подтверждение переноса. При смене режима или адресата отклонить сохранение до завершения активной аренды.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новую версию и настройки; при переносе обновить назначение pending. Вставить AuditConfigurationChanged с безопасными Before и After.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Подтвердить общий commit. При потере подтверждения перечитать фактические настройки до повторения.</w:t>
      </w:r>
    </w:p>
    <w:p>
      <w:r>
        <w:rPr>
          <w:rFonts w:ascii="Calibri" w:hAnsi="Calibri" w:eastAsia="Calibri" w:cs="Calibri"/>
          <w:b w:val="0"/>
        </w:rPr>
        <w:t>Переход в Local сохраняет очередь и приостанавливает доставку. Сохранение настроек восстановления допускается при превышенной очереди, если исправна локальная запись. Снижение пределов способно немедленно закрыть обычную работу. См. P05.</w:t>
      </w:r>
    </w:p>
    <w:p>
      <w:r>
        <w:br w:type="page"/>
      </w:r>
    </w:p>
    <w:p>
      <w:bookmarkStart w:id="15" w:name="section_15"/>
      <w:pPr>
        <w:pStyle w:val="Heading1"/>
      </w:pPr>
      <w:r>
        <w:t>Срок хранения и очистка</w:t>
      </w:r>
      <w:bookmarkEnd w:id="15"/>
    </w:p>
    <w:p>
      <w:r>
        <w:rPr>
          <w:rFonts w:ascii="Calibri" w:hAnsi="Calibri" w:eastAsia="Calibri" w:cs="Calibri"/>
          <w:b w:val="0"/>
        </w:rPr>
        <w:t>Cutoff вычисляется как текущий UTC момент минус заданное число календарных лет. Для аудита сравнивается OccurredAtUtc. Старые Local события и обязательные доставленные события могут быть удалены; обязательные неотправленные сохраняются независимо от возраста и текущего режима.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Выполнение и границы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Журнал аудита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 10 пакетов по 1000 старых допустимых записей за цикл; пакетный результат сохраняется в той же транзакции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Техническая БД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 10 пакетов по 10000 строк за цикл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Файлы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Только собственные имена app-fallback startup serilog-internal-errors audit и время файла старше cutoff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Период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Цикл каждые 5 минут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Ошибка этапа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Запоминается и показывается; следующие этапы продолжаются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Нет свежего срока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Используется последний корректный срок в процессе; если его нет, удаление не начинается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Уменьшение срока — разрешение штатной очистке удалить ставшие просроченными допустимые записи. Отдельной корзины журнала нет. При необходимости сохранения истории заранее обеспечивают согласованное резервное копирование.</w:t>
      </w:r>
    </w:p>
    <w:p>
      <w:r>
        <w:rPr>
          <w:rFonts w:ascii="Calibri" w:hAnsi="Calibri" w:eastAsia="Calibri" w:cs="Calibri"/>
          <w:b w:val="0"/>
        </w:rPr>
        <w:t>После доставки старого события дополнительный год от SentAtUtc не начинается. Если OccurredAtUtc уже старше cutoff, запись может попасть в ближайшую очистку. История попыток относится к событию и удаляется по его жизненному циклу.</w:t>
      </w:r>
    </w:p>
    <w:p>
      <w:r>
        <w:rPr>
          <w:rFonts w:ascii="Calibri" w:hAnsi="Calibri" w:eastAsia="Calibri" w:cs="Calibri"/>
          <w:b w:val="0"/>
        </w:rPr>
        <w:t>Срок хранения архива выгрузок управляется отдельно от общего срока журнала. При недоступном аудите worker экспорта приостанавливает восстановление и очистку; просроченные файлы могут временно храниться дольше, но проверки срока и аудита запрещают их выдачу. См. P07 и P10.</w:t>
      </w:r>
    </w:p>
    <w:p>
      <w:r>
        <w:br w:type="page"/>
      </w:r>
    </w:p>
    <w:p>
      <w:bookmarkStart w:id="16" w:name="section_16"/>
      <w:pPr>
        <w:pStyle w:val="Heading1"/>
      </w:pPr>
      <w:r>
        <w:t>Наблюдаемость и интерфейс Root</w:t>
      </w:r>
      <w:bookmarkEnd w:id="1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Маршрут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/audit/settings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Состояние и настройки; доступен актуальному Root в ограниченном восстановлении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/audit/diagnostics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Диагностический журнал через отдельный контракт Root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/audit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Обычный журнал; дополнительно подчиняется общему допуску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/Account/Audit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Стартовая страница после ограниченного входа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/Account/Logout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Форма безопасного выхода с CSRF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Состояние показывает режим, код, время проверки, успешную локальную запись, последний сбой и число сбоев процесса. Очередь показывает количество, байты, старейшее событие, последнюю TLS отправку, цикл отправителя, наблюдаемый срок сертификата и действующие пределы. Очистка имеет собственное время и ошибку.</w:t>
      </w:r>
    </w:p>
    <w:p>
      <w:r>
        <w:rPr>
          <w:rFonts w:ascii="Calibri" w:hAnsi="Calibri" w:eastAsia="Calibri" w:cs="Calibri"/>
          <w:b w:val="0"/>
        </w:rPr>
        <w:t>Страница опрашивает состояние примерно раз в 5 секунд. Показатели экземпляра после рестарта могут отсутствовать или обнулиться. Последний наблюдаемый сертификат не заменяет отдельную проверку текущей конфигурации.</w:t>
      </w:r>
    </w:p>
    <w:p>
      <w:r>
        <w:rPr>
          <w:rFonts w:ascii="Calibri" w:hAnsi="Calibri" w:eastAsia="Calibri" w:cs="Calibri"/>
          <w:b w:val="0"/>
        </w:rPr>
        <w:t>В журнале доступны Все, Локальные, Ожидают, Повтор и Переданы, фильтр с применением снимка, очистка фильтра, сортировка и страницы. Карточка содержит безопасные подробности, причину, correlation и последние 100 попыток. Время списка форматируется в часовой зоне браузера, состояние и карточка явно показывают UTC.</w:t>
      </w:r>
    </w:p>
    <w:p>
      <w:r>
        <w:rPr>
          <w:rFonts w:ascii="Calibri" w:hAnsi="Calibri" w:eastAsia="Calibri" w:cs="Calibri"/>
          <w:b w:val="0"/>
        </w:rPr>
        <w:t>Статус «Отправка не требуется» описывает Local событие; «Ожидает отправки» и «Повторная попытка» относятся к pending; «Отправлено по TLS» имеет транспортную границу. Настройка технического уровня логирования не выключает обязательный аудит.</w:t>
      </w:r>
    </w:p>
    <w:p>
      <w:r>
        <w:rPr>
          <w:rFonts w:ascii="Calibri" w:hAnsi="Calibri" w:eastAsia="Calibri" w:cs="Calibri"/>
          <w:b/>
        </w:rPr>
        <w:t>Нет универсальной функции выгрузки самого журнала аудита из этой страницы. Выгрузки предметных данных являются отдельным модулем и имеют собственный обязательный аудит.</w:t>
      </w:r>
    </w:p>
    <w:p>
      <w:r>
        <w:br w:type="page"/>
      </w:r>
    </w:p>
    <w:p>
      <w:bookmarkStart w:id="17" w:name="section_17"/>
      <w:pPr>
        <w:pStyle w:val="Heading1"/>
      </w:pPr>
      <w:r>
        <w:t>Экспорт и доказуемые результаты</w:t>
      </w:r>
      <w:bookmarkEnd w:id="17"/>
    </w:p>
    <w:p>
      <w:r>
        <w:rPr>
          <w:rFonts w:ascii="Calibri" w:hAnsi="Calibri" w:eastAsia="Calibri" w:cs="Calibri"/>
          <w:b w:val="0"/>
        </w:rPr>
        <w:t>Запрос экспорта проверяет разрешения, область данных и допустимость запроса. Задание и ExportRequested сохраняются атомарно. Worker получает задание только при исправном аудите; начало обработки, Ready и ошибка имеют самостоятельные события.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Сохранить задание и запрос с доверенным автором и IP.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Захватить задание и подтвердить ProcessingStarted.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Сформировать снимок и файл, повторяя проверки допуска.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Сохранить артефакт, параметры результата и ExportArchived.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При выдаче проверить права stamp срок и артефакт, зарегистрировать одноразовую попытку и DeliveryStarted.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6  </w:t>
      </w:r>
      <w:r>
        <w:rPr>
          <w:rFonts w:ascii="Calibri" w:hAnsi="Calibri" w:eastAsia="Calibri" w:cs="Calibri"/>
          <w:sz w:val="22"/>
        </w:rPr>
        <w:t>Передавать файл с контрольными проверками, затем записать фактический результат передачи.</w:t>
      </w:r>
    </w:p>
    <w:p>
      <w:r>
        <w:rPr>
          <w:rFonts w:ascii="Calibri" w:hAnsi="Calibri" w:eastAsia="Calibri" w:cs="Calibri"/>
          <w:b w:val="0"/>
        </w:rPr>
        <w:t>SHA-256, количество строк и размер помогают сопоставить сформированный артефакт. Они не доказывают прочтение или сохранение файла пользователем. При потере подтверждения commit перед повтором проверяют состояние задания и события.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При перезапуске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Processing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Возвращается в Queued с событием восстановления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Delivering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Результат передачи считается неизвестным; задание Failed, незавершённая попытка unknown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Ранее использованная выдача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Повторная выдача не предполагается; создаётся новый экспорт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Истёк срок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 штатной очистке удаляется артефакт и фиксируется ExportExpired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Неподтверждённый исход нельзя заменять успехом или утверждением, что клиент ничего не получил. Уже переданные байты остаются у клиента. P09 и P10 раскрывают обработку и выдачу.</w:t>
      </w:r>
    </w:p>
    <w:p>
      <w:r>
        <w:br w:type="page"/>
      </w:r>
    </w:p>
    <w:p>
      <w:bookmarkStart w:id="18" w:name="section_18"/>
      <w:pPr>
        <w:pStyle w:val="Heading1"/>
      </w:pPr>
      <w:r>
        <w:t>Ограничения текущей реализации</w:t>
      </w:r>
      <w:bookmarkEnd w:id="1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878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Ограничение и эксплуатационное действие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L01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TLS запись не подтверждает сохранение в RuSIEM. Нужен поиск EventId и проверка полей получателем.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L02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Реальная RuSIEM, отзыв сертификатов в целевой сети и нагрузочная ёмкость ещё требуют приёмки.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L03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 недоступной Identity БД клиент со старой authenticated cookie может получить ошибку на /Account/AuditUnavailable из-за следующей IP проверки. Использовать точный /Account/Logout при работающем host; иначе обслуживать сервер.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L04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 OperationCommitUnknownException события Logout sign out уже запрошен, но redirect может не завершиться. Подтвердить удаление cookie и доступ к защищённым страницам.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L05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Recovery ошибка пароля не увеличивает Identity counter и не создаёт отдельный LoginFailed в RecoveryAsync. Лимитеры 5 на IP в минуту работают в процессе.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L06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Аккаунты с включённой 2FA не поддерживаются локальным входом и recovery. Названия событий 2FA и passkey в enum не доказывают доступность функций.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L07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Периодического IP отзыва уже открытого соединения нет; IP проверяется перед cookie и при новом подключении.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L08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SQL журнал не является WORM и не защищён от администратора самой БД. Нужны организационный контроль доступа и резервное копирование.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L09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Бюджет очереди не контролирует физическое место БД. Контроль диска и WAL выполняется отдельно.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L10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 недоступной Identity полномочия Root не подтверждаются; сетевых настроек для обхода этого ограничения нет.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L11</w:t>
            </w:r>
          </w:p>
        </w:tc>
        <w:tc>
          <w:tcPr>
            <w:tcW w:type="dxa" w:w="87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15 минут относятся к HTTP cookie восстановления. Принудительный TTL уже открытого InteractiveServer circuit по этому сроку не реализован; новый HTTP или повторное подключение требует актуальной cookie.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L03–L05 подтверждены чтением соответствующих ветвей кода при подготовке документации; дополнительный HTTP прогон именно этих редких отказов в этой работе не выполнялся. Документ фиксирует ограничения, не объявляя их исправленными.</w:t>
      </w:r>
    </w:p>
    <w:p>
      <w:r>
        <w:rPr>
          <w:rFonts w:ascii="Calibri" w:hAnsi="Calibri" w:eastAsia="Calibri" w:cs="Calibri"/>
          <w:b w:val="0"/>
        </w:rPr>
        <w:t>Содержание относится к снимку ветки codex/logging-reliability с незакоммиченными изменениями от 20 октября 2026 года. Применение миграций и настройки конкретной рабочей установки должны быть подтверждены отдельно.</w:t>
      </w:r>
    </w:p>
    <w:p>
      <w:r>
        <w:br w:type="page"/>
      </w:r>
    </w:p>
    <w:p>
      <w:bookmarkStart w:id="19" w:name="section_19"/>
      <w:pPr>
        <w:pStyle w:val="Heading1"/>
      </w:pPr>
      <w:r>
        <w:t>Выпуск и эксплуатационная приёмка</w:t>
      </w:r>
      <w:bookmarkEnd w:id="19"/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1  </w:t>
      </w:r>
      <w:r>
        <w:rPr>
          <w:rFonts w:ascii="Calibri" w:hAnsi="Calibri" w:eastAsia="Calibri" w:cs="Calibri"/>
          <w:sz w:val="22"/>
        </w:rPr>
        <w:t>Согласовать режим, получателя, доверие TLS и эксплуатационные пределы. Обеспечить резервную копию и проверяемое восстановление.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2  </w:t>
      </w:r>
      <w:r>
        <w:rPr>
          <w:rFonts w:ascii="Calibri" w:hAnsi="Calibri" w:eastAsia="Calibri" w:cs="Calibri"/>
          <w:sz w:val="22"/>
        </w:rPr>
        <w:t>Проверить SQL перехода и миграции на копии фактической схемы, включая старую историю и pending.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3  </w:t>
      </w:r>
      <w:r>
        <w:rPr>
          <w:rFonts w:ascii="Calibri" w:hAnsi="Calibri" w:eastAsia="Calibri" w:cs="Calibri"/>
          <w:sz w:val="22"/>
        </w:rPr>
        <w:t>Провести окно обслуживания без одновременной работы старого writer и новой обязательной модели.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4  </w:t>
      </w:r>
      <w:r>
        <w:rPr>
          <w:rFonts w:ascii="Calibri" w:hAnsi="Calibri" w:eastAsia="Calibri" w:cs="Calibri"/>
          <w:sz w:val="22"/>
        </w:rPr>
        <w:t>Обновить схему и приложение штатным способом в согласованной среде. В Development запуск выполняет миграции и seeding; использовать его как нейтральную проверку нельзя.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5  </w:t>
      </w:r>
      <w:r>
        <w:rPr>
          <w:rFonts w:ascii="Calibri" w:hAnsi="Calibri" w:eastAsia="Calibri" w:cs="Calibri"/>
          <w:sz w:val="22"/>
        </w:rPr>
        <w:t>Root подтверждает режим, проверяет состояние и при SIEM выполняет сквозной поиск тестового события.</w:t>
      </w:r>
    </w:p>
    <w:p>
      <w:pPr>
        <w:ind w:left="170" w:hanging="170"/>
      </w:pPr>
      <w:r>
        <w:rPr>
          <w:rFonts w:ascii="Calibri" w:hAnsi="Calibri" w:eastAsia="Calibri" w:cs="Calibri"/>
          <w:b/>
          <w:sz w:val="22"/>
        </w:rPr>
        <w:t xml:space="preserve">6  </w:t>
      </w:r>
      <w:r>
        <w:rPr>
          <w:rFonts w:ascii="Calibri" w:hAnsi="Calibri" w:eastAsia="Calibri" w:cs="Calibri"/>
          <w:sz w:val="22"/>
        </w:rPr>
        <w:t>Выполнить матрицу аккаунтов, запретов, очереди, перезапуска и восстановления; зафиксировать ответственных и результаты.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Группа приёмки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Проверяемое доказательство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Аккаунты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Ожидаемые тип результат причина инициатор и объект для каждого действия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Отказ локальной записи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Нет подтверждённого бизнес изменения без обязательного события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Очередь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Точный переход через возраст байты и количество; автоматическое возвращение после ремонта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Доступ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Блокировка чтения записи экспорта и открытых сессий; recovery не становится обычной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SIEM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TLS проверка и фактический EventId с корректными полями в RuSIEM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Хранение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Старые допустимые удаляются; старые pending сохраняются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Нагрузка и backup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Измеренные скорости роста и разгрузки; подтверждённое восстановление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Зафиксированный прогон до выпуска: 4711 unit и 21326 integration checks всего решения, дополнительно 20 own password logout HTTP, 70 local account HTTP и 23 audit outage recovery HTTP. Проверялся изолированный PostgreSQL стенд, визуальный интерфейс и TLS тестовый получатель. Это не процент покрытия аудита и не приёмка реальной SIEM.</w:t>
      </w:r>
    </w:p>
    <w:p>
      <w:r>
        <w:rPr>
          <w:rFonts w:ascii="Calibri" w:hAnsi="Calibri" w:eastAsia="Calibri" w:cs="Calibri"/>
          <w:b/>
        </w:rPr>
        <w:t>Откат бинарной версии не должен возвращать разрешение незажурналированных изменений. Down миграции с удалением новых таблиц не являются штатным способом восстановления истории.</w:t>
      </w:r>
    </w:p>
    <w:p>
      <w:r>
        <w:br w:type="page"/>
      </w:r>
    </w:p>
    <w:p>
      <w:bookmarkStart w:id="20" w:name="section_20"/>
      <w:pPr>
        <w:pStyle w:val="Heading1"/>
      </w:pPr>
      <w:r>
        <w:t>Навигация по модели и исходникам</w:t>
      </w:r>
      <w:bookmarkEnd w:id="2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Процесс BPMN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P00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Карта обращения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P01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Обычный вход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P02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Чтение и атомарная запись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P03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Определение доступности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P04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Доставка обязательной очереди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P05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настроек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P06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Ограниченный вход и восстановление Root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P07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Очистка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P08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Тест TLS и события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P09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Создание экспорта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P10</w:t>
            </w:r>
          </w:p>
        </w:tc>
        <w:tc>
          <w:tcPr>
            <w:tcW w:type="dxa" w:w="481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Выдача и неизвестный исход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Guard_Audit_Master.bpmn содержит все процессы и диаграммы с BPMN DI. Файлы P00.bpmn–P10.bpmn включают те же определения и одну выбранную диаграмму для удобства импорта. Все процессы isExecutable=false. Условия выражены описательно; модель не является исполняемой конфигурацией Guard или готовым workflow engine.</w:t>
      </w:r>
    </w:p>
    <w:p>
      <w:r>
        <w:rPr>
          <w:rFonts w:ascii="Calibri" w:hAnsi="Calibri" w:eastAsia="Calibri" w:cs="Calibri"/>
          <w:b w:val="0"/>
        </w:rPr>
        <w:t>Рядом поставляются SVG схемы и PDF атлас. BPMN XML проверяется по официальным XSD OMG BPMN 2.0.2, на уникальность ID, ссылки, достижимость узлов и отсутствие неявного параллельного разветвления задач. Проверка не заменяет бизнес приёмку и не гарантирует поддержку всех особенностей каждым редактором.</w:t>
      </w:r>
    </w:p>
    <w:p>
      <w:bookmarkStart w:id="21" w:name="section_21"/>
      <w:pPr>
        <w:pStyle w:val="Heading2"/>
      </w:pPr>
      <w:r>
        <w:t>Основные источники</w:t>
      </w:r>
      <w:bookmarkEnd w:id="21"/>
    </w:p>
    <w:p>
      <w:r>
        <w:rPr>
          <w:rFonts w:ascii="Calibri" w:hAnsi="Calibri" w:eastAsia="Calibri" w:cs="Calibri"/>
          <w:b w:val="0"/>
        </w:rPr>
        <w:t>В репозитории: docs/audit-compliance-plan.md и docs/audit-operations.md; AuditJournal, AuditPersistence, AuditDeliveryProcessor, AuditAdministrationService, LocalAccountService, AuditCookieValidation, AuditAvailabilityMiddleware и страницы Audit. Точные пути и SHA-256 снимка перечислены в source-manifest.json.</w:t>
      </w:r>
    </w:p>
    <w:p>
      <w:r>
        <w:rPr>
          <w:rFonts w:ascii="Calibri" w:hAnsi="Calibri" w:eastAsia="Calibri" w:cs="Calibri"/>
          <w:b w:val="0"/>
        </w:rPr>
        <w:t>Нормативный источник BPMN: https://www.omg.org/spec/BPMN/2.0.2. Транспорт: RFC5424 https://www.rfc-editor.org/rfc/rfc5424 и RFC6587 https://www.rfc-editor.org/rfc/rfc6587. CEF: официальный Implementation Standard OpenText и каталог парсеров https://rusiem.com/ru/products/parsers. Содержимое Guard является источником описания его фактического поведения.</w:t>
      </w:r>
    </w:p>
    <w:p>
      <w:r>
        <w:br w:type="page"/>
      </w:r>
    </w:p>
    <w:p>
      <w:bookmarkStart w:id="22" w:name="section_22"/>
      <w:pPr>
        <w:pStyle w:val="Heading1"/>
      </w:pPr>
      <w:r>
        <w:t>Справочник событий 1 12</w:t>
      </w:r>
      <w:bookmarkEnd w:id="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3515"/>
        <w:gridCol w:w="5499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EventType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Назначение и статус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LoginSuccess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Успешный обычный вход до выдачи cookie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LoginFailed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Итог отказа входа и машинная причина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Logout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Явный выход; при отказе аудита возможна только best effort запись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PasswordChanged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или административная установка пароля без секретов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5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PasswordResetRequested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текущий сброс фиксируется PasswordChanged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6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TwoFactorEnabled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рабочая 2FA не поддерживается локальной формой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7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TwoFactorDisabled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не означает доступность 2FA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8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PasskeyRegistered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passkey сценарий не заявлен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9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PasskeyRemoved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passkey сценарий не заявлен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10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ExternalLoginAdded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внешний вход не заявлен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11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ExternalLoginRemoved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внешний вход не заявлен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12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RoleAssigned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Назначение роли в транзакции Identity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  <w:sz w:val="18"/>
        </w:rPr>
        <w:t>Числа сохраняются в БД и не перенумеровываются. Справочник перечисляет enum полностью; совместимые значения отдельно от действующих функций. Источники упоминаний перечислены в source-manifest.json.</w:t>
      </w:r>
    </w:p>
    <w:p>
      <w:r>
        <w:br w:type="page"/>
      </w:r>
    </w:p>
    <w:p>
      <w:bookmarkStart w:id="23" w:name="section_23"/>
      <w:pPr>
        <w:pStyle w:val="Heading1"/>
      </w:pPr>
      <w:r>
        <w:t>Справочник событий 13 24</w:t>
      </w:r>
      <w:bookmarkEnd w:id="2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3515"/>
        <w:gridCol w:w="5499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EventType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Назначение и статус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13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RoleRemoved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Снятие роли в транзакции Identity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14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RolePermissionsChanged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роли или набора permissions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15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UserRolesChanged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Итог изменения набора ролей аккаунта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16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AccessDenied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Отказ защищённой операции с объектом и причиной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17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UserBlocked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Ручная или автоматическая блокировка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18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UserUnblocked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Разблокировка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19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AccountPolicyChanged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политики аккаунтов и паролей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20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SynchronizationSettingsChanged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конфигурации синхронизации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21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SynchronizationCompleted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Итог синхронизации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22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ExportRequested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Принят запрос экспорта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23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ExportArchived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Файл сформирован и включён в архив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24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ExportDeliveryStarted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Начало одноразовой выдачи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  <w:sz w:val="18"/>
        </w:rPr>
        <w:t>Числа сохраняются в БД и не перенумеровываются. Справочник перечисляет enum полностью; совместимые значения отдельно от действующих функций. Источники упоминаний перечислены в source-manifest.json.</w:t>
      </w:r>
    </w:p>
    <w:p>
      <w:r>
        <w:br w:type="page"/>
      </w:r>
    </w:p>
    <w:p>
      <w:bookmarkStart w:id="24" w:name="section_24"/>
      <w:pPr>
        <w:pStyle w:val="Heading1"/>
      </w:pPr>
      <w:r>
        <w:t>Справочник событий 25 36</w:t>
      </w:r>
      <w:bookmarkEnd w:id="2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3515"/>
        <w:gridCol w:w="5499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EventType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Назначение и статус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25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ExportDeliveryCompleted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Фактический или неизвестный итог передачи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26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ExportFailed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Ошибка экспорта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27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ExportCancelled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Отмена экспорта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28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ExportArchiveViewed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Совместимое значение; обычный просмотр архива не журналируется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29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ExportRetentionChanged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срока архива экспорта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30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ExportExpired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Истечение срока и удаление артефакта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31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UserDetailsChanged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безопасных полей аккаунта Identity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32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UserCreated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Создание аккаунта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33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LoggingConfigurationChanged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Применение настроек технического логирования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34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EntityChanged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разрешённых предметных полей и связей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35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AuditConfigurationChanged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Изменение настроек аудита и режима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36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AuditStateChanged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Переход состояния и RecoverySignIn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  <w:sz w:val="18"/>
        </w:rPr>
        <w:t>Числа сохраняются в БД и не перенумеровываются. Справочник перечисляет enum полностью; совместимые значения отдельно от действующих функций. Источники упоминаний перечислены в source-manifest.json.</w:t>
      </w:r>
    </w:p>
    <w:p>
      <w:r>
        <w:br w:type="page"/>
      </w:r>
    </w:p>
    <w:p>
      <w:bookmarkStart w:id="25" w:name="section_25"/>
      <w:pPr>
        <w:pStyle w:val="Heading1"/>
      </w:pPr>
      <w:r>
        <w:t>Справочник событий 37 46</w:t>
      </w:r>
      <w:bookmarkEnd w:id="2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3515"/>
        <w:gridCol w:w="5499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EventType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Назначение и статус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37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AuditConnectionTest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Начало и итог теста соединения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38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PasswordChangeFailed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Отказ или ошибка изменения пароля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39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SessionRevoked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Отзыв сессии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40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RoleDeleted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Удаление роли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41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RoleCreated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Создание роли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42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AuditCleanupCompleted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Пакетный результат очистки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43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ExportProcessingStarted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Worker начал формирование экспорта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44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LoggingConfigurationChangeRequested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Долговечное намерение изменить техническую конфигурацию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45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ExportRecoveryCompleted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Результат восстановления экспортного задания после рестарта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46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SessionRefreshed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Обновление сессии без ложного нового входа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  <w:sz w:val="18"/>
        </w:rPr>
        <w:t>Числа сохраняются в БД и не перенумеровываются. Справочник перечисляет enum полностью; совместимые значения отдельно от действующих функций. Источники упоминаний перечислены в source-manifest.json.</w:t>
      </w:r>
    </w:p>
    <w:p>
      <w:r>
        <w:br w:type="page"/>
      </w:r>
    </w:p>
    <w:p>
      <w:bookmarkStart w:id="26" w:name="section_26"/>
      <w:pPr>
        <w:pStyle w:val="Heading1"/>
      </w:pPr>
      <w:r>
        <w:t>Термины и проверка результата</w:t>
      </w:r>
      <w:bookmarkEnd w:id="2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540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264B59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Root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Аккаунт с действующим назначением роли ROOT, проверенным через Identity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Pending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Обязательное событие без SentAtUtc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Local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Режим без нового обязательства отправки SIEM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Recovery only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Ограниченная сессия на 15 минут для диагностики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Commit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Подтверждённая фиксация транзакции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Unknown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Подтверждение результата потеряно; требуется проверка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EventId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Идентификатор неизменного события и ключ сопоставления повторов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CorrelationId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Связь нескольких событий одной операции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PayloadBytes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Размер данных события UTF-8, не физический размер БД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Lease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Временная аренда отправки на 2 минуты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CEF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6F7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Формат полей события для получателя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BPMN DI</w:t>
            </w:r>
          </w:p>
        </w:tc>
        <w:tc>
          <w:tcPr>
            <w:tcW w:type="dxa" w:w="754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Calibri" w:hAnsi="Calibri" w:eastAsia="Calibri" w:cs="Calibri"/>
                <w:b w:val="0"/>
                <w:color w:val="202C33"/>
                <w:sz w:val="19"/>
              </w:rPr>
              <w:t>Координаты и соединения для графического импорта модели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 w:cs="Calibri"/>
          <w:b w:val="0"/>
        </w:rPr>
        <w:t>Критерий результата определяется границей операции: локальный commit, завершённая TLS запись, сохранение события в RuSIEM и фактическая передача файла — разные подтверждения. При неизвестном исходе проверяют факты до повторения.</w:t>
      </w:r>
    </w:p>
    <w:sectPr w:rsidR="00FC693F" w:rsidRPr="0006063C" w:rsidSect="00034616">
      <w:footerReference w:type="default" r:id="rId9"/>
      <w:pgSz w:w="12240" w:h="15840"/>
      <w:pgMar w:top="907" w:right="1134" w:bottom="85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54616B"/>
        <w:sz w:val="16"/>
      </w:rPr>
      <w:t xml:space="preserve">Guard  |  Аудит  |  Редакция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6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 w:before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аудита Guard</dc:title>
  <dc:subject>Техническое описание</dc:subject>
  <dc:creator>Guard</dc:creator>
  <cp:keywords>Guard, аудит, Root, RuSIEM,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