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EE0" w:rsidRDefault="00E12CD3">
      <w:pPr>
        <w:spacing w:before="600" w:after="120"/>
        <w:jc w:val="center"/>
      </w:pPr>
      <w:r>
        <w:rPr>
          <w:rFonts w:ascii="Arial" w:hAnsi="Arial"/>
          <w:b/>
          <w:color w:val="1B365D"/>
          <w:sz w:val="48"/>
        </w:rPr>
        <w:t>História dos Computadores:</w:t>
      </w:r>
      <w:r>
        <w:rPr>
          <w:rFonts w:ascii="Arial" w:hAnsi="Arial"/>
          <w:b/>
          <w:color w:val="1B365D"/>
          <w:sz w:val="48"/>
        </w:rPr>
        <w:br/>
        <w:t>A Evolução das Gerações da Computação</w:t>
      </w:r>
    </w:p>
    <w:p w:rsidR="00230EE0" w:rsidRDefault="00E12CD3">
      <w:pPr>
        <w:spacing w:after="800"/>
        <w:jc w:val="center"/>
      </w:pPr>
      <w:r>
        <w:rPr>
          <w:rFonts w:ascii="Arial" w:hAnsi="Arial"/>
          <w:i/>
          <w:color w:val="334155"/>
          <w:sz w:val="24"/>
        </w:rPr>
        <w:t xml:space="preserve">Trabalho 1 — </w:t>
      </w:r>
      <w:r w:rsidR="00AE33EA">
        <w:rPr>
          <w:rFonts w:ascii="Arial" w:hAnsi="Arial"/>
          <w:i/>
          <w:color w:val="334155"/>
          <w:sz w:val="24"/>
        </w:rPr>
        <w:t>Eduardo Kolberg da Silva</w:t>
      </w:r>
    </w:p>
    <w:p w:rsidR="00230EE0" w:rsidRDefault="00E12CD3">
      <w:pPr>
        <w:spacing w:before="360" w:after="120"/>
      </w:pPr>
      <w:r>
        <w:rPr>
          <w:rFonts w:ascii="Arial" w:hAnsi="Arial"/>
          <w:b/>
          <w:color w:val="1B365D"/>
          <w:sz w:val="32"/>
        </w:rPr>
        <w:t>Introdução</w:t>
      </w:r>
    </w:p>
    <w:p w:rsidR="00230EE0" w:rsidRDefault="00E12CD3">
      <w:pPr>
        <w:spacing w:after="240"/>
      </w:pPr>
      <w:r>
        <w:rPr>
          <w:rFonts w:ascii="Arial" w:hAnsi="Arial"/>
          <w:color w:val="222222"/>
        </w:rPr>
        <w:t>A evolução dos computadores ocorreu em diferentes gerações, cada uma marcada por avanços tecnológicos disruptivos que transformaram o processamento de dados, o tamanho físico das máquinas, a velocidade de cálculo e a forma de interação com os usuários. Este documento apresenta uma pesquisa detalhada sobre as cinco principais gerações da computação, identificando seus marcos tecnológicos, modelos de destaque, vantagens, limitações e aplicações.</w:t>
      </w:r>
    </w:p>
    <w:p w:rsidR="00230EE0" w:rsidRDefault="00E12CD3">
      <w:pPr>
        <w:spacing w:before="400" w:after="120"/>
      </w:pPr>
      <w:r>
        <w:rPr>
          <w:rFonts w:ascii="Arial" w:hAnsi="Arial"/>
          <w:b/>
          <w:color w:val="1B365D"/>
          <w:sz w:val="28"/>
        </w:rPr>
        <w:t>Primeira Geração (1940 – 1956)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Principal Tecnologia: </w:t>
      </w:r>
      <w:r>
        <w:rPr>
          <w:rFonts w:ascii="Arial" w:hAnsi="Arial"/>
          <w:color w:val="222222"/>
        </w:rPr>
        <w:t>Válvulas Eletrônicas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Características Gerais: </w:t>
      </w:r>
      <w:r w:rsidR="00B91E57" w:rsidRPr="00B91E57">
        <w:rPr>
          <w:rFonts w:ascii="Arial" w:hAnsi="Arial" w:cs="Arial"/>
        </w:rPr>
        <w:t>Essas máquinas tinham dimensões gigantescas e ocupavam salas inteiras. Elas eram caracterizadas pelo alto consumo de energia elétrica e por uma grande dissipação de calor. Naquela época, a programação ocorria diretamente em linguagem de máquina (binária), o que exigia a configuração manual de cartões perfurados</w:t>
      </w:r>
      <w:bookmarkStart w:id="0" w:name="_GoBack"/>
      <w:bookmarkEnd w:id="0"/>
      <w:r w:rsidR="00B91E57" w:rsidRPr="00B91E57">
        <w:rPr>
          <w:rFonts w:ascii="Arial" w:hAnsi="Arial" w:cs="Arial"/>
        </w:rPr>
        <w:t xml:space="preserve"> e quilômetros de fios. Além disso, a memória utilizava tambores magnéticos</w:t>
      </w:r>
      <w:r w:rsidR="00B91E57">
        <w:t>."</w:t>
      </w:r>
      <w:r>
        <w:rPr>
          <w:rFonts w:ascii="Arial" w:hAnsi="Arial"/>
          <w:b/>
          <w:color w:val="334155"/>
        </w:rPr>
        <w:t xml:space="preserve">Modelo Representativo: </w:t>
      </w:r>
      <w:r>
        <w:rPr>
          <w:rFonts w:ascii="Arial" w:hAnsi="Arial"/>
          <w:color w:val="222222"/>
        </w:rPr>
        <w:t>ENIAC (Electronic Numerical Integrator and Computer)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Principais Vantagens: </w:t>
      </w:r>
      <w:r>
        <w:rPr>
          <w:rFonts w:ascii="Arial" w:hAnsi="Arial"/>
          <w:color w:val="222222"/>
        </w:rPr>
        <w:t>Representou o primeiro grande salto em direção à computação digital rápida. Substituiu os calculadores mecânicos por processos eletrônicos, conseguindo realizar milhares de adições por segundo, uma velocidade inédita para a época.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Limitações: </w:t>
      </w:r>
      <w:r>
        <w:rPr>
          <w:rFonts w:ascii="Arial" w:hAnsi="Arial"/>
          <w:color w:val="222222"/>
        </w:rPr>
        <w:t>Superaquecimento frequente que queimava as válvulas constantemente, alto índice de falhas diárias, custo de manutenção proibitivo, ausência de portabilidade e programação extremamente complexa e inflexível.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Aplicações e Usos Comuns: </w:t>
      </w:r>
      <w:r>
        <w:rPr>
          <w:rFonts w:ascii="Arial" w:hAnsi="Arial"/>
          <w:color w:val="222222"/>
        </w:rPr>
        <w:t>Cálculos balísticos de trajetórias militares (utilizados durante a Segunda Guerra Mundial), pesquisas científicas atômicas iniciais e processamento básico de censos populacionais.</w:t>
      </w:r>
    </w:p>
    <w:p w:rsidR="00230EE0" w:rsidRDefault="00AE33EA">
      <w:pPr>
        <w:spacing w:before="240" w:after="80"/>
        <w:jc w:val="center"/>
      </w:pPr>
      <w:r>
        <w:rPr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1158949</wp:posOffset>
            </wp:positionH>
            <wp:positionV relativeFrom="paragraph">
              <wp:posOffset>255181</wp:posOffset>
            </wp:positionV>
            <wp:extent cx="3615493" cy="2232350"/>
            <wp:effectExtent l="0" t="0" r="444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ujeres_ENIAC2[1]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9"/>
                    <a:stretch/>
                  </pic:blipFill>
                  <pic:spPr bwMode="auto">
                    <a:xfrm>
                      <a:off x="0" y="0"/>
                      <a:ext cx="3642648" cy="2249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CD3">
        <w:rPr>
          <w:lang w:eastAsia="pt-BR"/>
        </w:rPr>
        <w:drawing>
          <wp:inline distT="0" distB="0" distL="0" distR="0">
            <wp:extent cx="41148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ia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E0" w:rsidRDefault="00E12CD3">
      <w:pPr>
        <w:spacing w:after="320"/>
        <w:jc w:val="center"/>
      </w:pPr>
      <w:r>
        <w:rPr>
          <w:rFonts w:ascii="Arial" w:hAnsi="Arial"/>
          <w:i/>
          <w:color w:val="787878"/>
          <w:sz w:val="19"/>
        </w:rPr>
        <w:t>Figura 1: Representação do ENIAC e o uso de válvulas eletrônicas.</w:t>
      </w:r>
    </w:p>
    <w:p w:rsidR="00230EE0" w:rsidRDefault="00E12CD3">
      <w:pPr>
        <w:spacing w:before="400" w:after="120"/>
      </w:pPr>
      <w:r>
        <w:rPr>
          <w:rFonts w:ascii="Arial" w:hAnsi="Arial"/>
          <w:b/>
          <w:color w:val="1B365D"/>
          <w:sz w:val="28"/>
        </w:rPr>
        <w:t>Segunda Geração (1956 – 1963)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Principal Tecnologia: </w:t>
      </w:r>
      <w:r>
        <w:rPr>
          <w:rFonts w:ascii="Arial" w:hAnsi="Arial"/>
          <w:color w:val="222222"/>
        </w:rPr>
        <w:t>Transistores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Características Gerais: </w:t>
      </w:r>
      <w:r>
        <w:rPr>
          <w:rFonts w:ascii="Arial" w:hAnsi="Arial"/>
          <w:color w:val="222222"/>
        </w:rPr>
        <w:t>Substituição completa das válvulas a vácuo pelos transistores de estado sólido, o que permitiu uma redução drástica no tamanho das máquinas. Houve um salto em confiabilidade e velocidade de processamento. Introdução das primeiras linguagens de programação de alto nível (como FORTRAN e COBOL) e sistemas de armazenamento em fita e discos magnéticos.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Modelo Representativo: </w:t>
      </w:r>
      <w:r>
        <w:rPr>
          <w:rFonts w:ascii="Arial" w:hAnsi="Arial"/>
          <w:color w:val="222222"/>
        </w:rPr>
        <w:t>IBM 1401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Principais Vantagens: </w:t>
      </w:r>
      <w:r>
        <w:rPr>
          <w:rFonts w:ascii="Arial" w:hAnsi="Arial"/>
          <w:color w:val="222222"/>
        </w:rPr>
        <w:t>Muito mais confiáveis, velozes (cálculos na escala de microssegundos) e eficientes energeticamente que a geração anterior. Redução expressiva na emissão de calor e no espaço ocupado.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Limitações: </w:t>
      </w:r>
      <w:r>
        <w:rPr>
          <w:rFonts w:ascii="Arial" w:hAnsi="Arial"/>
          <w:color w:val="222222"/>
        </w:rPr>
        <w:t>Apesar da redução, os equipamentos continuavam altamente dispendiosos, sendo restritos a grandes corporações, bancos e agências governamentais. Ainda exigiam sistemas complexos de refrigeração industrial.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Aplicações e Usos Comuns: </w:t>
      </w:r>
      <w:r>
        <w:rPr>
          <w:rFonts w:ascii="Arial" w:hAnsi="Arial"/>
          <w:color w:val="222222"/>
        </w:rPr>
        <w:t>Uso comercial corporativo, automação de folhas de pagamento em larga escala, gerenciamento centralizado de estoques e processamento de contas bancárias.</w:t>
      </w:r>
    </w:p>
    <w:p w:rsidR="00230EE0" w:rsidRDefault="00AE33EA">
      <w:pPr>
        <w:spacing w:before="240" w:after="80"/>
        <w:jc w:val="center"/>
      </w:pPr>
      <w:r>
        <w:rPr>
          <w:rFonts w:ascii="Arial" w:hAnsi="Arial"/>
          <w:i/>
          <w:color w:val="787878"/>
          <w:sz w:val="19"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1169581</wp:posOffset>
            </wp:positionH>
            <wp:positionV relativeFrom="paragraph">
              <wp:posOffset>255181</wp:posOffset>
            </wp:positionV>
            <wp:extent cx="3613297" cy="2231390"/>
            <wp:effectExtent l="0" t="0" r="635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lektronische_Datenverarbeitungsanlage_IBM_1401_(Kiel_36.485)[1]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" r="2064" b="4257"/>
                    <a:stretch/>
                  </pic:blipFill>
                  <pic:spPr bwMode="auto">
                    <a:xfrm>
                      <a:off x="0" y="0"/>
                      <a:ext cx="3696265" cy="228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CD3">
        <w:rPr>
          <w:lang w:eastAsia="pt-BR"/>
        </w:rPr>
        <w:drawing>
          <wp:inline distT="0" distB="0" distL="0" distR="0">
            <wp:extent cx="4114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14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E0" w:rsidRDefault="00E12CD3">
      <w:pPr>
        <w:spacing w:after="320"/>
        <w:jc w:val="center"/>
      </w:pPr>
      <w:r>
        <w:rPr>
          <w:rFonts w:ascii="Arial" w:hAnsi="Arial"/>
          <w:i/>
          <w:color w:val="787878"/>
          <w:sz w:val="19"/>
        </w:rPr>
        <w:t>Figura 2: Representação da transição para os computadores transistorizados (ex:).</w:t>
      </w:r>
    </w:p>
    <w:p w:rsidR="00230EE0" w:rsidRDefault="00E12CD3">
      <w:pPr>
        <w:spacing w:before="400" w:after="120"/>
      </w:pPr>
      <w:r>
        <w:rPr>
          <w:rFonts w:ascii="Arial" w:hAnsi="Arial"/>
          <w:b/>
          <w:color w:val="1B365D"/>
          <w:sz w:val="28"/>
        </w:rPr>
        <w:t>Terceira Geração (1964 – 1971)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Principal Tecnologia: </w:t>
      </w:r>
      <w:r>
        <w:rPr>
          <w:rFonts w:ascii="Arial" w:hAnsi="Arial"/>
          <w:color w:val="222222"/>
        </w:rPr>
        <w:t>Circuitos Integrados (Chips de Silício)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Características Gerais: </w:t>
      </w:r>
      <w:r>
        <w:rPr>
          <w:rFonts w:ascii="Arial" w:hAnsi="Arial"/>
          <w:color w:val="222222"/>
        </w:rPr>
        <w:t>Agrupamento de milhares de transistores e componentes eletrônicos em minúsculas placas de silício, chamadas de Circuitos Integrados (ICs). Essa compactação permitiu a introdução de teclados e monitores para interação direta com o usuário, abandonando os cartões perfurados. Surgiram também os primeiros Sistemas Operacionais primitivos com suporte a multiprogramação (execução de vários programas simultâneos).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Modelo Representativo: </w:t>
      </w:r>
      <w:r>
        <w:rPr>
          <w:rFonts w:ascii="Arial" w:hAnsi="Arial"/>
          <w:color w:val="222222"/>
        </w:rPr>
        <w:t>IBM System/360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Principais Vantagens: </w:t>
      </w:r>
      <w:r>
        <w:rPr>
          <w:rFonts w:ascii="Arial" w:hAnsi="Arial"/>
          <w:color w:val="222222"/>
        </w:rPr>
        <w:t>Redução massiva do tamanho físico (computadores de porte médio), aumento exponencial da velocidade de processamento (escala de nanossegundos), maior eficiência energética e viabilidade comercial para médias empresas devido ao custo reduzido.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Limitações: </w:t>
      </w:r>
      <w:r>
        <w:rPr>
          <w:rFonts w:ascii="Arial" w:hAnsi="Arial"/>
          <w:color w:val="222222"/>
        </w:rPr>
        <w:t>A fabricação de chips de silício exigia uma tecnologia industrial extremamente sofisticada e refinada para a época. A manutenção demandava especialistas altamente qualificados.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Aplicações e Usos Comuns: </w:t>
      </w:r>
      <w:r>
        <w:rPr>
          <w:rFonts w:ascii="Arial" w:hAnsi="Arial"/>
          <w:color w:val="222222"/>
        </w:rPr>
        <w:t>Computação científica e estatística avançada, gerenciamento de grandes bancos de dados empresariais e primeiros sistemas automatizados de reservas de passagens aéreas.</w:t>
      </w:r>
    </w:p>
    <w:p w:rsidR="00230EE0" w:rsidRDefault="00403AAD">
      <w:pPr>
        <w:spacing w:before="240" w:after="80"/>
        <w:jc w:val="center"/>
      </w:pPr>
      <w:r>
        <w:rPr>
          <w:lang w:eastAsia="pt-B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1158949</wp:posOffset>
            </wp:positionH>
            <wp:positionV relativeFrom="paragraph">
              <wp:posOffset>255181</wp:posOffset>
            </wp:positionV>
            <wp:extent cx="3625363" cy="2264831"/>
            <wp:effectExtent l="0" t="0" r="0" b="2540"/>
            <wp:wrapNone/>
            <wp:docPr id="8" name="Imagem 8" descr="Your Own IBM Mainframe (or Vax, Or Cray…) The Easy Way | Hacka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ur Own IBM Mainframe (or Vax, Or Cray…) The Easy Way | Hackada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2114" r="12" b="20662"/>
                    <a:stretch/>
                  </pic:blipFill>
                  <pic:spPr bwMode="auto">
                    <a:xfrm>
                      <a:off x="0" y="0"/>
                      <a:ext cx="3642949" cy="227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CD3">
        <w:rPr>
          <w:lang w:eastAsia="pt-BR"/>
        </w:rPr>
        <w:drawing>
          <wp:inline distT="0" distB="0" distL="0" distR="0">
            <wp:extent cx="41148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3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E0" w:rsidRDefault="00E12CD3">
      <w:pPr>
        <w:spacing w:after="320"/>
        <w:jc w:val="center"/>
      </w:pPr>
      <w:r>
        <w:rPr>
          <w:rFonts w:ascii="Arial" w:hAnsi="Arial"/>
          <w:i/>
          <w:color w:val="787878"/>
          <w:sz w:val="19"/>
        </w:rPr>
        <w:t>Figura 3: Representação da era dos Circuitos Integrados (ex:).</w:t>
      </w:r>
    </w:p>
    <w:p w:rsidR="00230EE0" w:rsidRDefault="00E12CD3">
      <w:pPr>
        <w:spacing w:before="400" w:after="120"/>
      </w:pPr>
      <w:r>
        <w:rPr>
          <w:rFonts w:ascii="Arial" w:hAnsi="Arial"/>
          <w:b/>
          <w:color w:val="1B365D"/>
          <w:sz w:val="28"/>
        </w:rPr>
        <w:t>Quarta Geração (1971 – Década de 1990)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Principal Tecnologia: </w:t>
      </w:r>
      <w:r>
        <w:rPr>
          <w:rFonts w:ascii="Arial" w:hAnsi="Arial"/>
          <w:color w:val="222222"/>
        </w:rPr>
        <w:t>Microprocessadores (Tecnologia VLSI)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Características Gerais: </w:t>
      </w:r>
      <w:r>
        <w:rPr>
          <w:rFonts w:ascii="Arial" w:hAnsi="Arial"/>
          <w:color w:val="222222"/>
        </w:rPr>
        <w:t>Nascimento do microprocessador moderno através da tecnologia VLSI (Very Large Scale Integration), que permitiu condensar milhões (e posteriormente bilhões) de transistores em um único chip. Essa era é marcada pelo surgimento e explosão dos Computadores Pessoais (PCs), das Interfaces Gráficas de Usuário (GUI) amigáveis (como janelas e mouses) e a expansão das redes locais até a internet comercial.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Modelo Representativo: </w:t>
      </w:r>
      <w:r>
        <w:rPr>
          <w:rFonts w:ascii="Arial" w:hAnsi="Arial"/>
          <w:color w:val="222222"/>
        </w:rPr>
        <w:t>IBM PC (Modelo 5150) e Apple II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Principais Vantagens: </w:t>
      </w:r>
      <w:r>
        <w:rPr>
          <w:rFonts w:ascii="Arial" w:hAnsi="Arial"/>
          <w:color w:val="222222"/>
        </w:rPr>
        <w:t>Portabilidade total (máquinas que cabem em mesas), altíssima confiabilidade, velocidades operacionais medidas em picossegundos, custo acessível e massificação do acesso à tecnologia por indivíduos comuns.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Limitações: </w:t>
      </w:r>
      <w:r>
        <w:rPr>
          <w:rFonts w:ascii="Arial" w:hAnsi="Arial"/>
          <w:color w:val="222222"/>
        </w:rPr>
        <w:t>A evolução tecnológica veloz passou a causar uma obsolescência acelerada dos componentes de hardware. Surgiram também os primeiros problemas complexos de segurança digital em larga escala, como os vírus de computador.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Aplicações e Usos Comuns: </w:t>
      </w:r>
      <w:r>
        <w:rPr>
          <w:rFonts w:ascii="Arial" w:hAnsi="Arial"/>
          <w:color w:val="222222"/>
        </w:rPr>
        <w:t>Uso doméstico e pessoal, automação de escritórios cotidianos, processamento de texto, planilhas eletrônicas, jogos digitais e navegação na rede mundial de computadores (Internet).</w:t>
      </w:r>
    </w:p>
    <w:p w:rsidR="00230EE0" w:rsidRDefault="00403AAD">
      <w:pPr>
        <w:spacing w:before="240" w:after="80"/>
        <w:jc w:val="center"/>
      </w:pPr>
      <w:r>
        <w:rPr>
          <w:lang w:eastAsia="pt-BR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1173319</wp:posOffset>
            </wp:positionH>
            <wp:positionV relativeFrom="paragraph">
              <wp:posOffset>259080</wp:posOffset>
            </wp:positionV>
            <wp:extent cx="3603009" cy="2237105"/>
            <wp:effectExtent l="0" t="0" r="0" b="0"/>
            <wp:wrapNone/>
            <wp:docPr id="9" name="Imagem 9" descr="Primeiro PC da IBM foi lançado há 40 anos | 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imeiro PC da IBM foi lançado há 40 anos | Produt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18"/>
                    <a:stretch/>
                  </pic:blipFill>
                  <pic:spPr bwMode="auto">
                    <a:xfrm>
                      <a:off x="0" y="0"/>
                      <a:ext cx="3603009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CD3">
        <w:rPr>
          <w:lang w:eastAsia="pt-BR"/>
        </w:rPr>
        <w:drawing>
          <wp:inline distT="0" distB="0" distL="0" distR="0">
            <wp:extent cx="41148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p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E0" w:rsidRDefault="00E12CD3">
      <w:pPr>
        <w:spacing w:after="320"/>
        <w:jc w:val="center"/>
      </w:pPr>
      <w:r>
        <w:rPr>
          <w:rFonts w:ascii="Arial" w:hAnsi="Arial"/>
          <w:i/>
          <w:color w:val="787878"/>
          <w:sz w:val="19"/>
        </w:rPr>
        <w:t>Figura 4: Representação dos primeiros Microprocessadores e Computadores Pessoais.</w:t>
      </w:r>
    </w:p>
    <w:p w:rsidR="00230EE0" w:rsidRDefault="00E12CD3">
      <w:pPr>
        <w:spacing w:before="400" w:after="120"/>
      </w:pPr>
      <w:r>
        <w:rPr>
          <w:rFonts w:ascii="Arial" w:hAnsi="Arial"/>
          <w:b/>
          <w:color w:val="1B365D"/>
          <w:sz w:val="28"/>
        </w:rPr>
        <w:t>Quinta Geração (Anos 2000 – Presente e Futuro)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Principal Tecnologia: </w:t>
      </w:r>
      <w:r>
        <w:rPr>
          <w:rFonts w:ascii="Arial" w:hAnsi="Arial"/>
          <w:color w:val="222222"/>
        </w:rPr>
        <w:t>Inteligência Artificial e Processamento Avançado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Características Gerais: </w:t>
      </w:r>
      <w:r>
        <w:rPr>
          <w:rFonts w:ascii="Arial" w:hAnsi="Arial"/>
          <w:color w:val="222222"/>
        </w:rPr>
        <w:t>Baseada em arquiteturas de processamento paralelo massivo, Computação em Nuvem (Cloud Computing), avanços em Computação Quântica e Nanotecnologia. Caracteriza-se pela onipresença dos dispositivos móveis inteligentes (smartphones), conectividade global em tempo real (Internet das Coisas - IoT) e o desenvolvimento de algoritmos avançados de aprendizado de máquina (Machine Learning) e redes neurais artificiais.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Modelo Representativo: </w:t>
      </w:r>
      <w:r>
        <w:rPr>
          <w:rFonts w:ascii="Arial" w:hAnsi="Arial"/>
          <w:color w:val="222222"/>
        </w:rPr>
        <w:t>Supercomputadores modernos (como Fugaku e IBM Summit) e ecossistemas de smartphones integrados a IAs em nuvem.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Principais Vantagens: </w:t>
      </w:r>
      <w:r>
        <w:rPr>
          <w:rFonts w:ascii="Arial" w:hAnsi="Arial"/>
          <w:color w:val="222222"/>
        </w:rPr>
        <w:t>Capacidade quase ilimitada de processar volumes massivos de informação (Big Data) em frações de segundo. Automação inteligente de processos e alta adaptabilidade a problemas complexos.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Limitações: </w:t>
      </w:r>
      <w:r>
        <w:rPr>
          <w:rFonts w:ascii="Arial" w:hAnsi="Arial"/>
          <w:color w:val="222222"/>
        </w:rPr>
        <w:t>Consumo energético extremamente elevado por parte dos grandes data centers globais de IA. Barreiras físicas do silício tradicional (aquecimento e tunelamento quântico) que exigem novos materiais, além de sérios dilemas éticos sobre privacidade e segurança de dados pessoais.</w:t>
      </w:r>
    </w:p>
    <w:p w:rsidR="00230EE0" w:rsidRDefault="00E12CD3">
      <w:pPr>
        <w:spacing w:after="80"/>
        <w:ind w:left="360"/>
      </w:pPr>
      <w:r>
        <w:rPr>
          <w:rFonts w:ascii="Arial" w:hAnsi="Arial"/>
          <w:b/>
          <w:color w:val="334155"/>
        </w:rPr>
        <w:t xml:space="preserve">Aplicações e Usos Comuns: </w:t>
      </w:r>
      <w:r>
        <w:rPr>
          <w:rFonts w:ascii="Arial" w:hAnsi="Arial"/>
          <w:color w:val="222222"/>
        </w:rPr>
        <w:t>Sistemas de reconhecimento facial e de voz, condução de carros autônomos, diagnósticos médicos automatizados de alta precisão, previsão climática global e assistentes de inteligência artificial generativa.</w:t>
      </w:r>
    </w:p>
    <w:p w:rsidR="00230EE0" w:rsidRDefault="00403AAD">
      <w:pPr>
        <w:spacing w:before="240" w:after="80"/>
        <w:jc w:val="center"/>
      </w:pPr>
      <w:r>
        <w:rPr>
          <w:lang w:eastAsia="pt-BR"/>
        </w:rPr>
        <w:lastRenderedPageBreak/>
        <w:drawing>
          <wp:anchor distT="0" distB="0" distL="114300" distR="114300" simplePos="0" relativeHeight="251658752" behindDoc="0" locked="0" layoutInCell="1" allowOverlap="1" wp14:anchorId="7D7E7146" wp14:editId="76CC83A9">
            <wp:simplePos x="0" y="0"/>
            <wp:positionH relativeFrom="column">
              <wp:posOffset>1166884</wp:posOffset>
            </wp:positionH>
            <wp:positionV relativeFrom="paragraph">
              <wp:posOffset>252484</wp:posOffset>
            </wp:positionV>
            <wp:extent cx="3615055" cy="2251880"/>
            <wp:effectExtent l="0" t="0" r="4445" b="0"/>
            <wp:wrapNone/>
            <wp:docPr id="10" name="Imagem 10" descr="O que é infraestrutura de IA e por que ela é essen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 que é infraestrutura de IA e por que ela é essencia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00" cy="22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CD3">
        <w:rPr>
          <w:lang w:eastAsia="pt-BR"/>
        </w:rPr>
        <w:drawing>
          <wp:inline distT="0" distB="0" distL="0" distR="0" wp14:anchorId="33DFB7A3" wp14:editId="2894CA99">
            <wp:extent cx="41148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compu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E0" w:rsidRDefault="00E12CD3">
      <w:pPr>
        <w:spacing w:after="320"/>
        <w:jc w:val="center"/>
      </w:pPr>
      <w:r>
        <w:rPr>
          <w:rFonts w:ascii="Arial" w:hAnsi="Arial"/>
          <w:i/>
          <w:color w:val="787878"/>
          <w:sz w:val="19"/>
        </w:rPr>
        <w:t xml:space="preserve">Figura 5: </w:t>
      </w:r>
    </w:p>
    <w:p w:rsidR="00230EE0" w:rsidRDefault="00E12CD3">
      <w:pPr>
        <w:spacing w:before="480" w:after="160"/>
      </w:pPr>
      <w:r>
        <w:rPr>
          <w:rFonts w:ascii="Arial" w:hAnsi="Arial"/>
          <w:b/>
          <w:color w:val="1B365D"/>
          <w:sz w:val="32"/>
        </w:rPr>
        <w:t>Tabela Resumida das Gerações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880"/>
      </w:tblGrid>
      <w:tr w:rsidR="00230EE0">
        <w:trPr>
          <w:jc w:val="center"/>
        </w:trPr>
        <w:tc>
          <w:tcPr>
            <w:tcW w:w="17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Geração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Tecnologia Base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Escala de Velocidade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Impacto Principal</w:t>
            </w:r>
          </w:p>
        </w:tc>
      </w:tr>
      <w:tr w:rsidR="00230EE0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1ª Geração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Válvulas Eletrônicas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Milissegundos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Início do processamento digital de dados.</w:t>
            </w:r>
          </w:p>
        </w:tc>
      </w:tr>
      <w:tr w:rsidR="00230EE0">
        <w:trPr>
          <w:jc w:val="center"/>
        </w:trPr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2ª Geração</w:t>
            </w:r>
          </w:p>
        </w:tc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Transistores</w:t>
            </w:r>
          </w:p>
        </w:tc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Microssegundos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Redução de tamanho e surgimento de COBOL/FORTRAN.</w:t>
            </w:r>
          </w:p>
        </w:tc>
      </w:tr>
      <w:tr w:rsidR="00230EE0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3ª Geração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Circuitos Integrados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Nanossegundos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Introdução de monitores, teclados e Sistemas Operacionais.</w:t>
            </w:r>
          </w:p>
        </w:tc>
      </w:tr>
      <w:tr w:rsidR="00230EE0">
        <w:trPr>
          <w:jc w:val="center"/>
        </w:trPr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4ª Geração</w:t>
            </w:r>
          </w:p>
        </w:tc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Microprocessadores</w:t>
            </w:r>
          </w:p>
        </w:tc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Picossegundos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Surgimento dos PCs, mouses e interfaces gráficas.</w:t>
            </w:r>
          </w:p>
        </w:tc>
      </w:tr>
      <w:tr w:rsidR="00230EE0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5ª Geração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IA e Nuvem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pPr>
              <w:jc w:val="center"/>
            </w:pPr>
            <w:r>
              <w:rPr>
                <w:rFonts w:ascii="Arial" w:hAnsi="Arial"/>
                <w:color w:val="222222"/>
                <w:sz w:val="20"/>
              </w:rPr>
              <w:t>Escala de Exaflops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0EE0" w:rsidRDefault="00E12CD3">
            <w:r>
              <w:rPr>
                <w:rFonts w:ascii="Arial" w:hAnsi="Arial"/>
                <w:color w:val="222222"/>
                <w:sz w:val="20"/>
              </w:rPr>
              <w:t>Dispositivos móveis, Machine Learning e IoT ubíqua.</w:t>
            </w:r>
          </w:p>
        </w:tc>
      </w:tr>
    </w:tbl>
    <w:p w:rsidR="00230EE0" w:rsidRDefault="00E12CD3">
      <w:pPr>
        <w:spacing w:before="560" w:after="160"/>
      </w:pPr>
      <w:r>
        <w:rPr>
          <w:rFonts w:ascii="Arial" w:hAnsi="Arial"/>
          <w:b/>
          <w:color w:val="1B365D"/>
          <w:sz w:val="32"/>
        </w:rPr>
        <w:lastRenderedPageBreak/>
        <w:t>Fontes e Referências Bibliográficas</w:t>
      </w:r>
    </w:p>
    <w:p w:rsidR="00230EE0" w:rsidRDefault="00E12CD3">
      <w:pPr>
        <w:spacing w:after="120"/>
        <w:ind w:left="576" w:hanging="576"/>
      </w:pPr>
      <w:r>
        <w:rPr>
          <w:rFonts w:ascii="Arial" w:hAnsi="Arial"/>
          <w:color w:val="222222"/>
          <w:sz w:val="20"/>
        </w:rPr>
        <w:t>BROOKSHEAR, J. Glenn. Ciência da Computação: Uma Visão Abrangente. 11. ed. Porto Alegre: Bookman, 2013.</w:t>
      </w:r>
    </w:p>
    <w:p w:rsidR="00230EE0" w:rsidRDefault="00E12CD3">
      <w:pPr>
        <w:spacing w:after="120"/>
        <w:ind w:left="576" w:hanging="576"/>
      </w:pPr>
      <w:r>
        <w:rPr>
          <w:rFonts w:ascii="Arial" w:hAnsi="Arial"/>
          <w:color w:val="222222"/>
          <w:sz w:val="20"/>
        </w:rPr>
        <w:t>COMPUTER HISTORY MUSEUM. Timeline of Computer History. Disponível em: &lt;https://www.computerhistory.org/timeline/&gt;. Acesso em: maio de 2026.</w:t>
      </w:r>
    </w:p>
    <w:p w:rsidR="00230EE0" w:rsidRDefault="00E12CD3">
      <w:pPr>
        <w:spacing w:after="120"/>
        <w:ind w:left="576" w:hanging="576"/>
      </w:pPr>
      <w:r>
        <w:rPr>
          <w:rFonts w:ascii="Arial" w:hAnsi="Arial"/>
          <w:color w:val="222222"/>
          <w:sz w:val="20"/>
        </w:rPr>
        <w:t>STALLINGS, William. Arquitetura e Organização de Computadores. 10. ed. São Paulo: Pearson, 2017.</w:t>
      </w:r>
    </w:p>
    <w:p w:rsidR="00230EE0" w:rsidRDefault="00E12CD3">
      <w:pPr>
        <w:spacing w:after="120"/>
        <w:ind w:left="576" w:hanging="576"/>
      </w:pPr>
      <w:r>
        <w:rPr>
          <w:rFonts w:ascii="Arial" w:hAnsi="Arial"/>
          <w:color w:val="222222"/>
          <w:sz w:val="20"/>
        </w:rPr>
        <w:t>TANENBAUM, Andrew S.; AUSTIN, Todd. Organização Estruturada de Computadores. 6. ed. São Paulo: Pearson, 2013.</w:t>
      </w:r>
    </w:p>
    <w:sectPr w:rsidR="00230E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EE0"/>
    <w:rsid w:val="0029639D"/>
    <w:rsid w:val="00326F90"/>
    <w:rsid w:val="00403AAD"/>
    <w:rsid w:val="00AA1D8D"/>
    <w:rsid w:val="00AE33EA"/>
    <w:rsid w:val="00B47730"/>
    <w:rsid w:val="00B91E57"/>
    <w:rsid w:val="00C82E0A"/>
    <w:rsid w:val="00CB0664"/>
    <w:rsid w:val="00D719F0"/>
    <w:rsid w:val="00E12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DF0463"/>
  <w14:defaultImageDpi w14:val="300"/>
  <w15:docId w15:val="{C27A5F6A-E073-481F-85A1-DA5C8847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noProof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B04C4C-622A-4FD7-8EE1-CE6F886DF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7</Pages>
  <Words>1267</Words>
  <Characters>6848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 EXTENSÃO 71</cp:lastModifiedBy>
  <cp:revision>5</cp:revision>
  <dcterms:created xsi:type="dcterms:W3CDTF">2013-12-23T23:15:00Z</dcterms:created>
  <dcterms:modified xsi:type="dcterms:W3CDTF">2026-05-19T18:55:00Z</dcterms:modified>
  <cp:category/>
</cp:coreProperties>
</file>