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942" w:rsidRDefault="005C7985">
      <w:r>
        <w:t>Military Preemption</w:t>
      </w:r>
    </w:p>
    <w:p w:rsidR="005C7985" w:rsidRDefault="005C7985">
      <w:bookmarkStart w:id="0" w:name="_GoBack"/>
      <w:bookmarkEnd w:id="0"/>
    </w:p>
    <w:sectPr w:rsidR="005C7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85"/>
    <w:rsid w:val="001F5942"/>
    <w:rsid w:val="005C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FD11A"/>
  <w15:chartTrackingRefBased/>
  <w15:docId w15:val="{9990B96F-4222-4663-B233-99ED0FD2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PARSLEY, KOLEMAN A.</dc:creator>
  <cp:keywords/>
  <dc:description/>
  <cp:lastModifiedBy>PARSLEY, KOLEMAN A.</cp:lastModifiedBy>
  <cp:revision>2</cp:revision>
  <dcterms:created xsi:type="dcterms:W3CDTF">2017-04-27T16:20:00Z</dcterms:created>
  <dcterms:modified xsi:type="dcterms:W3CDTF">2017-04-27T16:21:00Z</dcterms:modified>
</cp:coreProperties>
</file>