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98754"/>
          <w:sz w:val="52"/>
          <w:szCs w:val="52"/>
        </w:rPr>
        <w:t xml:space="preserve">Corecto</w:t>
      </w:r>
    </w:p>
    <w:p>
      <w:pPr>
        <w:spacing w:after="40"/>
        <w:jc w:val="center"/>
      </w:pPr>
      <w:r>
        <w:rPr>
          <w:color w:val="212529"/>
          <w:sz w:val="26"/>
          <w:szCs w:val="26"/>
        </w:rPr>
        <w:t xml:space="preserve">Contrôle des anomalies de compteurs d'eau</w:t>
      </w:r>
    </w:p>
    <w:p>
      <w:pPr>
        <w:spacing w:after="240"/>
        <w:jc w:val="center"/>
      </w:pPr>
      <w:r>
        <w:rPr>
          <w:i/>
          <w:iCs/>
          <w:color w:val="6c757d"/>
          <w:sz w:val="20"/>
          <w:szCs w:val="20"/>
        </w:rPr>
        <w:t xml:space="preserve">Règles de contrôle · Guide d'utilisation · Compilation</w:t>
      </w:r>
    </w:p>
    <w:p>
      <w:pPr>
        <w:spacing w:after="100"/>
      </w:pPr>
      <w:r>
        <w:rPr>
          <w:color w:val="212529"/>
          <w:sz w:val="22"/>
          <w:szCs w:val="22"/>
        </w:rPr>
        <w:t xml:space="preserve">Corecto analyse trois fichiers Excel de compteurs (Radiorelève, Télérelève et Manuelle) et signale les lignes non conformes. Chaque contrôle ci-dessous génère une anomalie lorsque la condition n'est pas respectée. Les rapports Excel produits surlignent les cellules concernées et proposent, quand c'est possible, une valeur corrigée.</w:t>
      </w:r>
    </w:p>
    <w:p>
      <w:pPr>
        <w:pStyle w:val="Heading1"/>
        <w:spacing w:after="140" w:before="320"/>
      </w:pPr>
      <w:r>
        <w:rPr>
          <w:b/>
          <w:bCs/>
          <w:color w:val="198754"/>
          <w:sz w:val="30"/>
          <w:szCs w:val="30"/>
        </w:rPr>
        <w:t xml:space="preserve">Partie A — Règles de contrôle</w:t>
      </w:r>
    </w:p>
    <w:p>
      <w:pPr>
        <w:pStyle w:val="Heading2"/>
        <w:spacing w:after="100" w:before="220"/>
      </w:pPr>
      <w:r>
        <w:rPr>
          <w:b/>
          <w:bCs/>
          <w:color w:val="212529"/>
          <w:sz w:val="24"/>
          <w:szCs w:val="24"/>
        </w:rPr>
        <w:t xml:space="preserve">1. Règles communes (tous les modes)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212529"/>
          <w:sz w:val="22"/>
          <w:szCs w:val="22"/>
        </w:rPr>
        <w:t xml:space="preserve">Champs obligatoires : </w:t>
      </w:r>
      <w:r>
        <w:rPr>
          <w:color w:val="212529"/>
          <w:sz w:val="22"/>
          <w:szCs w:val="22"/>
        </w:rPr>
        <w:t xml:space="preserve">Marque, Numéro de compteur, Diamètre, Année de fabrication et Type Compteur doivent être renseignés.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212529"/>
          <w:sz w:val="22"/>
          <w:szCs w:val="22"/>
        </w:rPr>
        <w:t xml:space="preserve">Coordonnées GPS : </w:t>
      </w:r>
      <w:r>
        <w:rPr>
          <w:color w:val="212529"/>
          <w:sz w:val="22"/>
          <w:szCs w:val="22"/>
        </w:rPr>
        <w:t xml:space="preserve">latitude/longitude numériques, non nulles et dans les bornes (lat -90..90, lon -180..180).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212529"/>
          <w:sz w:val="22"/>
          <w:szCs w:val="22"/>
        </w:rPr>
        <w:t xml:space="preserve">Marque autorisée : </w:t>
      </w:r>
      <w:r>
        <w:rPr>
          <w:color w:val="212529"/>
          <w:sz w:val="22"/>
          <w:szCs w:val="22"/>
        </w:rPr>
        <w:t xml:space="preserve">la marque doit figurer dans la liste des marques autorisées du mode.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212529"/>
          <w:sz w:val="22"/>
          <w:szCs w:val="22"/>
        </w:rPr>
        <w:t xml:space="preserve">Type Compteur autorisé : </w:t>
      </w:r>
      <w:r>
        <w:rPr>
          <w:color w:val="212529"/>
          <w:sz w:val="22"/>
          <w:szCs w:val="22"/>
        </w:rPr>
        <w:t xml:space="preserve">le code Type Compteur doit figurer dans la liste des codes autorisés.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212529"/>
          <w:sz w:val="22"/>
          <w:szCs w:val="22"/>
        </w:rPr>
        <w:t xml:space="preserve">Cohérence Type Compteur : </w:t>
      </w:r>
      <w:r>
        <w:rPr>
          <w:color w:val="212529"/>
          <w:sz w:val="22"/>
          <w:szCs w:val="22"/>
        </w:rPr>
        <w:t xml:space="preserve">pour un compteur au format FP2E, le Type Compteur doit valoir le 1er + 4e caractère du numéro (ex. C22FL… → CF). Exceptions : les codes « module » (SEN3, SEN4, INT3, KM21, MAG1…) ne suivent pas cette règle.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212529"/>
          <w:sz w:val="22"/>
          <w:szCs w:val="22"/>
        </w:rPr>
        <w:t xml:space="preserve">Cohérence Marque / préfixe : </w:t>
      </w:r>
      <w:r>
        <w:rPr>
          <w:color w:val="212529"/>
          <w:sz w:val="22"/>
          <w:szCs w:val="22"/>
        </w:rPr>
        <w:t xml:space="preserve">compteur commençant par C → SAPPEL (C), H → SAPPEL (H), I ou D → ITRON.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212529"/>
          <w:sz w:val="22"/>
          <w:szCs w:val="22"/>
        </w:rPr>
        <w:t xml:space="preserve">Cohérence FP2E : </w:t>
      </w:r>
      <w:r>
        <w:rPr>
          <w:color w:val="212529"/>
          <w:sz w:val="22"/>
          <w:szCs w:val="22"/>
        </w:rPr>
        <w:t xml:space="preserve">pour un numéro FP2E, l'année (millésime) et le diamètre doivent correspondre au numéro (voir Partie A §5).</w:t>
      </w:r>
    </w:p>
    <w:p>
      <w:pPr>
        <w:pStyle w:val="Heading2"/>
        <w:spacing w:after="100" w:before="220"/>
      </w:pPr>
      <w:r>
        <w:rPr>
          <w:b/>
          <w:bCs/>
          <w:color w:val="212529"/>
          <w:sz w:val="24"/>
          <w:szCs w:val="24"/>
        </w:rPr>
        <w:t xml:space="preserve">2. Radiorelève</w:t>
      </w:r>
    </w:p>
    <w:p>
      <w:pPr>
        <w:spacing w:after="100"/>
      </w:pPr>
      <w:r>
        <w:rPr>
          <w:b w:val="false"/>
          <w:bCs w:val="false"/>
          <w:color w:val="212529"/>
          <w:sz w:val="22"/>
          <w:szCs w:val="22"/>
        </w:rPr>
        <w:t xml:space="preserve">Marques autorisées : SAPPEL (H), SAPPEL (C), KAMSTRUP, U Kamstrup.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212529"/>
          <w:sz w:val="22"/>
          <w:szCs w:val="22"/>
        </w:rPr>
        <w:t xml:space="preserve">Protocole radio : </w:t>
      </w:r>
      <w:r>
        <w:rPr>
          <w:color w:val="212529"/>
          <w:sz w:val="22"/>
          <w:szCs w:val="22"/>
        </w:rPr>
        <w:t xml:space="preserve">KAMSTRUP → WMS ; SAPPEL fabriqué en 2022 ou avant → WMS, après 2022 → OMS.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212529"/>
          <w:sz w:val="22"/>
          <w:szCs w:val="22"/>
        </w:rPr>
        <w:t xml:space="preserve">KAMSTRUP (classique) : </w:t>
      </w:r>
      <w:r>
        <w:rPr>
          <w:color w:val="212529"/>
          <w:sz w:val="22"/>
          <w:szCs w:val="22"/>
        </w:rPr>
        <w:t xml:space="preserve">numéro de compteur = 8 caractères ; compteur = tête ; diamètre entre 15 et 80.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212529"/>
          <w:sz w:val="22"/>
          <w:szCs w:val="22"/>
        </w:rPr>
        <w:t xml:space="preserve">U Kamstrup : </w:t>
      </w:r>
      <w:r>
        <w:rPr>
          <w:color w:val="212529"/>
          <w:sz w:val="22"/>
          <w:szCs w:val="22"/>
        </w:rPr>
        <w:t xml:space="preserve">numéro de compteur = 11 caractères (12 pour Traités 965/455/899), au format FP2E ; tête = 8 chiffres.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212529"/>
          <w:sz w:val="22"/>
          <w:szCs w:val="22"/>
        </w:rPr>
        <w:t xml:space="preserve">SAPPEL : </w:t>
      </w:r>
      <w:r>
        <w:rPr>
          <w:color w:val="212529"/>
          <w:sz w:val="22"/>
          <w:szCs w:val="22"/>
        </w:rPr>
        <w:t xml:space="preserve">compteur commençant par C ou H ; tête « DME » = 15 caractères ; Type Compteur SEN4 → tête = 16 caractères.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212529"/>
          <w:sz w:val="22"/>
          <w:szCs w:val="22"/>
        </w:rPr>
        <w:t xml:space="preserve">ITRON : </w:t>
      </w:r>
      <w:r>
        <w:rPr>
          <w:color w:val="212529"/>
          <w:sz w:val="22"/>
          <w:szCs w:val="22"/>
        </w:rPr>
        <w:t xml:space="preserve">compteur commençant par I ou D.</w:t>
      </w:r>
    </w:p>
    <w:p>
      <w:pPr>
        <w:pStyle w:val="Heading2"/>
        <w:spacing w:after="100" w:before="220"/>
      </w:pPr>
      <w:r>
        <w:rPr>
          <w:b/>
          <w:bCs/>
          <w:color w:val="212529"/>
          <w:sz w:val="24"/>
          <w:szCs w:val="24"/>
        </w:rPr>
        <w:t xml:space="preserve">3. Télérelève</w:t>
      </w:r>
    </w:p>
    <w:p>
      <w:pPr>
        <w:spacing w:after="100"/>
      </w:pPr>
      <w:r>
        <w:rPr>
          <w:color w:val="212529"/>
          <w:sz w:val="22"/>
          <w:szCs w:val="22"/>
        </w:rPr>
        <w:t xml:space="preserve">Marques autorisées : INTEGRA, ITRON, KAIFA, KAMSTRUP, SAPPEL (C), SAPPEL (H), SENSUS, SOCAM, U Kamstrup.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212529"/>
          <w:sz w:val="22"/>
          <w:szCs w:val="22"/>
        </w:rPr>
        <w:t xml:space="preserve">Protocole : </w:t>
      </w:r>
      <w:r>
        <w:rPr>
          <w:color w:val="212529"/>
          <w:sz w:val="22"/>
          <w:szCs w:val="22"/>
        </w:rPr>
        <w:t xml:space="preserve">Traité commençant par 312, 455, 863, 895, 903 ou 956 → LRA ; tous les autres → SGX.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212529"/>
          <w:sz w:val="22"/>
          <w:szCs w:val="22"/>
        </w:rPr>
        <w:t xml:space="preserve">KAMSTRUP (classique) : </w:t>
      </w:r>
      <w:r>
        <w:rPr>
          <w:color w:val="212529"/>
          <w:sz w:val="22"/>
          <w:szCs w:val="22"/>
        </w:rPr>
        <w:t xml:space="preserve">numéro de compteur = 8 caractères ; compteur = tête ; diamètre entre 15 et 80.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212529"/>
          <w:sz w:val="22"/>
          <w:szCs w:val="22"/>
        </w:rPr>
        <w:t xml:space="preserve">U Kamstrup : </w:t>
      </w:r>
      <w:r>
        <w:rPr>
          <w:color w:val="212529"/>
          <w:sz w:val="22"/>
          <w:szCs w:val="22"/>
        </w:rPr>
        <w:t xml:space="preserve">numéro de compteur = 11 caractères (12 pour Traités 965/455/899), au format FP2E ; tête = 8 chiffres.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212529"/>
          <w:sz w:val="22"/>
          <w:szCs w:val="22"/>
        </w:rPr>
        <w:t xml:space="preserve">SAPPEL : </w:t>
      </w:r>
      <w:r>
        <w:rPr>
          <w:color w:val="212529"/>
          <w:sz w:val="22"/>
          <w:szCs w:val="22"/>
        </w:rPr>
        <w:t xml:space="preserve">tête = 16 caractères ; Type Compteur SEN3 → tête = 15 ; Type Compteur INT3 → tête = 15.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212529"/>
          <w:sz w:val="22"/>
          <w:szCs w:val="22"/>
        </w:rPr>
        <w:t xml:space="preserve">ITRON : </w:t>
      </w:r>
      <w:r>
        <w:rPr>
          <w:color w:val="212529"/>
          <w:sz w:val="22"/>
          <w:szCs w:val="22"/>
        </w:rPr>
        <w:t xml:space="preserve">tête = 8 caractères.</w:t>
      </w:r>
    </w:p>
    <w:p>
      <w:pPr>
        <w:pStyle w:val="Heading2"/>
        <w:spacing w:after="100" w:before="220"/>
      </w:pPr>
      <w:r>
        <w:rPr>
          <w:b/>
          <w:bCs/>
          <w:color w:val="212529"/>
          <w:sz w:val="24"/>
          <w:szCs w:val="24"/>
        </w:rPr>
        <w:t xml:space="preserve">4. Manuelle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212529"/>
          <w:sz w:val="22"/>
          <w:szCs w:val="22"/>
        </w:rPr>
        <w:t xml:space="preserve">Coordonnées GPS : </w:t>
      </w:r>
      <w:r>
        <w:rPr>
          <w:color w:val="212529"/>
          <w:sz w:val="22"/>
          <w:szCs w:val="22"/>
        </w:rPr>
        <w:t xml:space="preserve">latitude/longitude numériques et valides.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212529"/>
          <w:sz w:val="22"/>
          <w:szCs w:val="22"/>
        </w:rPr>
        <w:t xml:space="preserve">Type Compteur : </w:t>
      </w:r>
      <w:r>
        <w:rPr>
          <w:color w:val="212529"/>
          <w:sz w:val="22"/>
          <w:szCs w:val="22"/>
        </w:rPr>
        <w:t xml:space="preserve">Type Compteur renseigné et dans la liste autorisée.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212529"/>
          <w:sz w:val="22"/>
          <w:szCs w:val="22"/>
        </w:rPr>
        <w:t xml:space="preserve">Format compteur : </w:t>
      </w:r>
      <w:r>
        <w:rPr>
          <w:color w:val="212529"/>
          <w:sz w:val="22"/>
          <w:szCs w:val="22"/>
        </w:rPr>
        <w:t xml:space="preserve">pour SAPPEL et ITRON, le numéro de compteur doit être au format FP2E.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212529"/>
          <w:sz w:val="22"/>
          <w:szCs w:val="22"/>
        </w:rPr>
        <w:t xml:space="preserve">Cohérences : </w:t>
      </w:r>
      <w:r>
        <w:rPr>
          <w:color w:val="212529"/>
          <w:sz w:val="22"/>
          <w:szCs w:val="22"/>
        </w:rPr>
        <w:t xml:space="preserve">préfixe C/H → SAPPEL, I/D → ITRON ; cohérence année/diamètre FP2E.</w:t>
      </w:r>
    </w:p>
    <w:p>
      <w:pPr>
        <w:pStyle w:val="Heading2"/>
        <w:spacing w:after="100" w:before="220"/>
      </w:pPr>
      <w:r>
        <w:rPr>
          <w:b/>
          <w:bCs/>
          <w:color w:val="212529"/>
          <w:sz w:val="24"/>
          <w:szCs w:val="24"/>
        </w:rPr>
        <w:t xml:space="preserve">5. Correspondance lettre FP2E → diamètre</w:t>
      </w:r>
    </w:p>
    <w:p>
      <w:pPr>
        <w:spacing w:after="100"/>
      </w:pPr>
      <w:r>
        <w:rPr>
          <w:color w:val="212529"/>
          <w:sz w:val="22"/>
          <w:szCs w:val="22"/>
        </w:rPr>
        <w:t xml:space="preserve">La 5e position du numéro FP2E (une lettre) indique le diamètre attendu :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</w:tblGrid>
      <w:tr>
        <w:trPr>
          <w:tblHeader/>
        </w:trPr>
        <w:tc>
          <w:tcPr>
            <w:tcW w:type="dxa" w:w="2500"/>
            <w:shd w:fill="19875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Lettre</w:t>
            </w:r>
          </w:p>
        </w:tc>
        <w:tc>
          <w:tcPr>
            <w:tcW w:type="dxa" w:w="3500"/>
            <w:shd w:fill="19875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Diamètre (mm)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12529"/>
                <w:sz w:val="20"/>
                <w:szCs w:val="20"/>
              </w:rPr>
              <w:t xml:space="preserve">A / U</w:t>
            </w:r>
          </w:p>
        </w:tc>
        <w:tc>
          <w:tcPr>
            <w:tcW w:type="dxa" w:w="35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12529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2500"/>
            <w:shd w:fill="F2F4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12529"/>
                <w:sz w:val="20"/>
                <w:szCs w:val="20"/>
              </w:rPr>
              <w:t xml:space="preserve">B</w:t>
            </w:r>
          </w:p>
        </w:tc>
        <w:tc>
          <w:tcPr>
            <w:tcW w:type="dxa" w:w="3500"/>
            <w:shd w:fill="F2F4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12529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12529"/>
                <w:sz w:val="20"/>
                <w:szCs w:val="20"/>
              </w:rPr>
              <w:t xml:space="preserve">C</w:t>
            </w:r>
          </w:p>
        </w:tc>
        <w:tc>
          <w:tcPr>
            <w:tcW w:type="dxa" w:w="35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12529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dxa" w:w="2500"/>
            <w:shd w:fill="F2F4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12529"/>
                <w:sz w:val="20"/>
                <w:szCs w:val="20"/>
              </w:rPr>
              <w:t xml:space="preserve">D</w:t>
            </w:r>
          </w:p>
        </w:tc>
        <w:tc>
          <w:tcPr>
            <w:tcW w:type="dxa" w:w="3500"/>
            <w:shd w:fill="F2F4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12529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12529"/>
                <w:sz w:val="20"/>
                <w:szCs w:val="20"/>
              </w:rPr>
              <w:t xml:space="preserve">E</w:t>
            </w:r>
          </w:p>
        </w:tc>
        <w:tc>
          <w:tcPr>
            <w:tcW w:type="dxa" w:w="35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12529"/>
                <w:sz w:val="20"/>
                <w:szCs w:val="20"/>
              </w:rPr>
              <w:t xml:space="preserve">40</w:t>
            </w:r>
          </w:p>
        </w:tc>
      </w:tr>
      <w:tr>
        <w:tc>
          <w:tcPr>
            <w:tcW w:type="dxa" w:w="2500"/>
            <w:shd w:fill="F2F4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12529"/>
                <w:sz w:val="20"/>
                <w:szCs w:val="20"/>
              </w:rPr>
              <w:t xml:space="preserve">F</w:t>
            </w:r>
          </w:p>
        </w:tc>
        <w:tc>
          <w:tcPr>
            <w:tcW w:type="dxa" w:w="3500"/>
            <w:shd w:fill="F2F4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12529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12529"/>
                <w:sz w:val="20"/>
                <w:szCs w:val="20"/>
              </w:rPr>
              <w:t xml:space="preserve">G</w:t>
            </w:r>
          </w:p>
        </w:tc>
        <w:tc>
          <w:tcPr>
            <w:tcW w:type="dxa" w:w="35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12529"/>
                <w:sz w:val="20"/>
                <w:szCs w:val="20"/>
              </w:rPr>
              <w:t xml:space="preserve">60 ou 65</w:t>
            </w:r>
          </w:p>
        </w:tc>
      </w:tr>
      <w:tr>
        <w:tc>
          <w:tcPr>
            <w:tcW w:type="dxa" w:w="2500"/>
            <w:shd w:fill="F2F4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12529"/>
                <w:sz w:val="20"/>
                <w:szCs w:val="20"/>
              </w:rPr>
              <w:t xml:space="preserve">H</w:t>
            </w:r>
          </w:p>
        </w:tc>
        <w:tc>
          <w:tcPr>
            <w:tcW w:type="dxa" w:w="3500"/>
            <w:shd w:fill="F2F4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12529"/>
                <w:sz w:val="20"/>
                <w:szCs w:val="20"/>
              </w:rPr>
              <w:t xml:space="preserve">80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12529"/>
                <w:sz w:val="20"/>
                <w:szCs w:val="20"/>
              </w:rPr>
              <w:t xml:space="preserve">I</w:t>
            </w:r>
          </w:p>
        </w:tc>
        <w:tc>
          <w:tcPr>
            <w:tcW w:type="dxa" w:w="35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12529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2500"/>
            <w:shd w:fill="F2F4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12529"/>
                <w:sz w:val="20"/>
                <w:szCs w:val="20"/>
              </w:rPr>
              <w:t xml:space="preserve">J</w:t>
            </w:r>
          </w:p>
        </w:tc>
        <w:tc>
          <w:tcPr>
            <w:tcW w:type="dxa" w:w="3500"/>
            <w:shd w:fill="F2F4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12529"/>
                <w:sz w:val="20"/>
                <w:szCs w:val="20"/>
              </w:rPr>
              <w:t xml:space="preserve">125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12529"/>
                <w:sz w:val="20"/>
                <w:szCs w:val="20"/>
              </w:rPr>
              <w:t xml:space="preserve">K</w:t>
            </w:r>
          </w:p>
        </w:tc>
        <w:tc>
          <w:tcPr>
            <w:tcW w:type="dxa" w:w="35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12529"/>
                <w:sz w:val="20"/>
                <w:szCs w:val="20"/>
              </w:rPr>
              <w:t xml:space="preserve">150</w:t>
            </w:r>
          </w:p>
        </w:tc>
      </w:tr>
      <w:tr>
        <w:tc>
          <w:tcPr>
            <w:tcW w:type="dxa" w:w="2500"/>
            <w:shd w:fill="F2F4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12529"/>
                <w:sz w:val="20"/>
                <w:szCs w:val="20"/>
              </w:rPr>
              <w:t xml:space="preserve">L</w:t>
            </w:r>
          </w:p>
        </w:tc>
        <w:tc>
          <w:tcPr>
            <w:tcW w:type="dxa" w:w="3500"/>
            <w:shd w:fill="F2F4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12529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12529"/>
                <w:sz w:val="20"/>
                <w:szCs w:val="20"/>
              </w:rPr>
              <w:t xml:space="preserve">M</w:t>
            </w:r>
          </w:p>
        </w:tc>
        <w:tc>
          <w:tcPr>
            <w:tcW w:type="dxa" w:w="35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12529"/>
                <w:sz w:val="20"/>
                <w:szCs w:val="20"/>
              </w:rPr>
              <w:t xml:space="preserve">250</w:t>
            </w:r>
          </w:p>
        </w:tc>
      </w:tr>
      <w:tr>
        <w:tc>
          <w:tcPr>
            <w:tcW w:type="dxa" w:w="2500"/>
            <w:shd w:fill="F2F4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12529"/>
                <w:sz w:val="20"/>
                <w:szCs w:val="20"/>
              </w:rPr>
              <w:t xml:space="preserve">N</w:t>
            </w:r>
          </w:p>
        </w:tc>
        <w:tc>
          <w:tcPr>
            <w:tcW w:type="dxa" w:w="3500"/>
            <w:shd w:fill="F2F4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12529"/>
                <w:sz w:val="20"/>
                <w:szCs w:val="20"/>
              </w:rPr>
              <w:t xml:space="preserve">300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12529"/>
                <w:sz w:val="20"/>
                <w:szCs w:val="20"/>
              </w:rPr>
              <w:t xml:space="preserve">O</w:t>
            </w:r>
          </w:p>
        </w:tc>
        <w:tc>
          <w:tcPr>
            <w:tcW w:type="dxa" w:w="35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12529"/>
                <w:sz w:val="20"/>
                <w:szCs w:val="20"/>
              </w:rPr>
              <w:t xml:space="preserve">350</w:t>
            </w:r>
          </w:p>
        </w:tc>
      </w:tr>
      <w:tr>
        <w:tc>
          <w:tcPr>
            <w:tcW w:type="dxa" w:w="2500"/>
            <w:shd w:fill="F2F4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12529"/>
                <w:sz w:val="20"/>
                <w:szCs w:val="20"/>
              </w:rPr>
              <w:t xml:space="preserve">P</w:t>
            </w:r>
          </w:p>
        </w:tc>
        <w:tc>
          <w:tcPr>
            <w:tcW w:type="dxa" w:w="3500"/>
            <w:shd w:fill="F2F4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12529"/>
                <w:sz w:val="20"/>
                <w:szCs w:val="20"/>
              </w:rPr>
              <w:t xml:space="preserve">400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198754"/>
          <w:sz w:val="30"/>
          <w:szCs w:val="30"/>
        </w:rPr>
        <w:t xml:space="preserve">Partie B — Comment utiliser l'outil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12529"/>
          <w:sz w:val="22"/>
          <w:szCs w:val="22"/>
        </w:rPr>
        <w:t xml:space="preserve">Corecto.exe</w:t>
      </w:r>
      <w:r>
        <w:rPr>
          <w:color w:val="212529"/>
          <w:sz w:val="22"/>
          <w:szCs w:val="22"/>
        </w:rPr>
        <w:t xml:space="preserve">Double-cliquer sur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12529"/>
          <w:sz w:val="22"/>
          <w:szCs w:val="22"/>
        </w:rPr>
        <w:t xml:space="preserve">Glisser-déposer (ou « Sélectionner fichier ») les fichiers Excel dans les zones : 📻 Radiorelève, 📡 Télérelève, ✍️ Manuelle. Il n'est pas obligatoire de fournir les trois.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12529"/>
          <w:sz w:val="22"/>
          <w:szCs w:val="22"/>
        </w:rPr>
        <w:t xml:space="preserve">Choisir le dossier de sortie (bouton « Parcourir »).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12529"/>
          <w:sz w:val="22"/>
          <w:szCs w:val="22"/>
        </w:rPr>
        <w:t xml:space="preserve">🚀 ANALYSER LES DONNÉES</w:t>
      </w:r>
      <w:r>
        <w:rPr>
          <w:color w:val="212529"/>
          <w:sz w:val="22"/>
          <w:szCs w:val="22"/>
        </w:rPr>
        <w:t xml:space="preserve">Cliquer sur le bouton vert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12529"/>
          <w:sz w:val="22"/>
          <w:szCs w:val="22"/>
        </w:rPr>
        <w:t xml:space="preserve">À la fin, une fenêtre propose d'ouvrir le dossier des résultats.</w:t>
      </w:r>
    </w:p>
    <w:p>
      <w:pPr>
        <w:spacing w:after="100"/>
      </w:pPr>
      <w:r>
        <w:rPr>
          <w:b/>
          <w:bCs/>
          <w:color w:val="212529"/>
          <w:sz w:val="22"/>
          <w:szCs w:val="22"/>
        </w:rPr>
        <w:t xml:space="preserve">Résultats générés 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12529"/>
          <w:sz w:val="22"/>
          <w:szCs w:val="22"/>
        </w:rPr>
        <w:t xml:space="preserve">un rapport Excel par mode (Rapport_Radioreleve_…, Rapport_Telereleve_…, Rapport_Manuelle_…) : onglet Récapitulatif, onglet Toutes_Anomalies, et un onglet par type d'anomalie (cellules surlignées).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12529"/>
          <w:sz w:val="22"/>
          <w:szCs w:val="22"/>
        </w:rPr>
        <w:t xml:space="preserve">un dossier « Traites/ » avec un fichier par Traité (regroupé sur les 3 premiers chiffres).</w:t>
      </w:r>
    </w:p>
    <w:p>
      <w:pPr>
        <w:pStyle w:val="Heading2"/>
        <w:spacing w:after="100" w:before="220"/>
      </w:pPr>
      <w:r>
        <w:rPr>
          <w:b/>
          <w:bCs/>
          <w:color w:val="212529"/>
          <w:sz w:val="24"/>
          <w:szCs w:val="24"/>
        </w:rPr>
        <w:t xml:space="preserve">Modifier les règles sans toucher au code</w:t>
      </w:r>
    </w:p>
    <w:p>
      <w:pPr>
        <w:spacing w:after="100"/>
      </w:pPr>
      <w:r>
        <w:rPr>
          <w:color w:val="212529"/>
          <w:sz w:val="22"/>
          <w:szCs w:val="22"/>
        </w:rPr>
        <w:t xml:space="preserve">Le bouton « ⚙️ Règles » (en haut à droite) ouvre un fichier Excel (regles_anomalies.xlsx) créé automatiquement à côté de l'application. On y modifie, sans programmer 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12529"/>
          <w:sz w:val="22"/>
          <w:szCs w:val="22"/>
        </w:rPr>
        <w:t xml:space="preserve">Marques_autorisees, Type_Compteur_autorises, Traites_LRA_tele, Plage_diametre, Longueur_tete, Diametre_FP2E.</w:t>
      </w:r>
    </w:p>
    <w:p>
      <w:pPr>
        <w:spacing w:after="100"/>
      </w:pPr>
      <w:r>
        <w:rPr>
          <w:i/>
          <w:iCs/>
          <w:color w:val="6c757d"/>
          <w:sz w:val="22"/>
          <w:szCs w:val="22"/>
        </w:rPr>
        <w:t xml:space="preserve">Après modification : enregistrer, fermer, relancer l'analyse. En cas d'erreur de saisie, l'application ignore la partie concernée et utilise les valeurs par défaut (elle ne plante pas).</w:t>
      </w:r>
    </w:p>
    <w:p>
      <w:pPr>
        <w:pStyle w:val="Heading1"/>
        <w:spacing w:after="140" w:before="320"/>
      </w:pPr>
      <w:r>
        <w:rPr>
          <w:b/>
          <w:bCs/>
          <w:color w:val="198754"/>
          <w:sz w:val="30"/>
          <w:szCs w:val="30"/>
        </w:rPr>
        <w:t xml:space="preserve">Partie C — Comment compiler (créer le .exe)</w:t>
      </w:r>
    </w:p>
    <w:p>
      <w:pPr>
        <w:spacing w:after="100"/>
      </w:pPr>
      <w:r>
        <w:rPr>
          <w:color w:val="212529"/>
          <w:sz w:val="22"/>
          <w:szCs w:val="22"/>
        </w:rPr>
        <w:t xml:space="preserve">À faire sur un PC Windows (un .exe Windows ne peut être fabriqué que sous Windows).</w:t>
      </w:r>
    </w:p>
    <w:p>
      <w:pPr>
        <w:pStyle w:val="Heading2"/>
        <w:spacing w:after="100" w:before="220"/>
      </w:pPr>
      <w:r>
        <w:rPr>
          <w:b/>
          <w:bCs/>
          <w:color w:val="212529"/>
          <w:sz w:val="24"/>
          <w:szCs w:val="24"/>
        </w:rPr>
        <w:t xml:space="preserve">Prérequis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12529"/>
          <w:sz w:val="22"/>
          <w:szCs w:val="22"/>
        </w:rPr>
        <w:t xml:space="preserve">Installer Python depuis python.org, en cochant « Add Python to PATH » à l'installation.</w:t>
      </w:r>
    </w:p>
    <w:p>
      <w:pPr>
        <w:pStyle w:val="Heading2"/>
        <w:spacing w:after="100" w:before="220"/>
      </w:pPr>
      <w:r>
        <w:rPr>
          <w:b/>
          <w:bCs/>
          <w:color w:val="212529"/>
          <w:sz w:val="24"/>
          <w:szCs w:val="24"/>
        </w:rPr>
        <w:t xml:space="preserve">Étapes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12529"/>
          <w:sz w:val="22"/>
          <w:szCs w:val="22"/>
        </w:rPr>
        <w:t xml:space="preserve">Récupérer le code (bouton « Code » → « Download ZIP » sur GitHub, puis décompresser).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12529"/>
          <w:sz w:val="22"/>
          <w:szCs w:val="22"/>
        </w:rPr>
        <w:t xml:space="preserve">Ouvrir un terminal dans le dossier (taper cmd dans la barre d'adresse de l'explorateur).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12529"/>
          <w:sz w:val="22"/>
          <w:szCs w:val="22"/>
        </w:rPr>
        <w:t xml:space="preserve">Installer les dépendances :</w:t>
      </w:r>
    </w:p>
    <w:p>
      <w:pPr>
        <w:shd w:fill="F2F4F5" w:color="auto" w:val="clear"/>
        <w:spacing w:after="40"/>
      </w:pPr>
      <w:r>
        <w:rPr>
          <w:rFonts w:ascii="Consolas" w:cs="Consolas" w:eastAsia="Consolas" w:hAnsi="Consolas"/>
          <w:color w:val="0B5D3B"/>
          <w:sz w:val="20"/>
          <w:szCs w:val="20"/>
        </w:rPr>
        <w:t xml:space="preserve">pip install -r requirements.txt</w:t>
      </w:r>
    </w:p>
    <w:p>
      <w:pPr>
        <w:shd w:fill="F2F4F5" w:color="auto" w:val="clear"/>
        <w:spacing w:after="40"/>
      </w:pPr>
      <w:r>
        <w:rPr>
          <w:rFonts w:ascii="Consolas" w:cs="Consolas" w:eastAsia="Consolas" w:hAnsi="Consolas"/>
          <w:color w:val="0B5D3B"/>
          <w:sz w:val="20"/>
          <w:szCs w:val="20"/>
        </w:rPr>
        <w:t xml:space="preserve">pip install pyinstaller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12529"/>
          <w:sz w:val="22"/>
          <w:szCs w:val="22"/>
        </w:rPr>
        <w:t xml:space="preserve">Compiler :</w:t>
      </w:r>
    </w:p>
    <w:p>
      <w:pPr>
        <w:shd w:fill="F2F4F5" w:color="auto" w:val="clear"/>
        <w:spacing w:after="40"/>
      </w:pPr>
      <w:r>
        <w:rPr>
          <w:rFonts w:ascii="Consolas" w:cs="Consolas" w:eastAsia="Consolas" w:hAnsi="Consolas"/>
          <w:color w:val="0B5D3B"/>
          <w:sz w:val="20"/>
          <w:szCs w:val="20"/>
        </w:rPr>
        <w:t xml:space="preserve">python compiler_exe.py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12529"/>
          <w:sz w:val="22"/>
          <w:szCs w:val="22"/>
        </w:rPr>
        <w:t xml:space="preserve">Récupérer l'exécutable généré :</w:t>
      </w:r>
    </w:p>
    <w:p>
      <w:pPr>
        <w:shd w:fill="F2F4F5" w:color="auto" w:val="clear"/>
        <w:spacing w:after="40"/>
      </w:pPr>
      <w:r>
        <w:rPr>
          <w:rFonts w:ascii="Consolas" w:cs="Consolas" w:eastAsia="Consolas" w:hAnsi="Consolas"/>
          <w:color w:val="0B5D3B"/>
          <w:sz w:val="20"/>
          <w:szCs w:val="20"/>
        </w:rPr>
        <w:t xml:space="preserve">dist\Corecto.exe</w:t>
      </w:r>
    </w:p>
    <w:p>
      <w:pPr>
        <w:spacing w:after="100"/>
      </w:pPr>
      <w:r>
        <w:rPr>
          <w:color w:val="212529"/>
          <w:sz w:val="22"/>
          <w:szCs w:val="22"/>
        </w:rPr>
        <w:t xml:space="preserve">Corecto.exe est un fichier unique et portable, à distribuer à l'équipe (aucune installation de Python nécessaire sur leur poste).</w:t>
      </w:r>
    </w:p>
    <w:p>
      <w:pPr>
        <w:spacing w:after="100"/>
      </w:pPr>
      <w:r>
        <w:rPr>
          <w:i/>
          <w:iCs/>
          <w:color w:val="6c757d"/>
          <w:sz w:val="22"/>
          <w:szCs w:val="22"/>
        </w:rPr>
        <w:t xml:space="preserve">Note : au 1er lancement, Windows peut afficher un avertissement « Éditeur inconnu » (faux positif classique de PyInstaller) → « Informations complémentaires » puis « Exécuter quand même ».</w:t>
      </w:r>
    </w:p>
    <w:sectPr>
      <w:pgSz w:w="12240" w:h="15840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Corecto — Règles et guide</dc:title>
  <dc:creator>Corecto</dc:creator>
  <cp:lastModifiedBy>Un-named</cp:lastModifiedBy>
  <cp:revision>1</cp:revision>
  <dcterms:created xsi:type="dcterms:W3CDTF">2026-09-03T09:19:10.715Z</dcterms:created>
  <dcterms:modified xsi:type="dcterms:W3CDTF">2026-09-03T09:19:10.729Z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