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98754"/>
          <w:sz w:val="40"/>
          <w:szCs w:val="40"/>
        </w:rPr>
        <w:t xml:space="preserve">Application « Analyses Anomalies »</w:t>
      </w:r>
    </w:p>
    <w:p>
      <w:pPr>
        <w:spacing w:after="40"/>
        <w:jc w:val="center"/>
      </w:pPr>
      <w:r>
        <w:rPr>
          <w:color w:val="212529"/>
          <w:sz w:val="26"/>
          <w:szCs w:val="26"/>
        </w:rPr>
        <w:t xml:space="preserve">Règles de contrôle des anomalies</w:t>
      </w:r>
    </w:p>
    <w:p>
      <w:pPr>
        <w:spacing w:after="240"/>
        <w:jc w:val="center"/>
      </w:pPr>
      <w:r>
        <w:rPr>
          <w:i/>
          <w:iCs/>
          <w:color w:val="6c757d"/>
          <w:sz w:val="20"/>
          <w:szCs w:val="20"/>
        </w:rPr>
        <w:t xml:space="preserve">Document de synthèse — pour validation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L'application analyse trois fichiers de compteurs d'eau (Radiorelève, Télérelève et Manuelle) et signale les lignes non conformes. Chaque type de contrôle ci-dessous génère une anomalie dans le rapport lorsque la condition n'est pas respectée. Les rapports Excel produits surlignent les cellules concernées et proposent, quand c'est possible, une valeur corrigée.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1. Règles communes (tous les modes)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Champs obligatoires : </w:t>
      </w:r>
      <w:r>
        <w:rPr>
          <w:color w:val="212529"/>
          <w:sz w:val="22"/>
          <w:szCs w:val="22"/>
        </w:rPr>
        <w:t xml:space="preserve">les champs Marque, Numéro de compteur, Diamètre et Année de fabrication doivent être renseignés.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Coordonnées GPS : </w:t>
      </w:r>
      <w:r>
        <w:rPr>
          <w:color w:val="212529"/>
          <w:sz w:val="22"/>
          <w:szCs w:val="22"/>
        </w:rPr>
        <w:t xml:space="preserve">latitude et longitude doivent être numériques, non nulles et dans des bornes plausibles (latitude entre -90 et 90, longitude entre -180 et 180).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Marque autorisée : </w:t>
      </w:r>
      <w:r>
        <w:rPr>
          <w:color w:val="212529"/>
          <w:sz w:val="22"/>
          <w:szCs w:val="22"/>
        </w:rPr>
        <w:t xml:space="preserve">la marque doit figurer dans la liste des marques autorisées du mode de relève.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Type Compteur autorisé : </w:t>
      </w:r>
      <w:r>
        <w:rPr>
          <w:color w:val="212529"/>
          <w:sz w:val="22"/>
          <w:szCs w:val="22"/>
        </w:rPr>
        <w:t xml:space="preserve">le code Type Compteur doit figurer dans la liste des codes autorisés.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Type Compteur : </w:t>
      </w:r>
      <w:r>
        <w:rPr>
          <w:color w:val="212529"/>
          <w:sz w:val="22"/>
          <w:szCs w:val="22"/>
        </w:rPr>
        <w:t xml:space="preserve">le Type Compteur doit correspondre à celui déduit du numéro de compteur (SAPPEL : 1re + 4e lettre ; ITRON : « I » + 4e lettre).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Marque / préfixe : </w:t>
      </w:r>
      <w:r>
        <w:rPr>
          <w:color w:val="212529"/>
          <w:sz w:val="22"/>
          <w:szCs w:val="22"/>
        </w:rPr>
        <w:t xml:space="preserve">un compteur commençant par C → SAPPEL (C), par H → SAPPEL (H), par I ou D → ITRON.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FP2E : </w:t>
      </w:r>
      <w:r>
        <w:rPr>
          <w:color w:val="212529"/>
          <w:sz w:val="22"/>
          <w:szCs w:val="22"/>
        </w:rPr>
        <w:t xml:space="preserve">pour un numéro au format FP2E, l'année (millésime) et le diamètre doivent correspondre à ce qu'indique le numéro de compteur (voir §6).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2. Radiorelève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Marques autorisées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SAPPEL (H), SAPPEL (C), KAMSTRUP, U Kamstrup.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Contrôles spécifiques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Protocole radio : </w:t>
      </w:r>
      <w:r>
        <w:rPr>
          <w:color w:val="212529"/>
          <w:sz w:val="22"/>
          <w:szCs w:val="22"/>
        </w:rPr>
        <w:t xml:space="preserve">KAMSTRUP → WMS ; SAPPEL fabriqué en 2022 ou avant → WMS, après 2022 → OMS.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KAMSTRUP (classique) : </w:t>
      </w:r>
      <w:r>
        <w:rPr>
          <w:color w:val="212529"/>
          <w:sz w:val="22"/>
          <w:szCs w:val="22"/>
        </w:rPr>
        <w:t xml:space="preserve">numéro de compteur = 8 caractères ; compteur = numéro de tête ; valeurs numériques ; diamètre compris entre 15 et 80.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U Kamstrup : </w:t>
      </w:r>
      <w:r>
        <w:rPr>
          <w:color w:val="212529"/>
          <w:sz w:val="22"/>
          <w:szCs w:val="22"/>
        </w:rPr>
        <w:t xml:space="preserve">numéro de compteur = 11 caractères (12 pour les Traités 965/455/899), au format FP2E ; numéro de tête = 8 chiffres.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SAPPEL : </w:t>
      </w:r>
      <w:r>
        <w:rPr>
          <w:color w:val="212529"/>
          <w:sz w:val="22"/>
          <w:szCs w:val="22"/>
        </w:rPr>
        <w:t xml:space="preserve">compteur commençant par C ou H ; tête « DME » = 15 caractères ; si Type Compteur = SEN4, tête = 16 caractères.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ITRON : </w:t>
      </w:r>
      <w:r>
        <w:rPr>
          <w:color w:val="212529"/>
          <w:sz w:val="22"/>
          <w:szCs w:val="22"/>
        </w:rPr>
        <w:t xml:space="preserve">compteur commençant par I ou 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Numéro de tête : </w:t>
      </w:r>
      <w:r>
        <w:rPr>
          <w:color w:val="212529"/>
          <w:sz w:val="22"/>
          <w:szCs w:val="22"/>
        </w:rPr>
        <w:t xml:space="preserve">obligatoire (sauf cas KAMSTRUP et certains SAPPEL anciens).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3. Télérelève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Marques autorisées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INTEGRA, ITRON, KAIFA, KAMSTRUP, SAPPEL (C), SAPPEL (H), SENSUS, SOCAM, U Kamstrup.</w:t>
      </w:r>
    </w:p>
    <w:p>
      <w:pPr>
        <w:pStyle w:val="Heading2"/>
        <w:spacing w:after="100" w:before="220"/>
      </w:pPr>
      <w:r>
        <w:rPr>
          <w:b/>
          <w:bCs/>
          <w:color w:val="212529"/>
          <w:sz w:val="24"/>
          <w:szCs w:val="24"/>
        </w:rPr>
        <w:t xml:space="preserve">Contrôles spécifiques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Protocole : </w:t>
      </w:r>
      <w:r>
        <w:rPr>
          <w:color w:val="212529"/>
          <w:sz w:val="22"/>
          <w:szCs w:val="22"/>
        </w:rPr>
        <w:t xml:space="preserve">Traité commençant par 312, 455, 863, 895, 903 ou 956 → LRA ; tous les autres → SGX.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KAMSTRUP (classique) : </w:t>
      </w:r>
      <w:r>
        <w:rPr>
          <w:color w:val="212529"/>
          <w:sz w:val="22"/>
          <w:szCs w:val="22"/>
        </w:rPr>
        <w:t xml:space="preserve">numéro de compteur = 8 caractères ; compteur = numéro de tête ; diamètre compris entre 15 et 80.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U Kamstrup : </w:t>
      </w:r>
      <w:r>
        <w:rPr>
          <w:color w:val="212529"/>
          <w:sz w:val="22"/>
          <w:szCs w:val="22"/>
        </w:rPr>
        <w:t xml:space="preserve">numéro de compteur = 11 caractères (12 pour les Traités 965/455/899), au format FP2E ; numéro de tête = 8 chiffres.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SAPPEL : </w:t>
      </w:r>
      <w:r>
        <w:rPr>
          <w:color w:val="212529"/>
          <w:sz w:val="22"/>
          <w:szCs w:val="22"/>
        </w:rPr>
        <w:t xml:space="preserve">numéro de tête = 16 caractères (15 si Type Compteur = SEN3).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ITRON : </w:t>
      </w:r>
      <w:r>
        <w:rPr>
          <w:color w:val="212529"/>
          <w:sz w:val="22"/>
          <w:szCs w:val="22"/>
        </w:rPr>
        <w:t xml:space="preserve">numéro de tête = 8 caractères.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Numéro de tête : </w:t>
      </w:r>
      <w:r>
        <w:rPr>
          <w:color w:val="212529"/>
          <w:sz w:val="22"/>
          <w:szCs w:val="22"/>
        </w:rPr>
        <w:t xml:space="preserve">obligatoire (sauf KAMSTRUP et KAIFA).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4. Manuelle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Coordonnées GPS : </w:t>
      </w:r>
      <w:r>
        <w:rPr>
          <w:color w:val="212529"/>
          <w:sz w:val="22"/>
          <w:szCs w:val="22"/>
        </w:rPr>
        <w:t xml:space="preserve">latitude et longitude numériques et valides.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Type Compteur autorisé : </w:t>
      </w:r>
      <w:r>
        <w:rPr>
          <w:color w:val="212529"/>
          <w:sz w:val="22"/>
          <w:szCs w:val="22"/>
        </w:rPr>
        <w:t xml:space="preserve">le code Type Compteur doit figurer dans la liste autorisée.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Format compteur : </w:t>
      </w:r>
      <w:r>
        <w:rPr>
          <w:color w:val="212529"/>
          <w:sz w:val="22"/>
          <w:szCs w:val="22"/>
        </w:rPr>
        <w:t xml:space="preserve">pour SAPPEL et ITRON, le numéro de compteur doit être au format FP2E.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Marque / préfixe : </w:t>
      </w:r>
      <w:r>
        <w:rPr>
          <w:color w:val="212529"/>
          <w:sz w:val="22"/>
          <w:szCs w:val="22"/>
        </w:rPr>
        <w:t xml:space="preserve">préfixe C/H → SAPPEL, I/D → ITRON.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FP2E : </w:t>
      </w:r>
      <w:r>
        <w:rPr>
          <w:color w:val="212529"/>
          <w:sz w:val="22"/>
          <w:szCs w:val="22"/>
        </w:rPr>
        <w:t xml:space="preserve">année (millésime) et diamètre cohérents avec le numéro de compteur.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212529"/>
          <w:sz w:val="22"/>
          <w:szCs w:val="22"/>
        </w:rPr>
        <w:t xml:space="preserve">Cohérence Type Compteur : </w:t>
      </w:r>
      <w:r>
        <w:rPr>
          <w:color w:val="212529"/>
          <w:sz w:val="22"/>
          <w:szCs w:val="22"/>
        </w:rPr>
        <w:t xml:space="preserve">Type Compteur cohérent avec le numéro de compteur.</w:t>
      </w:r>
    </w:p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5. Correspondance lettre FP2E → diamètre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La 5e position du numéro de compteur FP2E (une lettre) indique le diamètre attendu 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rPr>
          <w:tblHeader/>
        </w:trPr>
        <w:tc>
          <w:tcPr>
            <w:tcW w:type="dxa" w:w="2500"/>
            <w:shd w:fill="1987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Lettre</w:t>
            </w:r>
          </w:p>
        </w:tc>
        <w:tc>
          <w:tcPr>
            <w:tcW w:type="dxa" w:w="3500"/>
            <w:shd w:fill="19875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Diamètre (mm)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A / U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B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C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D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E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F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G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60 ou 65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H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I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100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J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125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K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L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M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N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O</w:t>
            </w:r>
          </w:p>
        </w:tc>
        <w:tc>
          <w:tcPr>
            <w:tcW w:type="dxa" w:w="3500"/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2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P</w:t>
            </w:r>
          </w:p>
        </w:tc>
        <w:tc>
          <w:tcPr>
            <w:tcW w:type="dxa" w:w="3500"/>
            <w:shd w:fill="F2F4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color w:val="212529"/>
                <w:sz w:val="20"/>
                <w:szCs w:val="20"/>
              </w:rPr>
              <w:t xml:space="preserve">400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98754"/>
          <w:sz w:val="30"/>
          <w:szCs w:val="30"/>
        </w:rPr>
        <w:t xml:space="preserve">6. Règles modifiables sans informatique</w:t>
      </w:r>
    </w:p>
    <w:p>
      <w:pPr>
        <w:spacing w:after="100"/>
      </w:pPr>
      <w:r>
        <w:rPr>
          <w:color w:val="212529"/>
          <w:sz w:val="22"/>
          <w:szCs w:val="22"/>
        </w:rPr>
        <w:t xml:space="preserve">Pour que l'outil reste maintenable, certaines règles sont regroupées dans un fichier Excel de configuration (regles_anomalies.xlsx), modifiable directement par l'équipe via le bouton « Règles » de l'application, sans intervention sur le code 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marques autorisées par mode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codes Type Compteur autorisés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préfixes de Traité en protocole LRA (télérelève)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plage de diamètre autorisée par marque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longueur de tête attendue selon Marque / Type Compteur 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12529"/>
          <w:sz w:val="22"/>
          <w:szCs w:val="22"/>
        </w:rPr>
        <w:t xml:space="preserve">correspondance lettre FP2E → diamètre.</w:t>
      </w:r>
    </w:p>
    <w:p>
      <w:pPr>
        <w:spacing w:after="100"/>
      </w:pPr>
      <w:r>
        <w:rPr>
          <w:i/>
          <w:iCs/>
          <w:color w:val="6c757d"/>
          <w:sz w:val="22"/>
          <w:szCs w:val="22"/>
        </w:rPr>
        <w:t xml:space="preserve">Les règles techniques et stables (format du numéro FP2E, cohérence année/diamètre déduite du numéro) restent dans le code de l'application.</w:t>
      </w:r>
    </w:p>
    <w:sectPr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Règles de contrôle des anomalies</dc:title>
  <dc:creator>Analyses Anomalies</dc:creator>
  <cp:lastModifiedBy>Un-named</cp:lastModifiedBy>
  <cp:revision>1</cp:revision>
  <dcterms:created xsi:type="dcterms:W3CDTF">2026-09-02T12:52:40.236Z</dcterms:created>
  <dcterms:modified xsi:type="dcterms:W3CDTF">2026-09-02T12:52:40.237Z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