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198754"/>
          <w:sz w:val="56"/>
          <w:szCs w:val="56"/>
        </w:rPr>
        <w:t xml:space="preserve">📊 Korrect’eau</w:t>
      </w:r>
    </w:p>
    <w:p>
      <w:pPr>
        <w:spacing w:after="0" w:before="200"/>
        <w:jc w:val="center"/>
      </w:pPr>
      <w:r>
        <w:rPr>
          <w:b/>
          <w:bCs/>
          <w:color w:val="212529"/>
          <w:sz w:val="40"/>
          <w:szCs w:val="40"/>
        </w:rPr>
        <w:t xml:space="preserve">Documentation technique</w:t>
      </w:r>
    </w:p>
    <w:p>
      <w:pPr>
        <w:spacing w:after="0" w:before="160"/>
        <w:jc w:val="center"/>
      </w:pPr>
      <w:r>
        <w:rPr>
          <w:i/>
          <w:iCs/>
          <w:color w:val="6C757D"/>
          <w:sz w:val="24"/>
          <w:szCs w:val="24"/>
        </w:rPr>
        <w:t xml:space="preserve">Installation, compilation en logiciel et modification des règles</w:t>
      </w:r>
    </w:p>
    <w:p>
      <w:pPr>
        <w:spacing w:after="0" w:before="500"/>
        <w:jc w:val="center"/>
      </w:pPr>
      <w:r>
        <w:rPr>
          <w:b/>
          <w:bCs/>
          <w:color w:val="146C43"/>
          <w:sz w:val="20"/>
          <w:szCs w:val="20"/>
        </w:rPr>
        <w:t xml:space="preserve">Destiné à l’administrateur / au mainteneur de l’application</w:t>
      </w:r>
    </w:p>
    <w:p>
      <w:r>
        <w:br w:type="page"/>
      </w:r>
    </w:p>
    <w:p>
      <w:pPr>
        <w:pStyle w:val="Heading1"/>
      </w:pPr>
      <w: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320"/>
      </w:pPr>
      <w:r>
        <w:t xml:space="preserve">1. Présentation et architecture</w:t>
      </w:r>
    </w:p>
    <w:p>
      <w:pPr>
        <w:spacing w:after="120" w:line="276"/>
      </w:pPr>
      <w:r>
        <w:t xml:space="preserve">Korrect’eau est un outil de contrôle qualité des données de compteurs d’eau. Il analyse des fichiers Excel (radiorelève, télérelève, saisie manuelle) et produit des rapports Excel qui signalent les anomalies de saisie et surlignent les cellules fautives.</w:t>
      </w:r>
    </w:p>
    <w:p>
      <w:pPr>
        <w:spacing w:after="120" w:line="276"/>
      </w:pPr>
      <w:r>
        <w:t xml:space="preserve">L’application est écrite en Python. Elle peut être lancée telle quelle (mode développement) ou compilée en un exécutable Windows unique (.exe) à distribuer à l’équipe.</w:t>
      </w:r>
    </w:p>
    <w:p>
      <w:pPr>
        <w:pStyle w:val="Heading2"/>
        <w:spacing w:after="100" w:before="240"/>
      </w:pPr>
      <w:r>
        <w:t xml:space="preserve">Fichiers du projet</w:t>
      </w:r>
    </w:p>
    <w:tbl>
      <w:tblPr>
        <w:tblW w:type="dxa" w:w="9400"/>
        <w:tblBorders>
          <w:top w:val="single" w:color="CED4DA" w:sz="4"/>
          <w:left w:val="single" w:color="CED4DA" w:sz="4"/>
          <w:bottom w:val="single" w:color="CED4DA" w:sz="4"/>
          <w:right w:val="single" w:color="CED4DA" w:sz="4"/>
          <w:insideH w:val="single" w:color="DEE2E6" w:sz="4"/>
          <w:insideV w:val="single" w:color="DEE2E6" w:sz="4"/>
        </w:tblBorders>
      </w:tblPr>
      <w:tblGrid>
        <w:gridCol w:w="2600"/>
        <w:gridCol w:w="6800"/>
      </w:tblGrid>
      <w:tr>
        <w:trPr>
          <w:tblHeader/>
        </w:trPr>
        <w:tc>
          <w:tcPr>
            <w:tcW w:type="dxa" w:w="2600"/>
            <w:shd w:fill="198754" w:color="auto" w:val="clear"/>
            <w:tcMar>
              <w:top w:type="dxa" w:w="60"/>
              <w:left w:type="dxa" w:w="100"/>
              <w:bottom w:type="dxa" w:w="60"/>
              <w:right w:type="dxa" w:w="100"/>
            </w:tcMar>
          </w:tcPr>
          <w:p>
            <w:r>
              <w:rPr>
                <w:b/>
                <w:bCs/>
                <w:color w:val="FFFFFF"/>
                <w:sz w:val="19"/>
                <w:szCs w:val="19"/>
              </w:rPr>
              <w:t xml:space="preserve">Fichier</w:t>
            </w:r>
          </w:p>
        </w:tc>
        <w:tc>
          <w:tcPr>
            <w:tcW w:type="dxa" w:w="6800"/>
            <w:shd w:fill="198754" w:color="auto" w:val="clear"/>
            <w:tcMar>
              <w:top w:type="dxa" w:w="60"/>
              <w:left w:type="dxa" w:w="100"/>
              <w:bottom w:type="dxa" w:w="60"/>
              <w:right w:type="dxa" w:w="100"/>
            </w:tcMar>
          </w:tcPr>
          <w:p>
            <w:r>
              <w:rPr>
                <w:b/>
                <w:bCs/>
                <w:color w:val="FFFFFF"/>
                <w:sz w:val="19"/>
                <w:szCs w:val="19"/>
              </w:rPr>
              <w:t xml:space="preserve">Rôle</w:t>
            </w:r>
          </w:p>
        </w:tc>
      </w:tr>
      <w:tr>
        <w:tc>
          <w:tcPr>
            <w:tcW w:type="dxa" w:w="2600"/>
            <w:shd w:fill="FFFFFF" w:color="auto" w:val="clear"/>
            <w:tcMar>
              <w:top w:type="dxa" w:w="60"/>
              <w:left w:type="dxa" w:w="100"/>
              <w:bottom w:type="dxa" w:w="60"/>
              <w:right w:type="dxa" w:w="100"/>
            </w:tcMar>
          </w:tcPr>
          <w:p>
            <w:r>
              <w:rPr>
                <w:b/>
                <w:bCs/>
                <w:color w:val="212529"/>
                <w:sz w:val="19"/>
                <w:szCs w:val="19"/>
              </w:rPr>
              <w:t xml:space="preserve">app_analyses_anomalies.py</w:t>
            </w:r>
          </w:p>
        </w:tc>
        <w:tc>
          <w:tcPr>
            <w:tcW w:type="dxa" w:w="6800"/>
            <w:shd w:fill="FFFFFF" w:color="auto" w:val="clear"/>
            <w:tcMar>
              <w:top w:type="dxa" w:w="60"/>
              <w:left w:type="dxa" w:w="100"/>
              <w:bottom w:type="dxa" w:w="60"/>
              <w:right w:type="dxa" w:w="100"/>
            </w:tcMar>
          </w:tcPr>
          <w:p>
            <w:r>
              <w:rPr>
                <w:b w:val="false"/>
                <w:bCs w:val="false"/>
                <w:color w:val="212529"/>
                <w:sz w:val="19"/>
                <w:szCs w:val="19"/>
              </w:rPr>
              <w:t xml:space="preserve">Interface graphique (Tkinter). Sélection des fichiers, dossier de sortie, barre de progression, bouton « Règles ». Point d’entrée de l’application.</w:t>
            </w:r>
          </w:p>
        </w:tc>
      </w:tr>
      <w:tr>
        <w:tc>
          <w:tcPr>
            <w:tcW w:type="dxa" w:w="2600"/>
            <w:shd w:fill="FFFFFF" w:color="auto" w:val="clear"/>
            <w:tcMar>
              <w:top w:type="dxa" w:w="60"/>
              <w:left w:type="dxa" w:w="100"/>
              <w:bottom w:type="dxa" w:w="60"/>
              <w:right w:type="dxa" w:w="100"/>
            </w:tcMar>
          </w:tcPr>
          <w:p>
            <w:r>
              <w:rPr>
                <w:b/>
                <w:bCs/>
                <w:color w:val="212529"/>
                <w:sz w:val="19"/>
                <w:szCs w:val="19"/>
              </w:rPr>
              <w:t xml:space="preserve">logique_controles.py</w:t>
            </w:r>
          </w:p>
        </w:tc>
        <w:tc>
          <w:tcPr>
            <w:tcW w:type="dxa" w:w="6800"/>
            <w:shd w:fill="FFFFFF" w:color="auto" w:val="clear"/>
            <w:tcMar>
              <w:top w:type="dxa" w:w="60"/>
              <w:left w:type="dxa" w:w="100"/>
              <w:bottom w:type="dxa" w:w="60"/>
              <w:right w:type="dxa" w:w="100"/>
            </w:tcMar>
          </w:tcPr>
          <w:p>
            <w:r>
              <w:rPr>
                <w:b w:val="false"/>
                <w:bCs w:val="false"/>
                <w:color w:val="212529"/>
                <w:sz w:val="19"/>
                <w:szCs w:val="19"/>
              </w:rPr>
              <w:t xml:space="preserve">Moteur d’analyse : toutes les règles de validation et la génération des rapports Excel détaillés.</w:t>
            </w:r>
          </w:p>
        </w:tc>
      </w:tr>
      <w:tr>
        <w:tc>
          <w:tcPr>
            <w:tcW w:type="dxa" w:w="2600"/>
            <w:shd w:fill="FFFFFF" w:color="auto" w:val="clear"/>
            <w:tcMar>
              <w:top w:type="dxa" w:w="60"/>
              <w:left w:type="dxa" w:w="100"/>
              <w:bottom w:type="dxa" w:w="60"/>
              <w:right w:type="dxa" w:w="100"/>
            </w:tcMar>
          </w:tcPr>
          <w:p>
            <w:r>
              <w:rPr>
                <w:b/>
                <w:bCs/>
                <w:color w:val="212529"/>
                <w:sz w:val="19"/>
                <w:szCs w:val="19"/>
              </w:rPr>
              <w:t xml:space="preserve">main.py</w:t>
            </w:r>
          </w:p>
        </w:tc>
        <w:tc>
          <w:tcPr>
            <w:tcW w:type="dxa" w:w="6800"/>
            <w:shd w:fill="FFFFFF" w:color="auto" w:val="clear"/>
            <w:tcMar>
              <w:top w:type="dxa" w:w="60"/>
              <w:left w:type="dxa" w:w="100"/>
              <w:bottom w:type="dxa" w:w="60"/>
              <w:right w:type="dxa" w:w="100"/>
            </w:tcMar>
          </w:tcPr>
          <w:p>
            <w:r>
              <w:rPr>
                <w:b w:val="false"/>
                <w:bCs w:val="false"/>
                <w:color w:val="212529"/>
                <w:sz w:val="19"/>
                <w:szCs w:val="19"/>
              </w:rPr>
              <w:t xml:space="preserve">Orchestrateur (utilisable en ligne de commande) + utilitaires de regroupement des anomalies par « Traité ».</w:t>
            </w:r>
          </w:p>
        </w:tc>
      </w:tr>
      <w:tr>
        <w:tc>
          <w:tcPr>
            <w:tcW w:type="dxa" w:w="2600"/>
            <w:shd w:fill="FFFFFF" w:color="auto" w:val="clear"/>
            <w:tcMar>
              <w:top w:type="dxa" w:w="60"/>
              <w:left w:type="dxa" w:w="100"/>
              <w:bottom w:type="dxa" w:w="60"/>
              <w:right w:type="dxa" w:w="100"/>
            </w:tcMar>
          </w:tcPr>
          <w:p>
            <w:r>
              <w:rPr>
                <w:b/>
                <w:bCs/>
                <w:color w:val="212529"/>
                <w:sz w:val="19"/>
                <w:szCs w:val="19"/>
              </w:rPr>
              <w:t xml:space="preserve">regles_config.py</w:t>
            </w:r>
          </w:p>
        </w:tc>
        <w:tc>
          <w:tcPr>
            <w:tcW w:type="dxa" w:w="6800"/>
            <w:shd w:fill="FFFFFF" w:color="auto" w:val="clear"/>
            <w:tcMar>
              <w:top w:type="dxa" w:w="60"/>
              <w:left w:type="dxa" w:w="100"/>
              <w:bottom w:type="dxa" w:w="60"/>
              <w:right w:type="dxa" w:w="100"/>
            </w:tcMar>
          </w:tcPr>
          <w:p>
            <w:r>
              <w:rPr>
                <w:b w:val="false"/>
                <w:bCs w:val="false"/>
                <w:color w:val="212529"/>
                <w:sz w:val="19"/>
                <w:szCs w:val="19"/>
              </w:rPr>
              <w:t xml:space="preserve">Gestion des règles externalisées dans le fichier Excel regles_anomalies.xlsx (lecture, valeurs par défaut, génération).</w:t>
            </w:r>
          </w:p>
        </w:tc>
      </w:tr>
      <w:tr>
        <w:tc>
          <w:tcPr>
            <w:tcW w:type="dxa" w:w="2600"/>
            <w:shd w:fill="FFFFFF" w:color="auto" w:val="clear"/>
            <w:tcMar>
              <w:top w:type="dxa" w:w="60"/>
              <w:left w:type="dxa" w:w="100"/>
              <w:bottom w:type="dxa" w:w="60"/>
              <w:right w:type="dxa" w:w="100"/>
            </w:tcMar>
          </w:tcPr>
          <w:p>
            <w:r>
              <w:rPr>
                <w:b/>
                <w:bCs/>
                <w:color w:val="212529"/>
                <w:sz w:val="19"/>
                <w:szCs w:val="19"/>
              </w:rPr>
              <w:t xml:space="preserve">regles_anomalies.xlsx</w:t>
            </w:r>
          </w:p>
        </w:tc>
        <w:tc>
          <w:tcPr>
            <w:tcW w:type="dxa" w:w="6800"/>
            <w:shd w:fill="FFFFFF" w:color="auto" w:val="clear"/>
            <w:tcMar>
              <w:top w:type="dxa" w:w="60"/>
              <w:left w:type="dxa" w:w="100"/>
              <w:bottom w:type="dxa" w:w="60"/>
              <w:right w:type="dxa" w:w="100"/>
            </w:tcMar>
          </w:tcPr>
          <w:p>
            <w:r>
              <w:rPr>
                <w:b w:val="false"/>
                <w:bCs w:val="false"/>
                <w:color w:val="212529"/>
                <w:sz w:val="19"/>
                <w:szCs w:val="19"/>
              </w:rPr>
              <w:t xml:space="preserve">Fichier de configuration des règles « simples », modifiable sans toucher au code.</w:t>
            </w:r>
          </w:p>
        </w:tc>
      </w:tr>
      <w:tr>
        <w:tc>
          <w:tcPr>
            <w:tcW w:type="dxa" w:w="2600"/>
            <w:shd w:fill="FFFFFF" w:color="auto" w:val="clear"/>
            <w:tcMar>
              <w:top w:type="dxa" w:w="60"/>
              <w:left w:type="dxa" w:w="100"/>
              <w:bottom w:type="dxa" w:w="60"/>
              <w:right w:type="dxa" w:w="100"/>
            </w:tcMar>
          </w:tcPr>
          <w:p>
            <w:r>
              <w:rPr>
                <w:b/>
                <w:bCs/>
                <w:color w:val="212529"/>
                <w:sz w:val="19"/>
                <w:szCs w:val="19"/>
              </w:rPr>
              <w:t xml:space="preserve">compiler_exe.py</w:t>
            </w:r>
          </w:p>
        </w:tc>
        <w:tc>
          <w:tcPr>
            <w:tcW w:type="dxa" w:w="6800"/>
            <w:shd w:fill="FFFFFF" w:color="auto" w:val="clear"/>
            <w:tcMar>
              <w:top w:type="dxa" w:w="60"/>
              <w:left w:type="dxa" w:w="100"/>
              <w:bottom w:type="dxa" w:w="60"/>
              <w:right w:type="dxa" w:w="100"/>
            </w:tcMar>
          </w:tcPr>
          <w:p>
            <w:r>
              <w:rPr>
                <w:b w:val="false"/>
                <w:bCs w:val="false"/>
                <w:color w:val="212529"/>
                <w:sz w:val="19"/>
                <w:szCs w:val="19"/>
              </w:rPr>
              <w:t xml:space="preserve">Script de compilation en .exe (PyInstaller).</w:t>
            </w:r>
          </w:p>
        </w:tc>
      </w:tr>
      <w:tr>
        <w:tc>
          <w:tcPr>
            <w:tcW w:type="dxa" w:w="2600"/>
            <w:shd w:fill="FFFFFF" w:color="auto" w:val="clear"/>
            <w:tcMar>
              <w:top w:type="dxa" w:w="60"/>
              <w:left w:type="dxa" w:w="100"/>
              <w:bottom w:type="dxa" w:w="60"/>
              <w:right w:type="dxa" w:w="100"/>
            </w:tcMar>
          </w:tcPr>
          <w:p>
            <w:r>
              <w:rPr>
                <w:b/>
                <w:bCs/>
                <w:color w:val="212529"/>
                <w:sz w:val="19"/>
                <w:szCs w:val="19"/>
              </w:rPr>
              <w:t xml:space="preserve">Korrecteau.spec</w:t>
            </w:r>
          </w:p>
        </w:tc>
        <w:tc>
          <w:tcPr>
            <w:tcW w:type="dxa" w:w="6800"/>
            <w:shd w:fill="FFFFFF" w:color="auto" w:val="clear"/>
            <w:tcMar>
              <w:top w:type="dxa" w:w="60"/>
              <w:left w:type="dxa" w:w="100"/>
              <w:bottom w:type="dxa" w:w="60"/>
              <w:right w:type="dxa" w:w="100"/>
            </w:tcMar>
          </w:tcPr>
          <w:p>
            <w:r>
              <w:rPr>
                <w:b w:val="false"/>
                <w:bCs w:val="false"/>
                <w:color w:val="212529"/>
                <w:sz w:val="19"/>
                <w:szCs w:val="19"/>
              </w:rPr>
              <w:t xml:space="preserve">Fichier de spécification PyInstaller (équivalent des options de compilation).</w:t>
            </w:r>
          </w:p>
        </w:tc>
      </w:tr>
      <w:tr>
        <w:tc>
          <w:tcPr>
            <w:tcW w:type="dxa" w:w="2600"/>
            <w:shd w:fill="FFFFFF" w:color="auto" w:val="clear"/>
            <w:tcMar>
              <w:top w:type="dxa" w:w="60"/>
              <w:left w:type="dxa" w:w="100"/>
              <w:bottom w:type="dxa" w:w="60"/>
              <w:right w:type="dxa" w:w="100"/>
            </w:tcMar>
          </w:tcPr>
          <w:p>
            <w:r>
              <w:rPr>
                <w:b/>
                <w:bCs/>
                <w:color w:val="212529"/>
                <w:sz w:val="19"/>
                <w:szCs w:val="19"/>
              </w:rPr>
              <w:t xml:space="preserve">requirements.txt</w:t>
            </w:r>
          </w:p>
        </w:tc>
        <w:tc>
          <w:tcPr>
            <w:tcW w:type="dxa" w:w="6800"/>
            <w:shd w:fill="FFFFFF" w:color="auto" w:val="clear"/>
            <w:tcMar>
              <w:top w:type="dxa" w:w="60"/>
              <w:left w:type="dxa" w:w="100"/>
              <w:bottom w:type="dxa" w:w="60"/>
              <w:right w:type="dxa" w:w="100"/>
            </w:tcMar>
          </w:tcPr>
          <w:p>
            <w:r>
              <w:rPr>
                <w:b w:val="false"/>
                <w:bCs w:val="false"/>
                <w:color w:val="212529"/>
                <w:sz w:val="19"/>
                <w:szCs w:val="19"/>
              </w:rPr>
              <w:t xml:space="preserve">Liste des dépendances Python.</w:t>
            </w:r>
          </w:p>
        </w:tc>
      </w:tr>
    </w:tbl>
    <w:p>
      <w:pPr>
        <w:spacing w:after="60"/>
      </w:pPr>
    </w:p>
    <w:p>
      <w:pPr>
        <w:pStyle w:val="Heading2"/>
        <w:spacing w:after="100" w:before="240"/>
      </w:pPr>
      <w:r>
        <w:t xml:space="preserve">Chaîne de traitement</w:t>
      </w:r>
    </w:p>
    <w:p>
      <w:pPr>
        <w:pStyle w:val="ListParagraph"/>
        <w:numPr>
          <w:ilvl w:val="0"/>
          <w:numId w:val="2"/>
        </w:numPr>
        <w:spacing w:after="60"/>
      </w:pPr>
      <w:r>
        <w:rPr>
          <w:b w:val="false"/>
          <w:bCs w:val="false"/>
        </w:rPr>
        <w:t xml:space="preserve">L’interface (app_analyses_anomalies.py) appelle les fonctions du moteur : check_data_radio(), check_data_tele(), check_data_manuelle().</w:t>
      </w:r>
    </w:p>
    <w:p>
      <w:pPr>
        <w:pStyle w:val="ListParagraph"/>
        <w:numPr>
          <w:ilvl w:val="0"/>
          <w:numId w:val="2"/>
        </w:numPr>
        <w:spacing w:after="60"/>
      </w:pPr>
      <w:r>
        <w:rPr>
          <w:b w:val="false"/>
          <w:bCs w:val="false"/>
        </w:rPr>
        <w:t xml:space="preserve">Chaque fonction renvoie les lignes en anomalie ; creer_rapport_excel_detaille() génère le rapport Excel par mode.</w:t>
      </w:r>
    </w:p>
    <w:p>
      <w:pPr>
        <w:pStyle w:val="ListParagraph"/>
        <w:numPr>
          <w:ilvl w:val="0"/>
          <w:numId w:val="2"/>
        </w:numPr>
        <w:spacing w:after="60"/>
      </w:pPr>
      <w:r>
        <w:rPr>
          <w:b w:val="false"/>
          <w:bCs w:val="false"/>
        </w:rPr>
        <w:t xml:space="preserve">main.py regroupe ensuite les anomalies par Traité (3 premiers chiffres) dans un sous-dossier « Traites/ ».</w:t>
      </w:r>
    </w:p>
    <w:p>
      <w:pPr>
        <w:pStyle w:val="Heading1"/>
        <w:spacing w:after="140" w:before="320"/>
      </w:pPr>
      <w:r>
        <w:t xml:space="preserve">2. Prérequis</w:t>
      </w:r>
    </w:p>
    <w:p>
      <w:pPr>
        <w:pStyle w:val="ListParagraph"/>
        <w:numPr>
          <w:ilvl w:val="0"/>
          <w:numId w:val="2"/>
        </w:numPr>
        <w:spacing w:after="60"/>
      </w:pPr>
      <w:r>
        <w:rPr>
          <w:b w:val="false"/>
          <w:bCs w:val="false"/>
        </w:rPr>
        <w:t xml:space="preserve">Windows 10 ou 11.</w:t>
      </w:r>
    </w:p>
    <w:p>
      <w:pPr>
        <w:pStyle w:val="ListParagraph"/>
        <w:numPr>
          <w:ilvl w:val="0"/>
          <w:numId w:val="2"/>
        </w:numPr>
        <w:spacing w:after="60"/>
      </w:pPr>
      <w:r>
        <w:rPr>
          <w:b w:val="false"/>
          <w:bCs w:val="false"/>
        </w:rPr>
        <w:t xml:space="preserve">Python 3.8 ou supérieur (uniquement pour l’administrateur qui installe / compile ; les utilisateurs finaux n’en ont pas besoin avec le .exe).</w:t>
      </w:r>
    </w:p>
    <w:p>
      <w:pPr>
        <w:pStyle w:val="ListParagraph"/>
        <w:numPr>
          <w:ilvl w:val="0"/>
          <w:numId w:val="2"/>
        </w:numPr>
        <w:spacing w:after="60"/>
      </w:pPr>
      <w:r>
        <w:rPr>
          <w:b w:val="false"/>
          <w:bCs w:val="false"/>
        </w:rPr>
        <w:t xml:space="preserve">Les dépendances listées dans requirements.txt :</w:t>
      </w:r>
    </w:p>
    <w:p>
      <w:pPr>
        <w:pBdr>
          <w:left w:val="single" w:color="198754" w:sz="18" w:space="8"/>
        </w:pBdr>
        <w:shd w:fill="F1F3F5" w:color="auto" w:val="clear"/>
        <w:spacing w:after="120"/>
      </w:pPr>
      <w:r>
        <w:rPr>
          <w:rFonts w:ascii="Consolas" w:cs="Consolas" w:eastAsia="Consolas" w:hAnsi="Consolas"/>
          <w:sz w:val="19"/>
          <w:szCs w:val="19"/>
        </w:rPr>
        <w:t xml:space="preserve">pandas==2.1.4</w:t>
      </w:r>
      <w:r>
        <w:rPr>
          <w:rFonts w:ascii="Consolas" w:cs="Consolas" w:eastAsia="Consolas" w:hAnsi="Consolas"/>
          <w:sz w:val="19"/>
          <w:szCs w:val="19"/>
        </w:rPr>
        <w:br/>
        <w:t xml:space="preserve">openpyxl==3.1.2</w:t>
      </w:r>
      <w:r>
        <w:rPr>
          <w:rFonts w:ascii="Consolas" w:cs="Consolas" w:eastAsia="Consolas" w:hAnsi="Consolas"/>
          <w:sz w:val="19"/>
          <w:szCs w:val="19"/>
        </w:rPr>
        <w:br/>
        <w:t xml:space="preserve">tkinterdnd2==0.3.0</w:t>
      </w:r>
      <w:r>
        <w:rPr>
          <w:rFonts w:ascii="Consolas" w:cs="Consolas" w:eastAsia="Consolas" w:hAnsi="Consolas"/>
          <w:sz w:val="19"/>
          <w:szCs w:val="19"/>
        </w:rPr>
        <w:br/>
        <w:t xml:space="preserve">xlrd==2.0.1</w:t>
      </w:r>
    </w:p>
    <w:p>
      <w:pPr>
        <w:pStyle w:val="Heading1"/>
        <w:spacing w:after="140" w:before="320"/>
      </w:pPr>
      <w:r>
        <w:t xml:space="preserve">3. Installation en mode développement</w:t>
      </w:r>
    </w:p>
    <w:p>
      <w:pPr>
        <w:spacing w:after="120" w:line="276"/>
      </w:pPr>
      <w:r>
        <w:t xml:space="preserve">Ouvrez un terminal (CMD ou PowerShell) dans le dossier contenant les fichiers, puis :</w:t>
      </w:r>
    </w:p>
    <w:p>
      <w:pPr>
        <w:pStyle w:val="Heading3"/>
        <w:spacing w:after="80" w:before="180"/>
      </w:pPr>
      <w:r>
        <w:t xml:space="preserve">Étape 1 — Installer les dépendances</w:t>
      </w:r>
    </w:p>
    <w:p>
      <w:pPr>
        <w:pBdr>
          <w:left w:val="single" w:color="198754" w:sz="18" w:space="8"/>
        </w:pBdr>
        <w:shd w:fill="F1F3F5" w:color="auto" w:val="clear"/>
        <w:spacing w:after="120"/>
      </w:pPr>
      <w:r>
        <w:rPr>
          <w:rFonts w:ascii="Consolas" w:cs="Consolas" w:eastAsia="Consolas" w:hAnsi="Consolas"/>
          <w:sz w:val="19"/>
          <w:szCs w:val="19"/>
        </w:rPr>
        <w:t xml:space="preserve">pip install -r requirements.txt</w:t>
      </w:r>
    </w:p>
    <w:p>
      <w:pPr>
        <w:pStyle w:val="Heading3"/>
        <w:spacing w:after="80" w:before="180"/>
      </w:pPr>
      <w:r>
        <w:t xml:space="preserve">Étape 2 — Lancer l’application</w:t>
      </w:r>
    </w:p>
    <w:p>
      <w:pPr>
        <w:pBdr>
          <w:left w:val="single" w:color="198754" w:sz="18" w:space="8"/>
        </w:pBdr>
        <w:shd w:fill="F1F3F5" w:color="auto" w:val="clear"/>
        <w:spacing w:after="120"/>
      </w:pPr>
      <w:r>
        <w:rPr>
          <w:rFonts w:ascii="Consolas" w:cs="Consolas" w:eastAsia="Consolas" w:hAnsi="Consolas"/>
          <w:sz w:val="19"/>
          <w:szCs w:val="19"/>
        </w:rPr>
        <w:t xml:space="preserve">python app_analyses_anomalies.py</w:t>
      </w:r>
    </w:p>
    <w:p>
      <w:pPr>
        <w:spacing w:after="120" w:line="276"/>
      </w:pPr>
      <w:r>
        <w:t xml:space="preserve">L’interface graphique doit s’ouvrir. Vous pouvez tester avec vos fichiers Excel.</w:t>
      </w:r>
    </w:p>
    <w:p>
      <w:pPr>
        <w:pStyle w:val="Heading1"/>
        <w:spacing w:after="140" w:before="320"/>
      </w:pPr>
      <w:r>
        <w:t xml:space="preserve">4. Compiler l’application en logiciel (.exe)</w:t>
      </w:r>
    </w:p>
    <w:p>
      <w:pPr>
        <w:spacing w:after="120" w:line="276"/>
      </w:pPr>
      <w:r>
        <w:t xml:space="preserve">La compilation transforme le code Python en un exécutable Windows unique et portable, à distribuer à l’équipe. Aucune installation de Python n’est ensuite nécessaire sur les postes des utilisateurs.</w:t>
      </w:r>
    </w:p>
    <w:p>
      <w:pPr>
        <w:pStyle w:val="Heading3"/>
        <w:spacing w:after="80" w:before="180"/>
      </w:pPr>
      <w:r>
        <w:t xml:space="preserve">Méthode recommandée — le script fourni</w:t>
      </w:r>
    </w:p>
    <w:p>
      <w:pPr>
        <w:pBdr>
          <w:left w:val="single" w:color="198754" w:sz="18" w:space="8"/>
        </w:pBdr>
        <w:shd w:fill="F1F3F5" w:color="auto" w:val="clear"/>
        <w:spacing w:after="120"/>
      </w:pPr>
      <w:r>
        <w:rPr>
          <w:rFonts w:ascii="Consolas" w:cs="Consolas" w:eastAsia="Consolas" w:hAnsi="Consolas"/>
          <w:sz w:val="19"/>
          <w:szCs w:val="19"/>
        </w:rPr>
        <w:t xml:space="preserve">python compiler_exe.py</w:t>
      </w:r>
    </w:p>
    <w:p>
      <w:pPr>
        <w:spacing w:after="120" w:line="276"/>
      </w:pPr>
      <w:r>
        <w:t xml:space="preserve">Le script installe PyInstaller si besoin, puis lance la compilation. À la fin, l’exécutable se trouve dans le dossier dist/ :</w:t>
      </w:r>
    </w:p>
    <w:p>
      <w:pPr>
        <w:pBdr>
          <w:left w:val="single" w:color="198754" w:sz="18" w:space="8"/>
        </w:pBdr>
        <w:shd w:fill="F1F3F5" w:color="auto" w:val="clear"/>
        <w:spacing w:after="120"/>
      </w:pPr>
      <w:r>
        <w:rPr>
          <w:rFonts w:ascii="Consolas" w:cs="Consolas" w:eastAsia="Consolas" w:hAnsi="Consolas"/>
          <w:sz w:val="19"/>
          <w:szCs w:val="19"/>
        </w:rPr>
        <w:t xml:space="preserve">dist/Korrecteau.exe</w:t>
      </w:r>
    </w:p>
    <w:p>
      <w:pPr>
        <w:pStyle w:val="Heading3"/>
        <w:spacing w:after="80" w:before="180"/>
      </w:pPr>
      <w:r>
        <w:t xml:space="preserve">Ce que fait le script (options PyInstaller)</w:t>
      </w:r>
    </w:p>
    <w:tbl>
      <w:tblPr>
        <w:tblW w:type="dxa" w:w="9400"/>
        <w:tblBorders>
          <w:top w:val="single" w:color="CED4DA" w:sz="4"/>
          <w:left w:val="single" w:color="CED4DA" w:sz="4"/>
          <w:bottom w:val="single" w:color="CED4DA" w:sz="4"/>
          <w:right w:val="single" w:color="CED4DA" w:sz="4"/>
          <w:insideH w:val="single" w:color="DEE2E6" w:sz="4"/>
          <w:insideV w:val="single" w:color="DEE2E6" w:sz="4"/>
        </w:tblBorders>
      </w:tblPr>
      <w:tblGrid>
        <w:gridCol w:w="3300"/>
        <w:gridCol w:w="6100"/>
      </w:tblGrid>
      <w:tr>
        <w:trPr>
          <w:tblHeader/>
        </w:trPr>
        <w:tc>
          <w:tcPr>
            <w:tcW w:type="dxa" w:w="3300"/>
            <w:shd w:fill="198754" w:color="auto" w:val="clear"/>
            <w:tcMar>
              <w:top w:type="dxa" w:w="60"/>
              <w:left w:type="dxa" w:w="100"/>
              <w:bottom w:type="dxa" w:w="60"/>
              <w:right w:type="dxa" w:w="100"/>
            </w:tcMar>
          </w:tcPr>
          <w:p>
            <w:r>
              <w:rPr>
                <w:b/>
                <w:bCs/>
                <w:color w:val="FFFFFF"/>
                <w:sz w:val="19"/>
                <w:szCs w:val="19"/>
              </w:rPr>
              <w:t xml:space="preserve">Option</w:t>
            </w:r>
          </w:p>
        </w:tc>
        <w:tc>
          <w:tcPr>
            <w:tcW w:type="dxa" w:w="6100"/>
            <w:shd w:fill="198754" w:color="auto" w:val="clear"/>
            <w:tcMar>
              <w:top w:type="dxa" w:w="60"/>
              <w:left w:type="dxa" w:w="100"/>
              <w:bottom w:type="dxa" w:w="60"/>
              <w:right w:type="dxa" w:w="100"/>
            </w:tcMar>
          </w:tcPr>
          <w:p>
            <w:r>
              <w:rPr>
                <w:b/>
                <w:bCs/>
                <w:color w:val="FFFFFF"/>
                <w:sz w:val="19"/>
                <w:szCs w:val="19"/>
              </w:rPr>
              <w:t xml:space="preserve">Effet</w:t>
            </w:r>
          </w:p>
        </w:tc>
      </w:tr>
      <w:tr>
        <w:tc>
          <w:tcPr>
            <w:tcW w:type="dxa" w:w="3300"/>
            <w:shd w:fill="FFFFFF" w:color="auto" w:val="clear"/>
            <w:tcMar>
              <w:top w:type="dxa" w:w="60"/>
              <w:left w:type="dxa" w:w="100"/>
              <w:bottom w:type="dxa" w:w="60"/>
              <w:right w:type="dxa" w:w="100"/>
            </w:tcMar>
          </w:tcPr>
          <w:p>
            <w:r>
              <w:rPr>
                <w:b w:val="false"/>
                <w:bCs w:val="false"/>
                <w:color w:val="212529"/>
                <w:sz w:val="19"/>
                <w:szCs w:val="19"/>
              </w:rPr>
              <w:t xml:space="preserve">--onefile</w:t>
            </w:r>
          </w:p>
        </w:tc>
        <w:tc>
          <w:tcPr>
            <w:tcW w:type="dxa" w:w="6100"/>
            <w:shd w:fill="FFFFFF" w:color="auto" w:val="clear"/>
            <w:tcMar>
              <w:top w:type="dxa" w:w="60"/>
              <w:left w:type="dxa" w:w="100"/>
              <w:bottom w:type="dxa" w:w="60"/>
              <w:right w:type="dxa" w:w="100"/>
            </w:tcMar>
          </w:tcPr>
          <w:p>
            <w:r>
              <w:rPr>
                <w:b w:val="false"/>
                <w:bCs w:val="false"/>
                <w:color w:val="212529"/>
                <w:sz w:val="19"/>
                <w:szCs w:val="19"/>
              </w:rPr>
              <w:t xml:space="preserve">Génère un seul fichier .exe portable.</w:t>
            </w:r>
          </w:p>
        </w:tc>
      </w:tr>
      <w:tr>
        <w:tc>
          <w:tcPr>
            <w:tcW w:type="dxa" w:w="3300"/>
            <w:shd w:fill="FFFFFF" w:color="auto" w:val="clear"/>
            <w:tcMar>
              <w:top w:type="dxa" w:w="60"/>
              <w:left w:type="dxa" w:w="100"/>
              <w:bottom w:type="dxa" w:w="60"/>
              <w:right w:type="dxa" w:w="100"/>
            </w:tcMar>
          </w:tcPr>
          <w:p>
            <w:r>
              <w:rPr>
                <w:b w:val="false"/>
                <w:bCs w:val="false"/>
                <w:color w:val="212529"/>
                <w:sz w:val="19"/>
                <w:szCs w:val="19"/>
              </w:rPr>
              <w:t xml:space="preserve">--windowed</w:t>
            </w:r>
          </w:p>
        </w:tc>
        <w:tc>
          <w:tcPr>
            <w:tcW w:type="dxa" w:w="6100"/>
            <w:shd w:fill="FFFFFF" w:color="auto" w:val="clear"/>
            <w:tcMar>
              <w:top w:type="dxa" w:w="60"/>
              <w:left w:type="dxa" w:w="100"/>
              <w:bottom w:type="dxa" w:w="60"/>
              <w:right w:type="dxa" w:w="100"/>
            </w:tcMar>
          </w:tcPr>
          <w:p>
            <w:r>
              <w:rPr>
                <w:b w:val="false"/>
                <w:bCs w:val="false"/>
                <w:color w:val="212529"/>
                <w:sz w:val="19"/>
                <w:szCs w:val="19"/>
              </w:rPr>
              <w:t xml:space="preserve">Mode fenêtre, sans console noire.</w:t>
            </w:r>
          </w:p>
        </w:tc>
      </w:tr>
      <w:tr>
        <w:tc>
          <w:tcPr>
            <w:tcW w:type="dxa" w:w="3300"/>
            <w:shd w:fill="FFFFFF" w:color="auto" w:val="clear"/>
            <w:tcMar>
              <w:top w:type="dxa" w:w="60"/>
              <w:left w:type="dxa" w:w="100"/>
              <w:bottom w:type="dxa" w:w="60"/>
              <w:right w:type="dxa" w:w="100"/>
            </w:tcMar>
          </w:tcPr>
          <w:p>
            <w:r>
              <w:rPr>
                <w:b w:val="false"/>
                <w:bCs w:val="false"/>
                <w:color w:val="212529"/>
                <w:sz w:val="19"/>
                <w:szCs w:val="19"/>
              </w:rPr>
              <w:t xml:space="preserve">--name=Korrecteau</w:t>
            </w:r>
          </w:p>
        </w:tc>
        <w:tc>
          <w:tcPr>
            <w:tcW w:type="dxa" w:w="6100"/>
            <w:shd w:fill="FFFFFF" w:color="auto" w:val="clear"/>
            <w:tcMar>
              <w:top w:type="dxa" w:w="60"/>
              <w:left w:type="dxa" w:w="100"/>
              <w:bottom w:type="dxa" w:w="60"/>
              <w:right w:type="dxa" w:w="100"/>
            </w:tcMar>
          </w:tcPr>
          <w:p>
            <w:r>
              <w:rPr>
                <w:b w:val="false"/>
                <w:bCs w:val="false"/>
                <w:color w:val="212529"/>
                <w:sz w:val="19"/>
                <w:szCs w:val="19"/>
              </w:rPr>
              <w:t xml:space="preserve">Nom de l’exécutable produit.</w:t>
            </w:r>
          </w:p>
        </w:tc>
      </w:tr>
      <w:tr>
        <w:tc>
          <w:tcPr>
            <w:tcW w:type="dxa" w:w="3300"/>
            <w:shd w:fill="FFFFFF" w:color="auto" w:val="clear"/>
            <w:tcMar>
              <w:top w:type="dxa" w:w="60"/>
              <w:left w:type="dxa" w:w="100"/>
              <w:bottom w:type="dxa" w:w="60"/>
              <w:right w:type="dxa" w:w="100"/>
            </w:tcMar>
          </w:tcPr>
          <w:p>
            <w:r>
              <w:rPr>
                <w:b w:val="false"/>
                <w:bCs w:val="false"/>
                <w:color w:val="212529"/>
                <w:sz w:val="19"/>
                <w:szCs w:val="19"/>
              </w:rPr>
              <w:t xml:space="preserve">--add-data (logique_controles.py, main.py, regles_config.py)</w:t>
            </w:r>
          </w:p>
        </w:tc>
        <w:tc>
          <w:tcPr>
            <w:tcW w:type="dxa" w:w="6100"/>
            <w:shd w:fill="FFFFFF" w:color="auto" w:val="clear"/>
            <w:tcMar>
              <w:top w:type="dxa" w:w="60"/>
              <w:left w:type="dxa" w:w="100"/>
              <w:bottom w:type="dxa" w:w="60"/>
              <w:right w:type="dxa" w:w="100"/>
            </w:tcMar>
          </w:tcPr>
          <w:p>
            <w:r>
              <w:rPr>
                <w:b w:val="false"/>
                <w:bCs w:val="false"/>
                <w:color w:val="212529"/>
                <w:sz w:val="19"/>
                <w:szCs w:val="19"/>
              </w:rPr>
              <w:t xml:space="preserve">Inclut les modules nécessaires dans l’exécutable.</w:t>
            </w:r>
          </w:p>
        </w:tc>
      </w:tr>
      <w:tr>
        <w:tc>
          <w:tcPr>
            <w:tcW w:type="dxa" w:w="3300"/>
            <w:shd w:fill="FFFFFF" w:color="auto" w:val="clear"/>
            <w:tcMar>
              <w:top w:type="dxa" w:w="60"/>
              <w:left w:type="dxa" w:w="100"/>
              <w:bottom w:type="dxa" w:w="60"/>
              <w:right w:type="dxa" w:w="100"/>
            </w:tcMar>
          </w:tcPr>
          <w:p>
            <w:r>
              <w:rPr>
                <w:b w:val="false"/>
                <w:bCs w:val="false"/>
                <w:color w:val="212529"/>
                <w:sz w:val="19"/>
                <w:szCs w:val="19"/>
              </w:rPr>
              <w:t xml:space="preserve">--hidden-import (pandas, openpyxl, tkinterdnd2, …)</w:t>
            </w:r>
          </w:p>
        </w:tc>
        <w:tc>
          <w:tcPr>
            <w:tcW w:type="dxa" w:w="6100"/>
            <w:shd w:fill="FFFFFF" w:color="auto" w:val="clear"/>
            <w:tcMar>
              <w:top w:type="dxa" w:w="60"/>
              <w:left w:type="dxa" w:w="100"/>
              <w:bottom w:type="dxa" w:w="60"/>
              <w:right w:type="dxa" w:w="100"/>
            </w:tcMar>
          </w:tcPr>
          <w:p>
            <w:r>
              <w:rPr>
                <w:b w:val="false"/>
                <w:bCs w:val="false"/>
                <w:color w:val="212529"/>
                <w:sz w:val="19"/>
                <w:szCs w:val="19"/>
              </w:rPr>
              <w:t xml:space="preserve">Force l’inclusion des bibliothèques détectées difficilement.</w:t>
            </w:r>
          </w:p>
        </w:tc>
      </w:tr>
      <w:tr>
        <w:tc>
          <w:tcPr>
            <w:tcW w:type="dxa" w:w="3300"/>
            <w:shd w:fill="FFFFFF" w:color="auto" w:val="clear"/>
            <w:tcMar>
              <w:top w:type="dxa" w:w="60"/>
              <w:left w:type="dxa" w:w="100"/>
              <w:bottom w:type="dxa" w:w="60"/>
              <w:right w:type="dxa" w:w="100"/>
            </w:tcMar>
          </w:tcPr>
          <w:p>
            <w:r>
              <w:rPr>
                <w:b w:val="false"/>
                <w:bCs w:val="false"/>
                <w:color w:val="212529"/>
                <w:sz w:val="19"/>
                <w:szCs w:val="19"/>
              </w:rPr>
              <w:t xml:space="preserve">--exclude-module (matplotlib, scipy, PIL, …)</w:t>
            </w:r>
          </w:p>
        </w:tc>
        <w:tc>
          <w:tcPr>
            <w:tcW w:type="dxa" w:w="6100"/>
            <w:shd w:fill="FFFFFF" w:color="auto" w:val="clear"/>
            <w:tcMar>
              <w:top w:type="dxa" w:w="60"/>
              <w:left w:type="dxa" w:w="100"/>
              <w:bottom w:type="dxa" w:w="60"/>
              <w:right w:type="dxa" w:w="100"/>
            </w:tcMar>
          </w:tcPr>
          <w:p>
            <w:r>
              <w:rPr>
                <w:b w:val="false"/>
                <w:bCs w:val="false"/>
                <w:color w:val="212529"/>
                <w:sz w:val="19"/>
                <w:szCs w:val="19"/>
              </w:rPr>
              <w:t xml:space="preserve">Réduit la taille en excluant les modules inutiles.</w:t>
            </w:r>
          </w:p>
        </w:tc>
      </w:tr>
      <w:tr>
        <w:tc>
          <w:tcPr>
            <w:tcW w:type="dxa" w:w="3300"/>
            <w:shd w:fill="FFFFFF" w:color="auto" w:val="clear"/>
            <w:tcMar>
              <w:top w:type="dxa" w:w="60"/>
              <w:left w:type="dxa" w:w="100"/>
              <w:bottom w:type="dxa" w:w="60"/>
              <w:right w:type="dxa" w:w="100"/>
            </w:tcMar>
          </w:tcPr>
          <w:p>
            <w:r>
              <w:rPr>
                <w:b w:val="false"/>
                <w:bCs w:val="false"/>
                <w:color w:val="212529"/>
                <w:sz w:val="19"/>
                <w:szCs w:val="19"/>
              </w:rPr>
              <w:t xml:space="preserve">--clean / --noconfirm</w:t>
            </w:r>
          </w:p>
        </w:tc>
        <w:tc>
          <w:tcPr>
            <w:tcW w:type="dxa" w:w="6100"/>
            <w:shd w:fill="FFFFFF" w:color="auto" w:val="clear"/>
            <w:tcMar>
              <w:top w:type="dxa" w:w="60"/>
              <w:left w:type="dxa" w:w="100"/>
              <w:bottom w:type="dxa" w:w="60"/>
              <w:right w:type="dxa" w:w="100"/>
            </w:tcMar>
          </w:tcPr>
          <w:p>
            <w:r>
              <w:rPr>
                <w:b w:val="false"/>
                <w:bCs w:val="false"/>
                <w:color w:val="212529"/>
                <w:sz w:val="19"/>
                <w:szCs w:val="19"/>
              </w:rPr>
              <w:t xml:space="preserve">Nettoie le cache et écrase sans confirmation.</w:t>
            </w:r>
          </w:p>
        </w:tc>
      </w:tr>
    </w:tbl>
    <w:p>
      <w:pPr>
        <w:spacing w:after="60"/>
      </w:pPr>
    </w:p>
    <w:p>
      <w:pPr>
        <w:pBdr>
          <w:left w:val="single" w:color="198754" w:sz="24" w:space="10"/>
        </w:pBdr>
        <w:shd w:fill="E9F5EE" w:color="auto" w:val="clear"/>
        <w:spacing w:after="140" w:before="80"/>
      </w:pPr>
      <w:r>
        <w:rPr>
          <w:b/>
          <w:bCs/>
          <w:color w:val="146C43"/>
        </w:rPr>
        <w:t xml:space="preserve">ℹ  </w:t>
      </w:r>
      <w:r>
        <w:t xml:space="preserve">Le fichier Korrecteau.spec contient déjà ces mêmes réglages : on peut aussi compiler avec « pyinstaller Korrecteau.spec ».</w:t>
      </w:r>
    </w:p>
    <w:p>
      <w:pPr>
        <w:pStyle w:val="Heading3"/>
        <w:spacing w:after="80" w:before="180"/>
      </w:pPr>
      <w:r>
        <w:t xml:space="preserve">Distribution</w:t>
      </w:r>
    </w:p>
    <w:p>
      <w:pPr>
        <w:pStyle w:val="ListParagraph"/>
        <w:numPr>
          <w:ilvl w:val="0"/>
          <w:numId w:val="2"/>
        </w:numPr>
        <w:spacing w:after="60"/>
      </w:pPr>
      <w:r>
        <w:rPr>
          <w:b w:val="false"/>
          <w:bCs w:val="false"/>
        </w:rPr>
        <w:t xml:space="preserve">Copiez le fichier dist/Korrecteau.exe vers les postes des utilisateurs (clé USB, partage réseau…).</w:t>
      </w:r>
    </w:p>
    <w:p>
      <w:pPr>
        <w:pStyle w:val="ListParagraph"/>
        <w:numPr>
          <w:ilvl w:val="0"/>
          <w:numId w:val="2"/>
        </w:numPr>
        <w:spacing w:after="60"/>
      </w:pPr>
      <w:r>
        <w:rPr>
          <w:b w:val="false"/>
          <w:bCs w:val="false"/>
        </w:rPr>
        <w:t xml:space="preserve">Le fichier de règles regles_anomalies.xlsx sera créé automatiquement à côté de l’exécutable au premier usage du bouton « Règles » (ou de la première analyse).</w:t>
      </w:r>
    </w:p>
    <w:p>
      <w:pPr>
        <w:pBdr>
          <w:left w:val="single" w:color="198754" w:sz="24" w:space="10"/>
        </w:pBdr>
        <w:shd w:fill="E9F5EE" w:color="auto" w:val="clear"/>
        <w:spacing w:after="140" w:before="80"/>
      </w:pPr>
      <w:r>
        <w:rPr>
          <w:b/>
          <w:bCs/>
          <w:color w:val="146C43"/>
        </w:rPr>
        <w:t xml:space="preserve">ℹ  </w:t>
      </w:r>
      <w:r>
        <w:t xml:space="preserve">Le glisser-déposer (drag &amp; drop) peut ne pas fonctionner dans certaines configurations de l’exe. Dans ce cas, les utilisateurs passent par les boutons « Sélectionner fichier ».</w:t>
      </w:r>
    </w:p>
    <w:p>
      <w:pPr>
        <w:pStyle w:val="Heading1"/>
        <w:spacing w:after="140" w:before="320"/>
      </w:pPr>
      <w:r>
        <w:t xml:space="preserve">5. Modifier les règles</w:t>
      </w:r>
    </w:p>
    <w:p>
      <w:pPr>
        <w:spacing w:after="120" w:line="276"/>
      </w:pPr>
      <w:r>
        <w:t xml:space="preserve">Les règles se situent à deux niveaux. Choisissez le bon selon la modification voulue.</w:t>
      </w:r>
    </w:p>
    <w:p>
      <w:pPr>
        <w:pStyle w:val="Heading2"/>
        <w:spacing w:after="100" w:before="240"/>
      </w:pPr>
      <w:r>
        <w:t xml:space="preserve">5.1 Règles « simples » — via le fichier Excel (sans coder)</w:t>
      </w:r>
    </w:p>
    <w:p>
      <w:pPr>
        <w:spacing w:after="120" w:line="276"/>
      </w:pPr>
      <w:r>
        <w:t xml:space="preserve">Le fichier regles_anomalies.xlsx permet de modifier les listes et valeurs courantes. Il est cherché / créé à côté de l’application (à côté de l’exécutable en production, à côté des fichiers .py en développement).</w:t>
      </w:r>
    </w:p>
    <w:p>
      <w:pPr>
        <w:spacing w:after="120" w:line="276"/>
      </w:pPr>
      <w:r>
        <w:t xml:space="preserve">Procédure : dans l’application, cliquer sur « ⚙ Règles » ouvre le fichier (créé au besoin). Modifier, enregistrer, fermer, puis relancer une analyse.</w:t>
      </w:r>
    </w:p>
    <w:p>
      <w:pPr>
        <w:pStyle w:val="Heading3"/>
        <w:spacing w:after="80" w:before="180"/>
      </w:pPr>
      <w:r>
        <w:t xml:space="preserve">Onglets disponibles</w:t>
      </w:r>
    </w:p>
    <w:tbl>
      <w:tblPr>
        <w:tblW w:type="dxa" w:w="9400"/>
        <w:tblBorders>
          <w:top w:val="single" w:color="CED4DA" w:sz="4"/>
          <w:left w:val="single" w:color="CED4DA" w:sz="4"/>
          <w:bottom w:val="single" w:color="CED4DA" w:sz="4"/>
          <w:right w:val="single" w:color="CED4DA" w:sz="4"/>
          <w:insideH w:val="single" w:color="DEE2E6" w:sz="4"/>
          <w:insideV w:val="single" w:color="DEE2E6" w:sz="4"/>
        </w:tblBorders>
      </w:tblPr>
      <w:tblGrid>
        <w:gridCol w:w="2800"/>
        <w:gridCol w:w="6600"/>
      </w:tblGrid>
      <w:tr>
        <w:trPr>
          <w:tblHeader/>
        </w:trPr>
        <w:tc>
          <w:tcPr>
            <w:tcW w:type="dxa" w:w="2800"/>
            <w:shd w:fill="198754" w:color="auto" w:val="clear"/>
            <w:tcMar>
              <w:top w:type="dxa" w:w="60"/>
              <w:left w:type="dxa" w:w="100"/>
              <w:bottom w:type="dxa" w:w="60"/>
              <w:right w:type="dxa" w:w="100"/>
            </w:tcMar>
          </w:tcPr>
          <w:p>
            <w:r>
              <w:rPr>
                <w:b/>
                <w:bCs/>
                <w:color w:val="FFFFFF"/>
                <w:sz w:val="19"/>
                <w:szCs w:val="19"/>
              </w:rPr>
              <w:t xml:space="preserve">Onglet</w:t>
            </w:r>
          </w:p>
        </w:tc>
        <w:tc>
          <w:tcPr>
            <w:tcW w:type="dxa" w:w="6600"/>
            <w:shd w:fill="198754" w:color="auto" w:val="clear"/>
            <w:tcMar>
              <w:top w:type="dxa" w:w="60"/>
              <w:left w:type="dxa" w:w="100"/>
              <w:bottom w:type="dxa" w:w="60"/>
              <w:right w:type="dxa" w:w="100"/>
            </w:tcMar>
          </w:tcPr>
          <w:p>
            <w:r>
              <w:rPr>
                <w:b/>
                <w:bCs/>
                <w:color w:val="FFFFFF"/>
                <w:sz w:val="19"/>
                <w:szCs w:val="19"/>
              </w:rPr>
              <w:t xml:space="preserve">Rôle</w:t>
            </w:r>
          </w:p>
        </w:tc>
      </w:tr>
      <w:tr>
        <w:tc>
          <w:tcPr>
            <w:tcW w:type="dxa" w:w="2800"/>
            <w:shd w:fill="FFFFFF" w:color="auto" w:val="clear"/>
            <w:tcMar>
              <w:top w:type="dxa" w:w="60"/>
              <w:left w:type="dxa" w:w="100"/>
              <w:bottom w:type="dxa" w:w="60"/>
              <w:right w:type="dxa" w:w="100"/>
            </w:tcMar>
          </w:tcPr>
          <w:p>
            <w:r>
              <w:rPr>
                <w:b/>
                <w:bCs/>
                <w:color w:val="212529"/>
                <w:sz w:val="19"/>
                <w:szCs w:val="19"/>
              </w:rPr>
              <w:t xml:space="preserve">Marques_autorisees</w:t>
            </w:r>
          </w:p>
        </w:tc>
        <w:tc>
          <w:tcPr>
            <w:tcW w:type="dxa" w:w="6600"/>
            <w:shd w:fill="FFFFFF" w:color="auto" w:val="clear"/>
            <w:tcMar>
              <w:top w:type="dxa" w:w="60"/>
              <w:left w:type="dxa" w:w="100"/>
              <w:bottom w:type="dxa" w:w="60"/>
              <w:right w:type="dxa" w:w="100"/>
            </w:tcMar>
          </w:tcPr>
          <w:p>
            <w:r>
              <w:rPr>
                <w:b w:val="false"/>
                <w:bCs w:val="false"/>
                <w:color w:val="212529"/>
                <w:sz w:val="19"/>
                <w:szCs w:val="19"/>
              </w:rPr>
              <w:t xml:space="preserve">Marques acceptées par mode (Radio / Tele / Manuelle).</w:t>
            </w:r>
          </w:p>
        </w:tc>
      </w:tr>
      <w:tr>
        <w:tc>
          <w:tcPr>
            <w:tcW w:type="dxa" w:w="2800"/>
            <w:shd w:fill="FFFFFF" w:color="auto" w:val="clear"/>
            <w:tcMar>
              <w:top w:type="dxa" w:w="60"/>
              <w:left w:type="dxa" w:w="100"/>
              <w:bottom w:type="dxa" w:w="60"/>
              <w:right w:type="dxa" w:w="100"/>
            </w:tcMar>
          </w:tcPr>
          <w:p>
            <w:r>
              <w:rPr>
                <w:b/>
                <w:bCs/>
                <w:color w:val="212529"/>
                <w:sz w:val="19"/>
                <w:szCs w:val="19"/>
              </w:rPr>
              <w:t xml:space="preserve">Type_Compteur_autorises</w:t>
            </w:r>
          </w:p>
        </w:tc>
        <w:tc>
          <w:tcPr>
            <w:tcW w:type="dxa" w:w="6600"/>
            <w:shd w:fill="FFFFFF" w:color="auto" w:val="clear"/>
            <w:tcMar>
              <w:top w:type="dxa" w:w="60"/>
              <w:left w:type="dxa" w:w="100"/>
              <w:bottom w:type="dxa" w:w="60"/>
              <w:right w:type="dxa" w:w="100"/>
            </w:tcMar>
          </w:tcPr>
          <w:p>
            <w:r>
              <w:rPr>
                <w:b w:val="false"/>
                <w:bCs w:val="false"/>
                <w:color w:val="212529"/>
                <w:sz w:val="19"/>
                <w:szCs w:val="19"/>
              </w:rPr>
              <w:t xml:space="preserve">Codes « Type Compteur » acceptés (tous modes).</w:t>
            </w:r>
          </w:p>
        </w:tc>
      </w:tr>
      <w:tr>
        <w:tc>
          <w:tcPr>
            <w:tcW w:type="dxa" w:w="2800"/>
            <w:shd w:fill="FFFFFF" w:color="auto" w:val="clear"/>
            <w:tcMar>
              <w:top w:type="dxa" w:w="60"/>
              <w:left w:type="dxa" w:w="100"/>
              <w:bottom w:type="dxa" w:w="60"/>
              <w:right w:type="dxa" w:w="100"/>
            </w:tcMar>
          </w:tcPr>
          <w:p>
            <w:r>
              <w:rPr>
                <w:b/>
                <w:bCs/>
                <w:color w:val="212529"/>
                <w:sz w:val="19"/>
                <w:szCs w:val="19"/>
              </w:rPr>
              <w:t xml:space="preserve">ProtocoleRadio_commune</w:t>
            </w:r>
          </w:p>
        </w:tc>
        <w:tc>
          <w:tcPr>
            <w:tcW w:type="dxa" w:w="6600"/>
            <w:shd w:fill="FFFFFF" w:color="auto" w:val="clear"/>
            <w:tcMar>
              <w:top w:type="dxa" w:w="60"/>
              <w:left w:type="dxa" w:w="100"/>
              <w:bottom w:type="dxa" w:w="60"/>
              <w:right w:type="dxa" w:w="100"/>
            </w:tcMar>
          </w:tcPr>
          <w:p>
            <w:r>
              <w:rPr>
                <w:b w:val="false"/>
                <w:bCs w:val="false"/>
                <w:color w:val="212529"/>
                <w:sz w:val="19"/>
                <w:szCs w:val="19"/>
              </w:rPr>
              <w:t xml:space="preserve">Protocole Radio attendu par commune (utilisé en télérelève ; sert aussi à repérer une commune inconnue).</w:t>
            </w:r>
          </w:p>
        </w:tc>
      </w:tr>
      <w:tr>
        <w:tc>
          <w:tcPr>
            <w:tcW w:type="dxa" w:w="2800"/>
            <w:shd w:fill="FFFFFF" w:color="auto" w:val="clear"/>
            <w:tcMar>
              <w:top w:type="dxa" w:w="60"/>
              <w:left w:type="dxa" w:w="100"/>
              <w:bottom w:type="dxa" w:w="60"/>
              <w:right w:type="dxa" w:w="100"/>
            </w:tcMar>
          </w:tcPr>
          <w:p>
            <w:r>
              <w:rPr>
                <w:b/>
                <w:bCs/>
                <w:color w:val="212529"/>
                <w:sz w:val="19"/>
                <w:szCs w:val="19"/>
              </w:rPr>
              <w:t xml:space="preserve">Plage_diametre</w:t>
            </w:r>
          </w:p>
        </w:tc>
        <w:tc>
          <w:tcPr>
            <w:tcW w:type="dxa" w:w="6600"/>
            <w:shd w:fill="FFFFFF" w:color="auto" w:val="clear"/>
            <w:tcMar>
              <w:top w:type="dxa" w:w="60"/>
              <w:left w:type="dxa" w:w="100"/>
              <w:bottom w:type="dxa" w:w="60"/>
              <w:right w:type="dxa" w:w="100"/>
            </w:tcMar>
          </w:tcPr>
          <w:p>
            <w:r>
              <w:rPr>
                <w:b w:val="false"/>
                <w:bCs w:val="false"/>
                <w:color w:val="212529"/>
                <w:sz w:val="19"/>
                <w:szCs w:val="19"/>
              </w:rPr>
              <w:t xml:space="preserve">Diamètre min / max autorisé par marque.</w:t>
            </w:r>
          </w:p>
        </w:tc>
      </w:tr>
      <w:tr>
        <w:tc>
          <w:tcPr>
            <w:tcW w:type="dxa" w:w="2800"/>
            <w:shd w:fill="FFFFFF" w:color="auto" w:val="clear"/>
            <w:tcMar>
              <w:top w:type="dxa" w:w="60"/>
              <w:left w:type="dxa" w:w="100"/>
              <w:bottom w:type="dxa" w:w="60"/>
              <w:right w:type="dxa" w:w="100"/>
            </w:tcMar>
          </w:tcPr>
          <w:p>
            <w:r>
              <w:rPr>
                <w:b/>
                <w:bCs/>
                <w:color w:val="212529"/>
                <w:sz w:val="19"/>
                <w:szCs w:val="19"/>
              </w:rPr>
              <w:t xml:space="preserve">Longueur_tete</w:t>
            </w:r>
          </w:p>
        </w:tc>
        <w:tc>
          <w:tcPr>
            <w:tcW w:type="dxa" w:w="6600"/>
            <w:shd w:fill="FFFFFF" w:color="auto" w:val="clear"/>
            <w:tcMar>
              <w:top w:type="dxa" w:w="60"/>
              <w:left w:type="dxa" w:w="100"/>
              <w:bottom w:type="dxa" w:w="60"/>
              <w:right w:type="dxa" w:w="100"/>
            </w:tcMar>
          </w:tcPr>
          <w:p>
            <w:r>
              <w:rPr>
                <w:b w:val="false"/>
                <w:bCs w:val="false"/>
                <w:color w:val="212529"/>
                <w:sz w:val="19"/>
                <w:szCs w:val="19"/>
              </w:rPr>
              <w:t xml:space="preserve">Longueur de tête attendue selon Mode / Marque / Type Compteur.</w:t>
            </w:r>
          </w:p>
        </w:tc>
      </w:tr>
      <w:tr>
        <w:tc>
          <w:tcPr>
            <w:tcW w:type="dxa" w:w="2800"/>
            <w:shd w:fill="FFFFFF" w:color="auto" w:val="clear"/>
            <w:tcMar>
              <w:top w:type="dxa" w:w="60"/>
              <w:left w:type="dxa" w:w="100"/>
              <w:bottom w:type="dxa" w:w="60"/>
              <w:right w:type="dxa" w:w="100"/>
            </w:tcMar>
          </w:tcPr>
          <w:p>
            <w:r>
              <w:rPr>
                <w:b/>
                <w:bCs/>
                <w:color w:val="212529"/>
                <w:sz w:val="19"/>
                <w:szCs w:val="19"/>
              </w:rPr>
              <w:t xml:space="preserve">Diametre_FP2E</w:t>
            </w:r>
          </w:p>
        </w:tc>
        <w:tc>
          <w:tcPr>
            <w:tcW w:type="dxa" w:w="6600"/>
            <w:shd w:fill="FFFFFF" w:color="auto" w:val="clear"/>
            <w:tcMar>
              <w:top w:type="dxa" w:w="60"/>
              <w:left w:type="dxa" w:w="100"/>
              <w:bottom w:type="dxa" w:w="60"/>
              <w:right w:type="dxa" w:w="100"/>
            </w:tcMar>
          </w:tcPr>
          <w:p>
            <w:r>
              <w:rPr>
                <w:b w:val="false"/>
                <w:bCs w:val="false"/>
                <w:color w:val="212529"/>
                <w:sz w:val="19"/>
                <w:szCs w:val="19"/>
              </w:rPr>
              <w:t xml:space="preserve">Diamètre(s) correspondant à chaque lettre FP2E (4ᵉ caractère du numéro).</w:t>
            </w:r>
          </w:p>
        </w:tc>
      </w:tr>
      <w:tr>
        <w:tc>
          <w:tcPr>
            <w:tcW w:type="dxa" w:w="2800"/>
            <w:shd w:fill="FFFFFF" w:color="auto" w:val="clear"/>
            <w:tcMar>
              <w:top w:type="dxa" w:w="60"/>
              <w:left w:type="dxa" w:w="100"/>
              <w:bottom w:type="dxa" w:w="60"/>
              <w:right w:type="dxa" w:w="100"/>
            </w:tcMar>
          </w:tcPr>
          <w:p>
            <w:r>
              <w:rPr>
                <w:b/>
                <w:bCs/>
                <w:color w:val="212529"/>
                <w:sz w:val="19"/>
                <w:szCs w:val="19"/>
              </w:rPr>
              <w:t xml:space="preserve">Longueur_compteur</w:t>
            </w:r>
          </w:p>
        </w:tc>
        <w:tc>
          <w:tcPr>
            <w:tcW w:type="dxa" w:w="6600"/>
            <w:shd w:fill="FFFFFF" w:color="auto" w:val="clear"/>
            <w:tcMar>
              <w:top w:type="dxa" w:w="60"/>
              <w:left w:type="dxa" w:w="100"/>
              <w:bottom w:type="dxa" w:w="60"/>
              <w:right w:type="dxa" w:w="100"/>
            </w:tcMar>
          </w:tcPr>
          <w:p>
            <w:r>
              <w:rPr>
                <w:b w:val="false"/>
                <w:bCs w:val="false"/>
                <w:color w:val="212529"/>
                <w:sz w:val="19"/>
                <w:szCs w:val="19"/>
              </w:rPr>
              <w:t xml:space="preserve">Longueur exacte du n° de compteur (non-FP2E) selon Mode / Marque / Année.</w:t>
            </w:r>
          </w:p>
        </w:tc>
      </w:tr>
      <w:tr>
        <w:tc>
          <w:tcPr>
            <w:tcW w:type="dxa" w:w="2800"/>
            <w:shd w:fill="FFFFFF" w:color="auto" w:val="clear"/>
            <w:tcMar>
              <w:top w:type="dxa" w:w="60"/>
              <w:left w:type="dxa" w:w="100"/>
              <w:bottom w:type="dxa" w:w="60"/>
              <w:right w:type="dxa" w:w="100"/>
            </w:tcMar>
          </w:tcPr>
          <w:p>
            <w:r>
              <w:rPr>
                <w:b/>
                <w:bCs/>
                <w:color w:val="212529"/>
                <w:sz w:val="19"/>
                <w:szCs w:val="19"/>
              </w:rPr>
              <w:t xml:space="preserve">Protocole_par_marque</w:t>
            </w:r>
          </w:p>
        </w:tc>
        <w:tc>
          <w:tcPr>
            <w:tcW w:type="dxa" w:w="6600"/>
            <w:shd w:fill="FFFFFF" w:color="auto" w:val="clear"/>
            <w:tcMar>
              <w:top w:type="dxa" w:w="60"/>
              <w:left w:type="dxa" w:w="100"/>
              <w:bottom w:type="dxa" w:w="60"/>
              <w:right w:type="dxa" w:w="100"/>
            </w:tcMar>
          </w:tcPr>
          <w:p>
            <w:r>
              <w:rPr>
                <w:b w:val="false"/>
                <w:bCs w:val="false"/>
                <w:color w:val="212529"/>
                <w:sz w:val="19"/>
                <w:szCs w:val="19"/>
              </w:rPr>
              <w:t xml:space="preserve">Protocole Radio attendu par marque / tranche d’années (radiorelève).</w:t>
            </w:r>
          </w:p>
        </w:tc>
      </w:tr>
    </w:tbl>
    <w:p>
      <w:pPr>
        <w:spacing w:after="60"/>
      </w:pPr>
    </w:p>
    <w:p>
      <w:pPr>
        <w:pBdr>
          <w:left w:val="single" w:color="198754" w:sz="24" w:space="10"/>
        </w:pBdr>
        <w:shd w:fill="E9F5EE" w:color="auto" w:val="clear"/>
        <w:spacing w:after="140" w:before="80"/>
      </w:pPr>
      <w:r>
        <w:rPr>
          <w:b/>
          <w:bCs/>
          <w:color w:val="146C43"/>
        </w:rPr>
        <w:t xml:space="preserve">ℹ  </w:t>
      </w:r>
      <w:r>
        <w:t xml:space="preserve">Sécurité : en cas d’erreur de saisie (onglet renommé, colonne manquante, valeur invalide), l’application ignore la partie concernée et utilise les valeurs par défaut. Elle ne plante pas. Pour repartir de zéro : supprimer le fichier et relancer, il est recréé.</w:t>
      </w:r>
    </w:p>
    <w:p>
      <w:pPr>
        <w:pStyle w:val="Heading2"/>
        <w:spacing w:after="100" w:before="240"/>
      </w:pPr>
      <w:r>
        <w:t xml:space="preserve">5.2 Règles « techniques » — dans le code</w:t>
      </w:r>
    </w:p>
    <w:p>
      <w:pPr>
        <w:spacing w:after="120" w:line="276"/>
      </w:pPr>
      <w:r>
        <w:t xml:space="preserve">Certaines règles restent codées (plus stables, non exposées dans l’Excel). Elles se trouvent principalement dans logique_controles.py.</w:t>
      </w:r>
    </w:p>
    <w:p>
      <w:pPr>
        <w:pStyle w:val="Heading3"/>
        <w:spacing w:after="80" w:before="180"/>
      </w:pPr>
      <w:r>
        <w:t xml:space="preserve">Format FP2E et détection</w:t>
      </w:r>
    </w:p>
    <w:p>
      <w:pPr>
        <w:spacing w:after="120" w:line="276"/>
      </w:pPr>
      <w:r>
        <w:t xml:space="preserve">Le format FP2E est reconnu par sa signature visuelle :</w:t>
      </w:r>
    </w:p>
    <w:p>
      <w:pPr>
        <w:pBdr>
          <w:left w:val="single" w:color="198754" w:sz="18" w:space="8"/>
        </w:pBdr>
        <w:shd w:fill="F1F3F5" w:color="auto" w:val="clear"/>
        <w:spacing w:after="120"/>
      </w:pPr>
      <w:r>
        <w:rPr>
          <w:rFonts w:ascii="Consolas" w:cs="Consolas" w:eastAsia="Consolas" w:hAnsi="Consolas"/>
          <w:sz w:val="19"/>
          <w:szCs w:val="19"/>
        </w:rPr>
        <w:t xml:space="preserve">FP2E_REGEX             = r'^[A-Z]\d{2}[A-Z]{2}\d{6}$'      # ex. C22FL123456 (11 car.)</w:t>
      </w:r>
      <w:r>
        <w:rPr>
          <w:rFonts w:ascii="Consolas" w:cs="Consolas" w:eastAsia="Consolas" w:hAnsi="Consolas"/>
          <w:sz w:val="19"/>
          <w:szCs w:val="19"/>
        </w:rPr>
        <w:br/>
        <w:t xml:space="preserve">FP2E_WITH_SUFFIX_REGEX = r'^[A-Z]\d{2}[A-Z]{2}\d{6}[A-Z]$'  # + lettre finale (12 car.)</w:t>
      </w:r>
    </w:p>
    <w:p>
      <w:pPr>
        <w:pStyle w:val="ListParagraph"/>
        <w:numPr>
          <w:ilvl w:val="0"/>
          <w:numId w:val="2"/>
        </w:numPr>
        <w:spacing w:after="60"/>
      </w:pPr>
      <w:r>
        <w:rPr>
          <w:b w:val="false"/>
          <w:bCs w:val="false"/>
        </w:rPr>
        <w:t xml:space="preserve">presume_fp2e() : un numéro est présumé FP2E dès qu’il contient au moins 3 lettres, sauf s’il commence par « DME » (tête SAPPEL). Un présumé-FP2E qui ne respecte pas le motif strict est signalé « Format de compteur non FP2E ».</w:t>
      </w:r>
    </w:p>
    <w:p>
      <w:pPr>
        <w:pStyle w:val="ListParagraph"/>
        <w:numPr>
          <w:ilvl w:val="0"/>
          <w:numId w:val="2"/>
        </w:numPr>
        <w:spacing w:after="60"/>
      </w:pPr>
      <w:r>
        <w:rPr>
          <w:b w:val="false"/>
          <w:bCs w:val="false"/>
        </w:rPr>
        <w:t xml:space="preserve">appliquer_format_fp2e() applique ce contrôle à toutes les marques, sauf KAMSTRUP / U Kamstrup qui ont leur propre contrôle (préfixe « U »).</w:t>
      </w:r>
    </w:p>
    <w:p>
      <w:pPr>
        <w:pStyle w:val="ListParagraph"/>
        <w:numPr>
          <w:ilvl w:val="0"/>
          <w:numId w:val="2"/>
        </w:numPr>
        <w:spacing w:after="60"/>
      </w:pPr>
      <w:r>
        <w:rPr>
          <w:b w:val="false"/>
          <w:bCs w:val="false"/>
        </w:rPr>
        <w:t xml:space="preserve">Traités spéciaux 965 / 455 / 899 : la lettre finale (format « + suffixe ») est tolérée uniquement pour ces traités.</w:t>
      </w:r>
    </w:p>
    <w:p>
      <w:pPr>
        <w:pStyle w:val="Heading3"/>
        <w:spacing w:after="80" w:before="180"/>
      </w:pPr>
      <w:r>
        <w:t xml:space="preserve">Autres règles dans le code</w:t>
      </w:r>
    </w:p>
    <w:p>
      <w:pPr>
        <w:pStyle w:val="ListParagraph"/>
        <w:numPr>
          <w:ilvl w:val="0"/>
          <w:numId w:val="2"/>
        </w:numPr>
        <w:spacing w:after="60"/>
      </w:pPr>
      <w:r>
        <w:rPr>
          <w:b w:val="false"/>
          <w:bCs w:val="false"/>
        </w:rPr>
        <w:t xml:space="preserve">Contrôles FP2E dérivés : cohérence de l’année de millésime (caractères 2-3 du numéro) et du diamètre (lettre en 4ᵉ position) — check_fp2e_details_radio / _tele / check_fp2e_with_suffix.</w:t>
      </w:r>
    </w:p>
    <w:p>
      <w:pPr>
        <w:pStyle w:val="ListParagraph"/>
        <w:numPr>
          <w:ilvl w:val="0"/>
          <w:numId w:val="2"/>
        </w:numPr>
        <w:spacing w:after="60"/>
      </w:pPr>
      <w:r>
        <w:rPr>
          <w:b w:val="false"/>
          <w:bCs w:val="false"/>
        </w:rPr>
        <w:t xml:space="preserve">Déduction du Type Compteur (1ᵉʳ + 4ᵉ caractère du numéro) — appliquer_coherence_type_compteur.</w:t>
      </w:r>
    </w:p>
    <w:p>
      <w:pPr>
        <w:pStyle w:val="ListParagraph"/>
        <w:numPr>
          <w:ilvl w:val="0"/>
          <w:numId w:val="2"/>
        </w:numPr>
        <w:spacing w:after="60"/>
      </w:pPr>
      <w:r>
        <w:rPr>
          <w:b w:val="false"/>
          <w:bCs w:val="false"/>
        </w:rPr>
        <w:t xml:space="preserve">Règles KAMSTRUP (compteur = tête, numérique) et U Kamstrup (11 caractères, tête à 8 chiffres).</w:t>
      </w:r>
    </w:p>
    <w:p>
      <w:pPr>
        <w:pStyle w:val="ListParagraph"/>
        <w:numPr>
          <w:ilvl w:val="0"/>
          <w:numId w:val="2"/>
        </w:numPr>
        <w:spacing w:after="60"/>
      </w:pPr>
      <w:r>
        <w:rPr>
          <w:b w:val="false"/>
          <w:bCs w:val="false"/>
        </w:rPr>
        <w:t xml:space="preserve">Cohérences SAPPEL (préfixe C / H) et ITRON (préfixe I / D).</w:t>
      </w:r>
    </w:p>
    <w:p>
      <w:pPr>
        <w:pStyle w:val="ListParagraph"/>
        <w:numPr>
          <w:ilvl w:val="0"/>
          <w:numId w:val="2"/>
        </w:numPr>
        <w:spacing w:after="60"/>
      </w:pPr>
      <w:r>
        <w:rPr>
          <w:b w:val="false"/>
          <w:bCs w:val="false"/>
        </w:rPr>
        <w:t xml:space="preserve">Commune inconnue : une commune absente de l’onglet ProtocoleRadio_commune est signalée (radio, télé et manuelle) — appliquer_commune_inconnue.</w:t>
      </w:r>
    </w:p>
    <w:p>
      <w:pPr>
        <w:pStyle w:val="ListParagraph"/>
        <w:numPr>
          <w:ilvl w:val="0"/>
          <w:numId w:val="2"/>
        </w:numPr>
        <w:spacing w:after="60"/>
      </w:pPr>
      <w:r>
        <w:rPr>
          <w:b w:val="false"/>
          <w:bCs w:val="false"/>
        </w:rPr>
        <w:t xml:space="preserve">Protocole Radio par commune (télérelève) et par marque/année (radiorelève).</w:t>
      </w:r>
    </w:p>
    <w:p>
      <w:pPr>
        <w:pBdr>
          <w:left w:val="single" w:color="198754" w:sz="24" w:space="10"/>
        </w:pBdr>
        <w:shd w:fill="E9F5EE" w:color="auto" w:val="clear"/>
        <w:spacing w:after="140" w:before="80"/>
      </w:pPr>
      <w:r>
        <w:rPr>
          <w:b/>
          <w:bCs/>
          <w:color w:val="146C43"/>
        </w:rPr>
        <w:t xml:space="preserve">ℹ  </w:t>
      </w:r>
      <w:r>
        <w:t xml:space="preserve">Pour changer les marques soumises au contrôle FP2E ou le seuil de 3 lettres, modifier la fonction presume_fp2e() dans logique_controles.py.</w:t>
      </w:r>
    </w:p>
    <w:p>
      <w:pPr>
        <w:pStyle w:val="Heading1"/>
        <w:spacing w:after="140" w:before="320"/>
      </w:pPr>
      <w:r>
        <w:t xml:space="preserve">6. Structure des données attendues</w:t>
      </w:r>
    </w:p>
    <w:p>
      <w:pPr>
        <w:spacing w:after="120" w:line="276"/>
      </w:pPr>
      <w:r>
        <w:t xml:space="preserve">Chaque fichier Excel doit contenir certaines colonnes (les noms doivent correspondre exactement). Les 2 dernières lignes de chaque fichier sont ignorées automatiquement (lignes de totaux de l’export : df.iloc[:-2]).</w:t>
      </w:r>
    </w:p>
    <w:tbl>
      <w:tblPr>
        <w:tblW w:type="dxa" w:w="9400"/>
        <w:tblBorders>
          <w:top w:val="single" w:color="CED4DA" w:sz="4"/>
          <w:left w:val="single" w:color="CED4DA" w:sz="4"/>
          <w:bottom w:val="single" w:color="CED4DA" w:sz="4"/>
          <w:right w:val="single" w:color="CED4DA" w:sz="4"/>
          <w:insideH w:val="single" w:color="DEE2E6" w:sz="4"/>
          <w:insideV w:val="single" w:color="DEE2E6" w:sz="4"/>
        </w:tblBorders>
      </w:tblPr>
      <w:tblGrid>
        <w:gridCol w:w="2400"/>
        <w:gridCol w:w="7000"/>
      </w:tblGrid>
      <w:tr>
        <w:trPr>
          <w:tblHeader/>
        </w:trPr>
        <w:tc>
          <w:tcPr>
            <w:tcW w:type="dxa" w:w="2400"/>
            <w:shd w:fill="198754" w:color="auto" w:val="clear"/>
            <w:tcMar>
              <w:top w:type="dxa" w:w="60"/>
              <w:left w:type="dxa" w:w="100"/>
              <w:bottom w:type="dxa" w:w="60"/>
              <w:right w:type="dxa" w:w="100"/>
            </w:tcMar>
          </w:tcPr>
          <w:p>
            <w:r>
              <w:rPr>
                <w:b/>
                <w:bCs/>
                <w:color w:val="FFFFFF"/>
                <w:sz w:val="19"/>
                <w:szCs w:val="19"/>
              </w:rPr>
              <w:t xml:space="preserve">Mode</w:t>
            </w:r>
          </w:p>
        </w:tc>
        <w:tc>
          <w:tcPr>
            <w:tcW w:type="dxa" w:w="7000"/>
            <w:shd w:fill="198754" w:color="auto" w:val="clear"/>
            <w:tcMar>
              <w:top w:type="dxa" w:w="60"/>
              <w:left w:type="dxa" w:w="100"/>
              <w:bottom w:type="dxa" w:w="60"/>
              <w:right w:type="dxa" w:w="100"/>
            </w:tcMar>
          </w:tcPr>
          <w:p>
            <w:r>
              <w:rPr>
                <w:b/>
                <w:bCs/>
                <w:color w:val="FFFFFF"/>
                <w:sz w:val="19"/>
                <w:szCs w:val="19"/>
              </w:rPr>
              <w:t xml:space="preserve">Colonnes requises</w:t>
            </w:r>
          </w:p>
        </w:tc>
      </w:tr>
      <w:tr>
        <w:tc>
          <w:tcPr>
            <w:tcW w:type="dxa" w:w="2400"/>
            <w:shd w:fill="FFFFFF" w:color="auto" w:val="clear"/>
            <w:tcMar>
              <w:top w:type="dxa" w:w="60"/>
              <w:left w:type="dxa" w:w="100"/>
              <w:bottom w:type="dxa" w:w="60"/>
              <w:right w:type="dxa" w:w="100"/>
            </w:tcMar>
          </w:tcPr>
          <w:p>
            <w:r>
              <w:rPr>
                <w:b w:val="false"/>
                <w:bCs w:val="false"/>
                <w:color w:val="212529"/>
                <w:sz w:val="19"/>
                <w:szCs w:val="19"/>
              </w:rPr>
              <w:t xml:space="preserve">Radiorelève</w:t>
            </w:r>
          </w:p>
        </w:tc>
        <w:tc>
          <w:tcPr>
            <w:tcW w:type="dxa" w:w="7000"/>
            <w:shd w:fill="FFFFFF" w:color="auto" w:val="clear"/>
            <w:tcMar>
              <w:top w:type="dxa" w:w="60"/>
              <w:left w:type="dxa" w:w="100"/>
              <w:bottom w:type="dxa" w:w="60"/>
              <w:right w:type="dxa" w:w="100"/>
            </w:tcMar>
          </w:tcPr>
          <w:p>
            <w:r>
              <w:rPr>
                <w:b w:val="false"/>
                <w:bCs w:val="false"/>
                <w:color w:val="212529"/>
                <w:sz w:val="19"/>
                <w:szCs w:val="19"/>
              </w:rPr>
              <w:t xml:space="preserve">Protocole Radio, Marque, Numéro de tête, Numéro de compteur, Latitude, Longitude, Commune, Année de fabrication, Diametre, Mode de relève, Type Compteur (Traité utilisé si présent).</w:t>
            </w:r>
          </w:p>
        </w:tc>
      </w:tr>
      <w:tr>
        <w:tc>
          <w:tcPr>
            <w:tcW w:type="dxa" w:w="2400"/>
            <w:shd w:fill="FFFFFF" w:color="auto" w:val="clear"/>
            <w:tcMar>
              <w:top w:type="dxa" w:w="60"/>
              <w:left w:type="dxa" w:w="100"/>
              <w:bottom w:type="dxa" w:w="60"/>
              <w:right w:type="dxa" w:w="100"/>
            </w:tcMar>
          </w:tcPr>
          <w:p>
            <w:r>
              <w:rPr>
                <w:b w:val="false"/>
                <w:bCs w:val="false"/>
                <w:color w:val="212529"/>
                <w:sz w:val="19"/>
                <w:szCs w:val="19"/>
              </w:rPr>
              <w:t xml:space="preserve">Télérelève</w:t>
            </w:r>
          </w:p>
        </w:tc>
        <w:tc>
          <w:tcPr>
            <w:tcW w:type="dxa" w:w="7000"/>
            <w:shd w:fill="FFFFFF" w:color="auto" w:val="clear"/>
            <w:tcMar>
              <w:top w:type="dxa" w:w="60"/>
              <w:left w:type="dxa" w:w="100"/>
              <w:bottom w:type="dxa" w:w="60"/>
              <w:right w:type="dxa" w:w="100"/>
            </w:tcMar>
          </w:tcPr>
          <w:p>
            <w:r>
              <w:rPr>
                <w:b w:val="false"/>
                <w:bCs w:val="false"/>
                <w:color w:val="212529"/>
                <w:sz w:val="19"/>
                <w:szCs w:val="19"/>
              </w:rPr>
              <w:t xml:space="preserve">Protocole Radio, Marque, Numéro de compteur, Numéro de tête, Latitude, Longitude, Année de fabrication, Diametre, Traité, Mode de relève, Type Compteur, Commune.</w:t>
            </w:r>
          </w:p>
        </w:tc>
      </w:tr>
      <w:tr>
        <w:tc>
          <w:tcPr>
            <w:tcW w:type="dxa" w:w="2400"/>
            <w:shd w:fill="FFFFFF" w:color="auto" w:val="clear"/>
            <w:tcMar>
              <w:top w:type="dxa" w:w="60"/>
              <w:left w:type="dxa" w:w="100"/>
              <w:bottom w:type="dxa" w:w="60"/>
              <w:right w:type="dxa" w:w="100"/>
            </w:tcMar>
          </w:tcPr>
          <w:p>
            <w:r>
              <w:rPr>
                <w:b w:val="false"/>
                <w:bCs w:val="false"/>
                <w:color w:val="212529"/>
                <w:sz w:val="19"/>
                <w:szCs w:val="19"/>
              </w:rPr>
              <w:t xml:space="preserve">Manuelle</w:t>
            </w:r>
          </w:p>
        </w:tc>
        <w:tc>
          <w:tcPr>
            <w:tcW w:type="dxa" w:w="7000"/>
            <w:shd w:fill="FFFFFF" w:color="auto" w:val="clear"/>
            <w:tcMar>
              <w:top w:type="dxa" w:w="60"/>
              <w:left w:type="dxa" w:w="100"/>
              <w:bottom w:type="dxa" w:w="60"/>
              <w:right w:type="dxa" w:w="100"/>
            </w:tcMar>
          </w:tcPr>
          <w:p>
            <w:r>
              <w:rPr>
                <w:b w:val="false"/>
                <w:bCs w:val="false"/>
                <w:color w:val="212529"/>
                <w:sz w:val="19"/>
                <w:szCs w:val="19"/>
              </w:rPr>
              <w:t xml:space="preserve">Latitude, Longitude, Numéro de compteur, Marque, Année de fabrication, Diametre, Type Compteur (Commune et Traité utilisés si présents).</w:t>
            </w:r>
          </w:p>
        </w:tc>
      </w:tr>
    </w:tbl>
    <w:p>
      <w:pPr>
        <w:pStyle w:val="Heading1"/>
        <w:spacing w:after="140" w:before="320"/>
      </w:pPr>
      <w:r>
        <w:t xml:space="preserve">7. Mise à jour et maintenance</w:t>
      </w:r>
    </w:p>
    <w:p>
      <w:pPr>
        <w:pStyle w:val="ListParagraph"/>
        <w:numPr>
          <w:ilvl w:val="0"/>
          <w:numId w:val="3"/>
        </w:numPr>
        <w:spacing w:after="80"/>
      </w:pPr>
      <w:r>
        <w:t xml:space="preserve">Remplacer les fichiers modifiés (logique_controles.py, main.py, app_analyses_anomalies.py, regles_config.py).</w:t>
      </w:r>
    </w:p>
    <w:p>
      <w:pPr>
        <w:pStyle w:val="ListParagraph"/>
        <w:numPr>
          <w:ilvl w:val="0"/>
          <w:numId w:val="3"/>
        </w:numPr>
        <w:spacing w:after="80"/>
      </w:pPr>
      <w:r>
        <w:t xml:space="preserve">Recompiler : python compiler_exe.py</w:t>
      </w:r>
    </w:p>
    <w:p>
      <w:pPr>
        <w:pStyle w:val="ListParagraph"/>
        <w:numPr>
          <w:ilvl w:val="0"/>
          <w:numId w:val="3"/>
        </w:numPr>
        <w:spacing w:after="80"/>
      </w:pPr>
      <w:r>
        <w:t xml:space="preserve">Redistribuer le nouveau Korrecteau.exe.</w:t>
      </w:r>
    </w:p>
    <w:p>
      <w:pPr>
        <w:pBdr>
          <w:left w:val="single" w:color="198754" w:sz="24" w:space="10"/>
        </w:pBdr>
        <w:shd w:fill="E9F5EE" w:color="auto" w:val="clear"/>
        <w:spacing w:after="140" w:before="80"/>
      </w:pPr>
      <w:r>
        <w:rPr>
          <w:b/>
          <w:bCs/>
          <w:color w:val="146C43"/>
        </w:rPr>
        <w:t xml:space="preserve">ℹ  </w:t>
      </w:r>
      <w:r>
        <w:t xml:space="preserve">Le fichier de règles regles_anomalies.xlsx des utilisateurs n’est pas écrasé par une mise à jour du code : leurs réglages sont conservés.</w:t>
      </w:r>
    </w:p>
    <w:p>
      <w:pPr>
        <w:pStyle w:val="Heading1"/>
        <w:spacing w:after="140" w:before="320"/>
      </w:pPr>
      <w:r>
        <w:t xml:space="preserve">8. Dépannage technique</w:t>
      </w:r>
    </w:p>
    <w:tbl>
      <w:tblPr>
        <w:tblW w:type="dxa" w:w="9400"/>
        <w:tblBorders>
          <w:top w:val="single" w:color="CED4DA" w:sz="4"/>
          <w:left w:val="single" w:color="CED4DA" w:sz="4"/>
          <w:bottom w:val="single" w:color="CED4DA" w:sz="4"/>
          <w:right w:val="single" w:color="CED4DA" w:sz="4"/>
          <w:insideH w:val="single" w:color="DEE2E6" w:sz="4"/>
          <w:insideV w:val="single" w:color="DEE2E6" w:sz="4"/>
        </w:tblBorders>
      </w:tblPr>
      <w:tblGrid>
        <w:gridCol w:w="3400"/>
        <w:gridCol w:w="6000"/>
      </w:tblGrid>
      <w:tr>
        <w:trPr>
          <w:tblHeader/>
        </w:trPr>
        <w:tc>
          <w:tcPr>
            <w:tcW w:type="dxa" w:w="3400"/>
            <w:shd w:fill="198754" w:color="auto" w:val="clear"/>
            <w:tcMar>
              <w:top w:type="dxa" w:w="60"/>
              <w:left w:type="dxa" w:w="100"/>
              <w:bottom w:type="dxa" w:w="60"/>
              <w:right w:type="dxa" w:w="100"/>
            </w:tcMar>
          </w:tcPr>
          <w:p>
            <w:r>
              <w:rPr>
                <w:b/>
                <w:bCs/>
                <w:color w:val="FFFFFF"/>
                <w:sz w:val="19"/>
                <w:szCs w:val="19"/>
              </w:rPr>
              <w:t xml:space="preserve">Symptôme</w:t>
            </w:r>
          </w:p>
        </w:tc>
        <w:tc>
          <w:tcPr>
            <w:tcW w:type="dxa" w:w="6000"/>
            <w:shd w:fill="198754" w:color="auto" w:val="clear"/>
            <w:tcMar>
              <w:top w:type="dxa" w:w="60"/>
              <w:left w:type="dxa" w:w="100"/>
              <w:bottom w:type="dxa" w:w="60"/>
              <w:right w:type="dxa" w:w="100"/>
            </w:tcMar>
          </w:tcPr>
          <w:p>
            <w:r>
              <w:rPr>
                <w:b/>
                <w:bCs/>
                <w:color w:val="FFFFFF"/>
                <w:sz w:val="19"/>
                <w:szCs w:val="19"/>
              </w:rPr>
              <w:t xml:space="preserve">Piste</w:t>
            </w:r>
          </w:p>
        </w:tc>
      </w:tr>
      <w:tr>
        <w:tc>
          <w:tcPr>
            <w:tcW w:type="dxa" w:w="3400"/>
            <w:shd w:fill="FFFFFF" w:color="auto" w:val="clear"/>
            <w:tcMar>
              <w:top w:type="dxa" w:w="60"/>
              <w:left w:type="dxa" w:w="100"/>
              <w:bottom w:type="dxa" w:w="60"/>
              <w:right w:type="dxa" w:w="100"/>
            </w:tcMar>
          </w:tcPr>
          <w:p>
            <w:r>
              <w:rPr>
                <w:b w:val="false"/>
                <w:bCs w:val="false"/>
                <w:color w:val="212529"/>
                <w:sz w:val="19"/>
                <w:szCs w:val="19"/>
              </w:rPr>
              <w:t xml:space="preserve">« Colonnes requises manquantes »</w:t>
            </w:r>
          </w:p>
        </w:tc>
        <w:tc>
          <w:tcPr>
            <w:tcW w:type="dxa" w:w="6000"/>
            <w:shd w:fill="FFFFFF" w:color="auto" w:val="clear"/>
            <w:tcMar>
              <w:top w:type="dxa" w:w="60"/>
              <w:left w:type="dxa" w:w="100"/>
              <w:bottom w:type="dxa" w:w="60"/>
              <w:right w:type="dxa" w:w="100"/>
            </w:tcMar>
          </w:tcPr>
          <w:p>
            <w:r>
              <w:rPr>
                <w:b w:val="false"/>
                <w:bCs w:val="false"/>
                <w:color w:val="212529"/>
                <w:sz w:val="19"/>
                <w:szCs w:val="19"/>
              </w:rPr>
              <w:t xml:space="preserve">Le fichier importé n’a pas toutes les colonnes attendues (cf. §6). Vérifier les en-têtes.</w:t>
            </w:r>
          </w:p>
        </w:tc>
      </w:tr>
      <w:tr>
        <w:tc>
          <w:tcPr>
            <w:tcW w:type="dxa" w:w="3400"/>
            <w:shd w:fill="FFFFFF" w:color="auto" w:val="clear"/>
            <w:tcMar>
              <w:top w:type="dxa" w:w="60"/>
              <w:left w:type="dxa" w:w="100"/>
              <w:bottom w:type="dxa" w:w="60"/>
              <w:right w:type="dxa" w:w="100"/>
            </w:tcMar>
          </w:tcPr>
          <w:p>
            <w:r>
              <w:rPr>
                <w:b w:val="false"/>
                <w:bCs w:val="false"/>
                <w:color w:val="212529"/>
                <w:sz w:val="19"/>
                <w:szCs w:val="19"/>
              </w:rPr>
              <w:t xml:space="preserve">Le drag &amp; drop ne marche pas dans l’exe</w:t>
            </w:r>
          </w:p>
        </w:tc>
        <w:tc>
          <w:tcPr>
            <w:tcW w:type="dxa" w:w="6000"/>
            <w:shd w:fill="FFFFFF" w:color="auto" w:val="clear"/>
            <w:tcMar>
              <w:top w:type="dxa" w:w="60"/>
              <w:left w:type="dxa" w:w="100"/>
              <w:bottom w:type="dxa" w:w="60"/>
              <w:right w:type="dxa" w:w="100"/>
            </w:tcMar>
          </w:tcPr>
          <w:p>
            <w:r>
              <w:rPr>
                <w:b w:val="false"/>
                <w:bCs w:val="false"/>
                <w:color w:val="212529"/>
                <w:sz w:val="19"/>
                <w:szCs w:val="19"/>
              </w:rPr>
              <w:t xml:space="preserve">Comportement connu de tkinterdnd2 en .exe : utiliser les boutons « Sélectionner fichier ».</w:t>
            </w:r>
          </w:p>
        </w:tc>
      </w:tr>
      <w:tr>
        <w:tc>
          <w:tcPr>
            <w:tcW w:type="dxa" w:w="3400"/>
            <w:shd w:fill="FFFFFF" w:color="auto" w:val="clear"/>
            <w:tcMar>
              <w:top w:type="dxa" w:w="60"/>
              <w:left w:type="dxa" w:w="100"/>
              <w:bottom w:type="dxa" w:w="60"/>
              <w:right w:type="dxa" w:w="100"/>
            </w:tcMar>
          </w:tcPr>
          <w:p>
            <w:r>
              <w:rPr>
                <w:b w:val="false"/>
                <w:bCs w:val="false"/>
                <w:color w:val="212529"/>
                <w:sz w:val="19"/>
                <w:szCs w:val="19"/>
              </w:rPr>
              <w:t xml:space="preserve">L’exe ne démarre pas</w:t>
            </w:r>
          </w:p>
        </w:tc>
        <w:tc>
          <w:tcPr>
            <w:tcW w:type="dxa" w:w="6000"/>
            <w:shd w:fill="FFFFFF" w:color="auto" w:val="clear"/>
            <w:tcMar>
              <w:top w:type="dxa" w:w="60"/>
              <w:left w:type="dxa" w:w="100"/>
              <w:bottom w:type="dxa" w:w="60"/>
              <w:right w:type="dxa" w:w="100"/>
            </w:tcMar>
          </w:tcPr>
          <w:p>
            <w:r>
              <w:rPr>
                <w:b w:val="false"/>
                <w:bCs w:val="false"/>
                <w:color w:val="212529"/>
                <w:sz w:val="19"/>
                <w:szCs w:val="19"/>
              </w:rPr>
              <w:t xml:space="preserve">Droits administrateur / antivirus. Tester d’abord en mode dev : python app_analyses_anomalies.py.</w:t>
            </w:r>
          </w:p>
        </w:tc>
      </w:tr>
      <w:tr>
        <w:tc>
          <w:tcPr>
            <w:tcW w:type="dxa" w:w="3400"/>
            <w:shd w:fill="FFFFFF" w:color="auto" w:val="clear"/>
            <w:tcMar>
              <w:top w:type="dxa" w:w="60"/>
              <w:left w:type="dxa" w:w="100"/>
              <w:bottom w:type="dxa" w:w="60"/>
              <w:right w:type="dxa" w:w="100"/>
            </w:tcMar>
          </w:tcPr>
          <w:p>
            <w:r>
              <w:rPr>
                <w:b w:val="false"/>
                <w:bCs w:val="false"/>
                <w:color w:val="212529"/>
                <w:sz w:val="19"/>
                <w:szCs w:val="19"/>
              </w:rPr>
              <w:t xml:space="preserve">Un onglet de règles est ignoré</w:t>
            </w:r>
          </w:p>
        </w:tc>
        <w:tc>
          <w:tcPr>
            <w:tcW w:type="dxa" w:w="6000"/>
            <w:shd w:fill="FFFFFF" w:color="auto" w:val="clear"/>
            <w:tcMar>
              <w:top w:type="dxa" w:w="60"/>
              <w:left w:type="dxa" w:w="100"/>
              <w:bottom w:type="dxa" w:w="60"/>
              <w:right w:type="dxa" w:w="100"/>
            </w:tcMar>
          </w:tcPr>
          <w:p>
            <w:r>
              <w:rPr>
                <w:b w:val="false"/>
                <w:bCs w:val="false"/>
                <w:color w:val="212529"/>
                <w:sz w:val="19"/>
                <w:szCs w:val="19"/>
              </w:rPr>
              <w:t xml:space="preserve">Onglet ou colonne renommé : l’application retombe sur les valeurs par défaut. Restaurer les en-têtes d’origine.</w:t>
            </w:r>
          </w:p>
        </w:tc>
      </w:tr>
    </w:tbl>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rPr>
        <w:color w:val="198754"/>
      </w:rPr>
    </w:lvl>
    <w:lvl w:ilvl="1" w15:tentative="1">
      <w:start w:val="1"/>
      <w:numFmt w:val="bullet"/>
      <w:lvlText w:val="◦"/>
      <w:lvlJc w:val="left"/>
      <w:pPr>
        <w:ind w:left="840" w:hanging="220"/>
      </w:pPr>
    </w:lvl>
  </w:abstractNum>
  <w:abstractNum w:abstractNumId="3" w15:restartNumberingAfterBreak="0">
    <w:multiLevelType w:val="hybridMultilevel"/>
    <w:lvl w:ilvl="0" w15:tentative="1">
      <w:start w:val="1"/>
      <w:numFmt w:val="decimal"/>
      <w:lvlText w:val="%1."/>
      <w:lvlJc w:val="left"/>
      <w:pPr>
        <w:ind w:left="420" w:hanging="260"/>
      </w:pPr>
      <w:rPr>
        <w:b/>
        <w:bCs/>
        <w:color w:val="146C43"/>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12529"/>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98754" w:sz="8" w:space="6"/>
      </w:pBdr>
      <w:spacing w:after="140" w:before="320"/>
    </w:pPr>
    <w:rPr>
      <w:b/>
      <w:bCs/>
      <w:color w:val="198754"/>
      <w:sz w:val="30"/>
      <w:szCs w:val="30"/>
    </w:rPr>
  </w:style>
  <w:style w:type="paragraph" w:styleId="Heading2">
    <w:name w:val="Heading 2"/>
    <w:basedOn w:val="Normal"/>
    <w:next w:val="Normal"/>
    <w:qFormat/>
    <w:pPr>
      <w:spacing w:after="100" w:before="240"/>
    </w:pPr>
    <w:rPr>
      <w:b/>
      <w:bCs/>
      <w:color w:val="146C43"/>
      <w:sz w:val="25"/>
      <w:szCs w:val="25"/>
    </w:rPr>
  </w:style>
  <w:style w:type="paragraph" w:styleId="Heading3">
    <w:name w:val="Heading 3"/>
    <w:basedOn w:val="Normal"/>
    <w:next w:val="Normal"/>
    <w:qFormat/>
    <w:pPr>
      <w:spacing w:after="80" w:before="180"/>
    </w:pPr>
    <w:rPr>
      <w:b/>
      <w:bCs/>
      <w:color w:val="21252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Korrect’eau</dc:title>
  <dc:creator>Korrect’eau</dc:creator>
  <cp:lastModifiedBy>Un-named</cp:lastModifiedBy>
  <cp:revision>1</cp:revision>
  <dcterms:created xsi:type="dcterms:W3CDTF">2026-09-07T08:14:37.656Z</dcterms:created>
  <dcterms:modified xsi:type="dcterms:W3CDTF">2026-09-07T08:14:37.656Z</dcterms:modified>
</cp:coreProperties>
</file>

<file path=docProps/custom.xml><?xml version="1.0" encoding="utf-8"?>
<Properties xmlns="http://schemas.openxmlformats.org/officeDocument/2006/custom-properties" xmlns:vt="http://schemas.openxmlformats.org/officeDocument/2006/docPropsVTypes"/>
</file>