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98754"/>
          <w:sz w:val="56"/>
          <w:szCs w:val="56"/>
        </w:rPr>
        <w:t xml:space="preserve">📊 Korrect’eau</w:t>
      </w:r>
    </w:p>
    <w:p>
      <w:pPr>
        <w:spacing w:after="0" w:before="200"/>
        <w:jc w:val="center"/>
      </w:pPr>
      <w:r>
        <w:rPr>
          <w:b/>
          <w:bCs/>
          <w:color w:val="212529"/>
          <w:sz w:val="40"/>
          <w:szCs w:val="40"/>
        </w:rPr>
        <w:t xml:space="preserve">Guide d’utilisation</w:t>
      </w:r>
    </w:p>
    <w:p>
      <w:pPr>
        <w:spacing w:after="0" w:before="160"/>
        <w:jc w:val="center"/>
      </w:pPr>
      <w:r>
        <w:rPr>
          <w:i/>
          <w:iCs/>
          <w:color w:val="6C757D"/>
          <w:sz w:val="24"/>
          <w:szCs w:val="24"/>
        </w:rPr>
        <w:t xml:space="preserve">À quoi sert le logiciel, comment le lancer et l’utiliser au quotidien</w:t>
      </w:r>
    </w:p>
    <w:p>
      <w:pPr>
        <w:spacing w:after="0" w:before="500"/>
        <w:jc w:val="center"/>
      </w:pPr>
      <w:r>
        <w:rPr>
          <w:b/>
          <w:bCs/>
          <w:color w:val="146C43"/>
          <w:sz w:val="20"/>
          <w:szCs w:val="20"/>
        </w:rPr>
        <w:t xml:space="preserve">Destiné aux utilisateurs de l’équipe</w:t>
      </w:r>
    </w:p>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t xml:space="preserve">1. À quoi sert Korrect’eau ?</w:t>
      </w:r>
    </w:p>
    <w:p>
      <w:pPr>
        <w:spacing w:after="120" w:line="276"/>
      </w:pPr>
      <w:r>
        <w:t xml:space="preserve">Korrect’eau vérifie la qualité des données de compteurs d’eau. Vous lui fournissez vos fichiers Excel, il les analyse automatiquement et produit des rapports qui listent les anomalies (erreurs ou incohérences de saisie), avec les cellules concernées surlignées en rouge et, quand c’est possible, une correction proposée.</w:t>
      </w:r>
    </w:p>
    <w:p>
      <w:pPr>
        <w:spacing w:after="120" w:line="276"/>
      </w:pPr>
      <w:r>
        <w:t xml:space="preserve">Trois types de fichiers sont pris en charge, selon la façon dont le compteur est relevé :</w:t>
      </w:r>
    </w:p>
    <w:p>
      <w:pPr>
        <w:pStyle w:val="ListParagraph"/>
        <w:numPr>
          <w:ilvl w:val="0"/>
          <w:numId w:val="2"/>
        </w:numPr>
        <w:spacing w:after="60"/>
      </w:pPr>
      <w:r>
        <w:rPr>
          <w:b w:val="false"/>
          <w:bCs w:val="false"/>
        </w:rPr>
        <w:t xml:space="preserve">📻 Radiorelève — compteurs lus à distance par radio.</w:t>
      </w:r>
    </w:p>
    <w:p>
      <w:pPr>
        <w:pStyle w:val="ListParagraph"/>
        <w:numPr>
          <w:ilvl w:val="0"/>
          <w:numId w:val="2"/>
        </w:numPr>
        <w:spacing w:after="60"/>
      </w:pPr>
      <w:r>
        <w:rPr>
          <w:b w:val="false"/>
          <w:bCs w:val="false"/>
        </w:rPr>
        <w:t xml:space="preserve">📡 Télérelève — compteurs lus par télérelève.</w:t>
      </w:r>
    </w:p>
    <w:p>
      <w:pPr>
        <w:pStyle w:val="ListParagraph"/>
        <w:numPr>
          <w:ilvl w:val="0"/>
          <w:numId w:val="2"/>
        </w:numPr>
        <w:spacing w:after="60"/>
      </w:pPr>
      <w:r>
        <w:rPr>
          <w:b w:val="false"/>
          <w:bCs w:val="false"/>
        </w:rPr>
        <w:t xml:space="preserve">📝 Manuelle — compteurs saisis manuellement.</w:t>
      </w:r>
    </w:p>
    <w:p>
      <w:pPr>
        <w:spacing w:after="120" w:line="276"/>
      </w:pPr>
      <w:r>
        <w:t xml:space="preserve">Vous n’êtes pas obligé de fournir les trois : au moins un fichier suffit.</w:t>
      </w:r>
    </w:p>
    <w:p>
      <w:pPr>
        <w:pStyle w:val="Heading1"/>
        <w:spacing w:after="140" w:before="320"/>
      </w:pPr>
      <w:r>
        <w:t xml:space="preserve">2. Récupérer les données à analyser</w:t>
      </w:r>
    </w:p>
    <w:p>
      <w:pPr>
        <w:spacing w:after="120" w:line="276"/>
      </w:pPr>
      <w:r>
        <w:t xml:space="preserve">Avant d’utiliser le logiciel, exportez vos données depuis votre outil habituel, sous forme de fichiers Excel (.xlsx).</w:t>
      </w:r>
    </w:p>
    <w:p>
      <w:pPr>
        <w:pBdr>
          <w:left w:val="single" w:color="198754" w:sz="24" w:space="10"/>
        </w:pBdr>
        <w:shd w:fill="E9F5EE" w:color="auto" w:val="clear"/>
        <w:spacing w:after="140" w:before="80"/>
      </w:pPr>
      <w:r>
        <w:rPr>
          <w:b/>
          <w:bCs/>
          <w:color w:val="146C43"/>
        </w:rPr>
        <w:t xml:space="preserve">ℹ  </w:t>
      </w:r>
      <w:r>
        <w:t xml:space="preserve">À COMPLÉTER par votre service : indiquez ici précisément d’où et comment télécharger les fichiers (nom de l’outil d’export, filtre / requête à utiliser, périodicité).</w:t>
      </w:r>
    </w:p>
    <w:p>
      <w:pPr>
        <w:spacing w:after="120" w:line="276"/>
      </w:pPr>
      <w:r>
        <w:t xml:space="preserve">Nommez les fichiers de façon claire, par exemple :</w:t>
      </w:r>
    </w:p>
    <w:p>
      <w:pPr>
        <w:pStyle w:val="ListParagraph"/>
        <w:numPr>
          <w:ilvl w:val="0"/>
          <w:numId w:val="2"/>
        </w:numPr>
        <w:spacing w:after="60"/>
      </w:pPr>
      <w:r>
        <w:rPr>
          <w:b w:val="false"/>
          <w:bCs w:val="false"/>
        </w:rPr>
        <w:t xml:space="preserve">radioreleve.xlsx pour la radiorelève,</w:t>
      </w:r>
    </w:p>
    <w:p>
      <w:pPr>
        <w:pStyle w:val="ListParagraph"/>
        <w:numPr>
          <w:ilvl w:val="0"/>
          <w:numId w:val="2"/>
        </w:numPr>
        <w:spacing w:after="60"/>
      </w:pPr>
      <w:r>
        <w:rPr>
          <w:b w:val="false"/>
          <w:bCs w:val="false"/>
        </w:rPr>
        <w:t xml:space="preserve">telereleve.xlsx pour la télérelève,</w:t>
      </w:r>
    </w:p>
    <w:p>
      <w:pPr>
        <w:pStyle w:val="ListParagraph"/>
        <w:numPr>
          <w:ilvl w:val="0"/>
          <w:numId w:val="2"/>
        </w:numPr>
        <w:spacing w:after="60"/>
      </w:pPr>
      <w:r>
        <w:rPr>
          <w:b w:val="false"/>
          <w:bCs w:val="false"/>
        </w:rPr>
        <w:t xml:space="preserve">manuelle.xlsx pour la saisie manuelle.</w:t>
      </w:r>
    </w:p>
    <w:p>
      <w:pPr>
        <w:spacing w:after="120" w:line="276"/>
      </w:pPr>
      <w:r>
        <w:t xml:space="preserve">Chaque fichier doit contenir les colonnes utiles (Marque, Numéro de compteur, Numéro de tête, Diamètre, Année de fabrication, Type Compteur, Commune, Latitude / Longitude, Protocole Radio, Mode de relève, Traité…). Les deux dernières lignes de l’export (lignes de total) sont ignorées automatiquement.</w:t>
      </w:r>
    </w:p>
    <w:p>
      <w:pPr>
        <w:pStyle w:val="Heading1"/>
        <w:spacing w:after="140" w:before="320"/>
      </w:pPr>
      <w:r>
        <w:t xml:space="preserve">3. Lancer le logiciel</w:t>
      </w:r>
    </w:p>
    <w:p>
      <w:pPr>
        <w:pStyle w:val="ListParagraph"/>
        <w:numPr>
          <w:ilvl w:val="0"/>
          <w:numId w:val="3"/>
        </w:numPr>
        <w:spacing w:after="80"/>
      </w:pPr>
      <w:r>
        <w:t xml:space="preserve">Double-cliquez sur le fichier Korrecteau.exe.</w:t>
      </w:r>
    </w:p>
    <w:p>
      <w:pPr>
        <w:pStyle w:val="ListParagraph"/>
        <w:numPr>
          <w:ilvl w:val="0"/>
          <w:numId w:val="3"/>
        </w:numPr>
        <w:spacing w:after="80"/>
      </w:pPr>
      <w:r>
        <w:t xml:space="preserve">La fenêtre de l’application s’ouvre. Aucune installation n’est nécessaire.</w:t>
      </w:r>
    </w:p>
    <w:p>
      <w:pPr>
        <w:pBdr>
          <w:left w:val="single" w:color="198754" w:sz="24" w:space="10"/>
        </w:pBdr>
        <w:shd w:fill="E9F5EE" w:color="auto" w:val="clear"/>
        <w:spacing w:after="140" w:before="80"/>
      </w:pPr>
      <w:r>
        <w:rPr>
          <w:b/>
          <w:bCs/>
          <w:color w:val="146C43"/>
        </w:rPr>
        <w:t xml:space="preserve">ℹ  </w:t>
      </w:r>
      <w:r>
        <w:t xml:space="preserve">Si Windows ou l’antivirus affiche un avertissement au premier lancement, autorisez l’application (elle est interne et sans danger). En cas de blocage, contactez votre administrateur.</w:t>
      </w:r>
    </w:p>
    <w:p>
      <w:pPr>
        <w:pStyle w:val="Heading1"/>
        <w:spacing w:after="140" w:before="320"/>
      </w:pPr>
      <w:r>
        <w:t xml:space="preserve">4. Utiliser le logiciel</w:t>
      </w:r>
    </w:p>
    <w:p>
      <w:pPr>
        <w:pStyle w:val="Heading3"/>
        <w:spacing w:after="80" w:before="180"/>
      </w:pPr>
      <w:r>
        <w:t xml:space="preserve">Étape 1 — Sélectionner vos fichiers</w:t>
      </w:r>
    </w:p>
    <w:p>
      <w:pPr>
        <w:spacing w:after="120" w:line="276"/>
      </w:pPr>
      <w:r>
        <w:t xml:space="preserve">Deux méthodes au choix pour chaque type (Radiorelève, Télérelève, Manuelle) :</w:t>
      </w:r>
    </w:p>
    <w:p>
      <w:pPr>
        <w:pStyle w:val="ListParagraph"/>
        <w:numPr>
          <w:ilvl w:val="0"/>
          <w:numId w:val="2"/>
        </w:numPr>
        <w:spacing w:after="60"/>
      </w:pPr>
      <w:r>
        <w:rPr>
          <w:b w:val="false"/>
          <w:bCs w:val="false"/>
        </w:rPr>
        <w:t xml:space="preserve">Glissez-déposez le fichier Excel dans la zone correspondante, ou</w:t>
      </w:r>
    </w:p>
    <w:p>
      <w:pPr>
        <w:pStyle w:val="ListParagraph"/>
        <w:numPr>
          <w:ilvl w:val="0"/>
          <w:numId w:val="2"/>
        </w:numPr>
        <w:spacing w:after="60"/>
      </w:pPr>
      <w:r>
        <w:rPr>
          <w:b w:val="false"/>
          <w:bCs w:val="false"/>
        </w:rPr>
        <w:t xml:space="preserve">Cliquez sur « 📁 Sélectionner fichier » et choisissez-le.</w:t>
      </w:r>
    </w:p>
    <w:p>
      <w:pPr>
        <w:spacing w:after="120" w:line="276"/>
      </w:pPr>
      <w:r>
        <w:t xml:space="preserve">Une coche verte ✓ confirme que le fichier est valide. Remplissez au moins une des trois zones.</w:t>
      </w:r>
    </w:p>
    <w:p>
      <w:pPr>
        <w:pStyle w:val="Heading3"/>
        <w:spacing w:after="80" w:before="180"/>
      </w:pPr>
      <w:r>
        <w:t xml:space="preserve">Étape 2 — Choisir le dossier de sortie</w:t>
      </w:r>
    </w:p>
    <w:p>
      <w:pPr>
        <w:spacing w:after="120" w:line="276"/>
      </w:pPr>
      <w:r>
        <w:t xml:space="preserve">Cliquez sur « 📂 Parcourir » et choisissez le dossier où seront enregistrés les rapports.</w:t>
      </w:r>
    </w:p>
    <w:p>
      <w:pPr>
        <w:pStyle w:val="Heading3"/>
        <w:spacing w:after="80" w:before="180"/>
      </w:pPr>
      <w:r>
        <w:t xml:space="preserve">Étape 3 — Lancer l’analyse</w:t>
      </w:r>
    </w:p>
    <w:p>
      <w:pPr>
        <w:pStyle w:val="ListParagraph"/>
        <w:numPr>
          <w:ilvl w:val="0"/>
          <w:numId w:val="3"/>
        </w:numPr>
        <w:spacing w:after="80"/>
      </w:pPr>
      <w:r>
        <w:t xml:space="preserve">Cliquez sur le bouton vert « 🚀 ANALYSER LES DONNÉES ».</w:t>
      </w:r>
    </w:p>
    <w:p>
      <w:pPr>
        <w:pStyle w:val="ListParagraph"/>
        <w:numPr>
          <w:ilvl w:val="0"/>
          <w:numId w:val="3"/>
        </w:numPr>
        <w:spacing w:after="80"/>
      </w:pPr>
      <w:r>
        <w:t xml:space="preserve">Suivez la barre de progression. Ne fermez pas la fenêtre pendant l’analyse.</w:t>
      </w:r>
    </w:p>
    <w:p>
      <w:pPr>
        <w:pStyle w:val="ListParagraph"/>
        <w:numPr>
          <w:ilvl w:val="0"/>
          <w:numId w:val="3"/>
        </w:numPr>
        <w:spacing w:after="80"/>
      </w:pPr>
      <w:r>
        <w:t xml:space="preserve">À la fin, une fenêtre propose d’ouvrir le dossier des résultats.</w:t>
      </w:r>
    </w:p>
    <w:p>
      <w:pPr>
        <w:pBdr>
          <w:left w:val="single" w:color="198754" w:sz="24" w:space="10"/>
        </w:pBdr>
        <w:shd w:fill="E9F5EE" w:color="auto" w:val="clear"/>
        <w:spacing w:after="140" w:before="80"/>
      </w:pPr>
      <w:r>
        <w:rPr>
          <w:b/>
          <w:bCs/>
          <w:color w:val="146C43"/>
        </w:rPr>
        <w:t xml:space="preserve">ℹ  </w:t>
      </w:r>
      <w:r>
        <w:t xml:space="preserve">Le bouton 🔄 (en haut à droite) remet l’application à zéro si vous voulez recommencer avec d’autres fichiers.</w:t>
      </w:r>
    </w:p>
    <w:p>
      <w:pPr>
        <w:pStyle w:val="Heading1"/>
        <w:spacing w:after="140" w:before="320"/>
      </w:pPr>
      <w:r>
        <w:t xml:space="preserve">5. Comprendre les rapports générés</w:t>
      </w:r>
    </w:p>
    <w:p>
      <w:pPr>
        <w:spacing w:after="120" w:line="276"/>
      </w:pPr>
      <w:r>
        <w:t xml:space="preserve">Le logiciel crée automatiquement deux familles de rapports Excel dans le dossier de sortie.</w:t>
      </w:r>
    </w:p>
    <w:p>
      <w:pPr>
        <w:pStyle w:val="Heading2"/>
        <w:spacing w:after="100" w:before="240"/>
      </w:pPr>
      <w:r>
        <w:t xml:space="preserve">Rapports par mode</w:t>
      </w:r>
    </w:p>
    <w:p>
      <w:pPr>
        <w:pStyle w:val="ListParagraph"/>
        <w:numPr>
          <w:ilvl w:val="0"/>
          <w:numId w:val="2"/>
        </w:numPr>
        <w:spacing w:after="60"/>
      </w:pPr>
      <w:r>
        <w:rPr>
          <w:b w:val="false"/>
          <w:bCs w:val="false"/>
        </w:rPr>
        <w:t xml:space="preserve">Un fichier par type analysé, par exemple Rapport_Radioreleve_2025_Janvier.xlsx.</w:t>
      </w:r>
    </w:p>
    <w:p>
      <w:pPr>
        <w:spacing w:after="120" w:line="276"/>
      </w:pPr>
      <w:r>
        <w:t xml:space="preserve">Chacun contient :</w:t>
      </w:r>
    </w:p>
    <w:p>
      <w:pPr>
        <w:pStyle w:val="ListParagraph"/>
        <w:numPr>
          <w:ilvl w:val="1"/>
          <w:numId w:val="2"/>
        </w:numPr>
        <w:spacing w:after="60"/>
      </w:pPr>
      <w:r>
        <w:rPr>
          <w:b w:val="false"/>
          <w:bCs w:val="false"/>
        </w:rPr>
        <w:t xml:space="preserve">un onglet « Récapitulatif » (nombre de cas par anomalie, avec liens cliquables et nombre de corrections proposées),</w:t>
      </w:r>
    </w:p>
    <w:p>
      <w:pPr>
        <w:pStyle w:val="ListParagraph"/>
        <w:numPr>
          <w:ilvl w:val="1"/>
          <w:numId w:val="2"/>
        </w:numPr>
        <w:spacing w:after="60"/>
      </w:pPr>
      <w:r>
        <w:rPr>
          <w:b w:val="false"/>
          <w:bCs w:val="false"/>
        </w:rPr>
        <w:t xml:space="preserve">un onglet « Toutes_Anomalies » (toutes les lignes concernées),</w:t>
      </w:r>
    </w:p>
    <w:p>
      <w:pPr>
        <w:pStyle w:val="ListParagraph"/>
        <w:numPr>
          <w:ilvl w:val="1"/>
          <w:numId w:val="2"/>
        </w:numPr>
        <w:spacing w:after="60"/>
      </w:pPr>
      <w:r>
        <w:rPr>
          <w:b w:val="false"/>
          <w:bCs w:val="false"/>
        </w:rPr>
        <w:t xml:space="preserve">un onglet par type d’anomalie, avec les cellules fautives surlignées en rouge.</w:t>
      </w:r>
    </w:p>
    <w:p>
      <w:pPr>
        <w:pStyle w:val="Heading2"/>
        <w:spacing w:after="100" w:before="240"/>
      </w:pPr>
      <w:r>
        <w:t xml:space="preserve">Rapports par Traité</w:t>
      </w:r>
    </w:p>
    <w:p>
      <w:pPr>
        <w:pStyle w:val="ListParagraph"/>
        <w:numPr>
          <w:ilvl w:val="0"/>
          <w:numId w:val="2"/>
        </w:numPr>
        <w:spacing w:after="60"/>
      </w:pPr>
      <w:r>
        <w:rPr>
          <w:b w:val="false"/>
          <w:bCs w:val="false"/>
        </w:rPr>
        <w:t xml:space="preserve">Dans un sous-dossier « Traites/ », un fichier par secteur, regroupé sur les 3 premiers chiffres du champ « Traité » (ex. Anomalies_Traite_965_2025_Janvier.xlsx).</w:t>
      </w:r>
    </w:p>
    <w:p>
      <w:pPr>
        <w:spacing w:after="120" w:line="276"/>
      </w:pPr>
      <w:r>
        <w:t xml:space="preserve">Même structure : récapitulatif, toutes les anomalies, puis un onglet par type.</w:t>
      </w:r>
    </w:p>
    <w:p>
      <w:pPr>
        <w:pStyle w:val="Heading1"/>
        <w:spacing w:after="140" w:before="320"/>
      </w:pPr>
      <w:r>
        <w:t xml:space="preserve">6. Les contrôles effectués</w:t>
      </w:r>
    </w:p>
    <w:p>
      <w:pPr>
        <w:spacing w:after="120" w:line="276"/>
      </w:pPr>
      <w:r>
        <w:t xml:space="preserve">Voici, en langage clair, les principales vérifications réalisées par le logiciel.</w:t>
      </w:r>
    </w:p>
    <w:tbl>
      <w:tblPr>
        <w:tblW w:type="dxa" w:w="9400"/>
        <w:tblBorders>
          <w:top w:val="single" w:color="CED4DA" w:sz="4"/>
          <w:left w:val="single" w:color="CED4DA" w:sz="4"/>
          <w:bottom w:val="single" w:color="CED4DA" w:sz="4"/>
          <w:right w:val="single" w:color="CED4DA" w:sz="4"/>
          <w:insideH w:val="single" w:color="DEE2E6" w:sz="4"/>
          <w:insideV w:val="single" w:color="DEE2E6" w:sz="4"/>
        </w:tblBorders>
      </w:tblPr>
      <w:tblGrid>
        <w:gridCol w:w="3200"/>
        <w:gridCol w:w="6200"/>
      </w:tblGrid>
      <w:tr>
        <w:trPr>
          <w:tblHeader/>
        </w:trPr>
        <w:tc>
          <w:tcPr>
            <w:tcW w:type="dxa" w:w="3200"/>
            <w:shd w:fill="198754" w:color="auto" w:val="clear"/>
            <w:tcMar>
              <w:top w:type="dxa" w:w="60"/>
              <w:left w:type="dxa" w:w="100"/>
              <w:bottom w:type="dxa" w:w="60"/>
              <w:right w:type="dxa" w:w="100"/>
            </w:tcMar>
          </w:tcPr>
          <w:p>
            <w:r>
              <w:rPr>
                <w:b/>
                <w:bCs/>
                <w:color w:val="FFFFFF"/>
                <w:sz w:val="19"/>
                <w:szCs w:val="19"/>
              </w:rPr>
              <w:t xml:space="preserve">Contrôle</w:t>
            </w:r>
          </w:p>
        </w:tc>
        <w:tc>
          <w:tcPr>
            <w:tcW w:type="dxa" w:w="6200"/>
            <w:shd w:fill="198754" w:color="auto" w:val="clear"/>
            <w:tcMar>
              <w:top w:type="dxa" w:w="60"/>
              <w:left w:type="dxa" w:w="100"/>
              <w:bottom w:type="dxa" w:w="60"/>
              <w:right w:type="dxa" w:w="100"/>
            </w:tcMar>
          </w:tcPr>
          <w:p>
            <w:r>
              <w:rPr>
                <w:b/>
                <w:bCs/>
                <w:color w:val="FFFFFF"/>
                <w:sz w:val="19"/>
                <w:szCs w:val="19"/>
              </w:rPr>
              <w:t xml:space="preserve">Ce qui est vérifié</w:t>
            </w:r>
          </w:p>
        </w:tc>
      </w:tr>
      <w:tr>
        <w:tc>
          <w:tcPr>
            <w:tcW w:type="dxa" w:w="3200"/>
            <w:shd w:fill="FFFFFF" w:color="auto" w:val="clear"/>
            <w:tcMar>
              <w:top w:type="dxa" w:w="60"/>
              <w:left w:type="dxa" w:w="100"/>
              <w:bottom w:type="dxa" w:w="60"/>
              <w:right w:type="dxa" w:w="100"/>
            </w:tcMar>
          </w:tcPr>
          <w:p>
            <w:r>
              <w:rPr>
                <w:b/>
                <w:bCs/>
                <w:color w:val="212529"/>
                <w:sz w:val="19"/>
                <w:szCs w:val="19"/>
              </w:rPr>
              <w:t xml:space="preserve">Champs obligatoires</w:t>
            </w:r>
          </w:p>
        </w:tc>
        <w:tc>
          <w:tcPr>
            <w:tcW w:type="dxa" w:w="6200"/>
            <w:shd w:fill="FFFFFF" w:color="auto" w:val="clear"/>
            <w:tcMar>
              <w:top w:type="dxa" w:w="60"/>
              <w:left w:type="dxa" w:w="100"/>
              <w:bottom w:type="dxa" w:w="60"/>
              <w:right w:type="dxa" w:w="100"/>
            </w:tcMar>
          </w:tcPr>
          <w:p>
            <w:r>
              <w:rPr>
                <w:b w:val="false"/>
                <w:bCs w:val="false"/>
                <w:color w:val="212529"/>
                <w:sz w:val="19"/>
                <w:szCs w:val="19"/>
              </w:rPr>
              <w:t xml:space="preserve">Marque, numéro de compteur, numéro de tête, diamètre, année de fabrication, type de compteur : signalés s’ils sont manquants.</w:t>
            </w:r>
          </w:p>
        </w:tc>
      </w:tr>
      <w:tr>
        <w:tc>
          <w:tcPr>
            <w:tcW w:type="dxa" w:w="3200"/>
            <w:shd w:fill="FFFFFF" w:color="auto" w:val="clear"/>
            <w:tcMar>
              <w:top w:type="dxa" w:w="60"/>
              <w:left w:type="dxa" w:w="100"/>
              <w:bottom w:type="dxa" w:w="60"/>
              <w:right w:type="dxa" w:w="100"/>
            </w:tcMar>
          </w:tcPr>
          <w:p>
            <w:r>
              <w:rPr>
                <w:b/>
                <w:bCs/>
                <w:color w:val="212529"/>
                <w:sz w:val="19"/>
                <w:szCs w:val="19"/>
              </w:rPr>
              <w:t xml:space="preserve">Marque autorisée</w:t>
            </w:r>
          </w:p>
        </w:tc>
        <w:tc>
          <w:tcPr>
            <w:tcW w:type="dxa" w:w="6200"/>
            <w:shd w:fill="FFFFFF" w:color="auto" w:val="clear"/>
            <w:tcMar>
              <w:top w:type="dxa" w:w="60"/>
              <w:left w:type="dxa" w:w="100"/>
              <w:bottom w:type="dxa" w:w="60"/>
              <w:right w:type="dxa" w:w="100"/>
            </w:tcMar>
          </w:tcPr>
          <w:p>
            <w:r>
              <w:rPr>
                <w:b w:val="false"/>
                <w:bCs w:val="false"/>
                <w:color w:val="212529"/>
                <w:sz w:val="19"/>
                <w:szCs w:val="19"/>
              </w:rPr>
              <w:t xml:space="preserve">La marque doit faire partie de la liste autorisée pour le mode (radio, télé ou manuelle).</w:t>
            </w:r>
          </w:p>
        </w:tc>
      </w:tr>
      <w:tr>
        <w:tc>
          <w:tcPr>
            <w:tcW w:type="dxa" w:w="3200"/>
            <w:shd w:fill="FFFFFF" w:color="auto" w:val="clear"/>
            <w:tcMar>
              <w:top w:type="dxa" w:w="60"/>
              <w:left w:type="dxa" w:w="100"/>
              <w:bottom w:type="dxa" w:w="60"/>
              <w:right w:type="dxa" w:w="100"/>
            </w:tcMar>
          </w:tcPr>
          <w:p>
            <w:r>
              <w:rPr>
                <w:b/>
                <w:bCs/>
                <w:color w:val="212529"/>
                <w:sz w:val="19"/>
                <w:szCs w:val="19"/>
              </w:rPr>
              <w:t xml:space="preserve">Coordonnées GPS</w:t>
            </w:r>
          </w:p>
        </w:tc>
        <w:tc>
          <w:tcPr>
            <w:tcW w:type="dxa" w:w="6200"/>
            <w:shd w:fill="FFFFFF" w:color="auto" w:val="clear"/>
            <w:tcMar>
              <w:top w:type="dxa" w:w="60"/>
              <w:left w:type="dxa" w:w="100"/>
              <w:bottom w:type="dxa" w:w="60"/>
              <w:right w:type="dxa" w:w="100"/>
            </w:tcMar>
          </w:tcPr>
          <w:p>
            <w:r>
              <w:rPr>
                <w:b w:val="false"/>
                <w:bCs w:val="false"/>
                <w:color w:val="212529"/>
                <w:sz w:val="19"/>
                <w:szCs w:val="19"/>
              </w:rPr>
              <w:t xml:space="preserve">Latitude / longitude présentes, numériques et dans des bornes plausibles (non nulles).</w:t>
            </w:r>
          </w:p>
        </w:tc>
      </w:tr>
      <w:tr>
        <w:tc>
          <w:tcPr>
            <w:tcW w:type="dxa" w:w="3200"/>
            <w:shd w:fill="FFFFFF" w:color="auto" w:val="clear"/>
            <w:tcMar>
              <w:top w:type="dxa" w:w="60"/>
              <w:left w:type="dxa" w:w="100"/>
              <w:bottom w:type="dxa" w:w="60"/>
              <w:right w:type="dxa" w:w="100"/>
            </w:tcMar>
          </w:tcPr>
          <w:p>
            <w:r>
              <w:rPr>
                <w:b/>
                <w:bCs/>
                <w:color w:val="212529"/>
                <w:sz w:val="19"/>
                <w:szCs w:val="19"/>
              </w:rPr>
              <w:t xml:space="preserve">Protocole Radio</w:t>
            </w:r>
          </w:p>
        </w:tc>
        <w:tc>
          <w:tcPr>
            <w:tcW w:type="dxa" w:w="6200"/>
            <w:shd w:fill="FFFFFF" w:color="auto" w:val="clear"/>
            <w:tcMar>
              <w:top w:type="dxa" w:w="60"/>
              <w:left w:type="dxa" w:w="100"/>
              <w:bottom w:type="dxa" w:w="60"/>
              <w:right w:type="dxa" w:w="100"/>
            </w:tcMar>
          </w:tcPr>
          <w:p>
            <w:r>
              <w:rPr>
                <w:b w:val="false"/>
                <w:bCs w:val="false"/>
                <w:color w:val="212529"/>
                <w:sz w:val="19"/>
                <w:szCs w:val="19"/>
              </w:rPr>
              <w:t xml:space="preserve">En radiorelève : cohérent avec la marque et l’année (ex. KAMSTRUP = WMS ; SAPPEL ≤ 2022 = WMS, &gt; 2022 = OMS). En télérelève : cohérent avec la commune.</w:t>
            </w:r>
          </w:p>
        </w:tc>
      </w:tr>
      <w:tr>
        <w:tc>
          <w:tcPr>
            <w:tcW w:type="dxa" w:w="3200"/>
            <w:shd w:fill="FFFFFF" w:color="auto" w:val="clear"/>
            <w:tcMar>
              <w:top w:type="dxa" w:w="60"/>
              <w:left w:type="dxa" w:w="100"/>
              <w:bottom w:type="dxa" w:w="60"/>
              <w:right w:type="dxa" w:w="100"/>
            </w:tcMar>
          </w:tcPr>
          <w:p>
            <w:r>
              <w:rPr>
                <w:b/>
                <w:bCs/>
                <w:color w:val="212529"/>
                <w:sz w:val="19"/>
                <w:szCs w:val="19"/>
              </w:rPr>
              <w:t xml:space="preserve">Commune inconnue</w:t>
            </w:r>
          </w:p>
        </w:tc>
        <w:tc>
          <w:tcPr>
            <w:tcW w:type="dxa" w:w="6200"/>
            <w:shd w:fill="FFFFFF" w:color="auto" w:val="clear"/>
            <w:tcMar>
              <w:top w:type="dxa" w:w="60"/>
              <w:left w:type="dxa" w:w="100"/>
              <w:bottom w:type="dxa" w:w="60"/>
              <w:right w:type="dxa" w:w="100"/>
            </w:tcMar>
          </w:tcPr>
          <w:p>
            <w:r>
              <w:rPr>
                <w:b w:val="false"/>
                <w:bCs w:val="false"/>
                <w:color w:val="212529"/>
                <w:sz w:val="19"/>
                <w:szCs w:val="19"/>
              </w:rPr>
              <w:t xml:space="preserve">Une commune absente de la liste de référence (onglet ProtocoleRadio_commune) est signalée.</w:t>
            </w:r>
          </w:p>
        </w:tc>
      </w:tr>
      <w:tr>
        <w:tc>
          <w:tcPr>
            <w:tcW w:type="dxa" w:w="3200"/>
            <w:shd w:fill="FFFFFF" w:color="auto" w:val="clear"/>
            <w:tcMar>
              <w:top w:type="dxa" w:w="60"/>
              <w:left w:type="dxa" w:w="100"/>
              <w:bottom w:type="dxa" w:w="60"/>
              <w:right w:type="dxa" w:w="100"/>
            </w:tcMar>
          </w:tcPr>
          <w:p>
            <w:r>
              <w:rPr>
                <w:b/>
                <w:bCs/>
                <w:color w:val="212529"/>
                <w:sz w:val="19"/>
                <w:szCs w:val="19"/>
              </w:rPr>
              <w:t xml:space="preserve">Format FP2E</w:t>
            </w:r>
          </w:p>
        </w:tc>
        <w:tc>
          <w:tcPr>
            <w:tcW w:type="dxa" w:w="6200"/>
            <w:shd w:fill="FFFFFF" w:color="auto" w:val="clear"/>
            <w:tcMar>
              <w:top w:type="dxa" w:w="60"/>
              <w:left w:type="dxa" w:w="100"/>
              <w:bottom w:type="dxa" w:w="60"/>
              <w:right w:type="dxa" w:w="100"/>
            </w:tcMar>
          </w:tcPr>
          <w:p>
            <w:r>
              <w:rPr>
                <w:b w:val="false"/>
                <w:bCs w:val="false"/>
                <w:color w:val="212529"/>
                <w:sz w:val="19"/>
                <w:szCs w:val="19"/>
              </w:rPr>
              <w:t xml:space="preserve">Un numéro qui ressemble à un FP2E (au moins 3 lettres, hors « DME ») doit respecter le format attendu : 1 lettre, 2 chiffres, 2 lettres, 6 chiffres. Sinon il est signalé « non conforme ».</w:t>
            </w:r>
          </w:p>
        </w:tc>
      </w:tr>
      <w:tr>
        <w:tc>
          <w:tcPr>
            <w:tcW w:type="dxa" w:w="3200"/>
            <w:shd w:fill="FFFFFF" w:color="auto" w:val="clear"/>
            <w:tcMar>
              <w:top w:type="dxa" w:w="60"/>
              <w:left w:type="dxa" w:w="100"/>
              <w:bottom w:type="dxa" w:w="60"/>
              <w:right w:type="dxa" w:w="100"/>
            </w:tcMar>
          </w:tcPr>
          <w:p>
            <w:r>
              <w:rPr>
                <w:b/>
                <w:bCs/>
                <w:color w:val="212529"/>
                <w:sz w:val="19"/>
                <w:szCs w:val="19"/>
              </w:rPr>
              <w:t xml:space="preserve">Année &amp; diamètre FP2E</w:t>
            </w:r>
          </w:p>
        </w:tc>
        <w:tc>
          <w:tcPr>
            <w:tcW w:type="dxa" w:w="6200"/>
            <w:shd w:fill="FFFFFF" w:color="auto" w:val="clear"/>
            <w:tcMar>
              <w:top w:type="dxa" w:w="60"/>
              <w:left w:type="dxa" w:w="100"/>
              <w:bottom w:type="dxa" w:w="60"/>
              <w:right w:type="dxa" w:w="100"/>
            </w:tcMar>
          </w:tcPr>
          <w:p>
            <w:r>
              <w:rPr>
                <w:b w:val="false"/>
                <w:bCs w:val="false"/>
                <w:color w:val="212529"/>
                <w:sz w:val="19"/>
                <w:szCs w:val="19"/>
              </w:rPr>
              <w:t xml:space="preserve">Pour les compteurs FP2E : l’année de fabrication et le diamètre doivent correspondre à ce qu’indique le numéro de compteur.</w:t>
            </w:r>
          </w:p>
        </w:tc>
      </w:tr>
      <w:tr>
        <w:tc>
          <w:tcPr>
            <w:tcW w:type="dxa" w:w="3200"/>
            <w:shd w:fill="FFFFFF" w:color="auto" w:val="clear"/>
            <w:tcMar>
              <w:top w:type="dxa" w:w="60"/>
              <w:left w:type="dxa" w:w="100"/>
              <w:bottom w:type="dxa" w:w="60"/>
              <w:right w:type="dxa" w:w="100"/>
            </w:tcMar>
          </w:tcPr>
          <w:p>
            <w:r>
              <w:rPr>
                <w:b/>
                <w:bCs/>
                <w:color w:val="212529"/>
                <w:sz w:val="19"/>
                <w:szCs w:val="19"/>
              </w:rPr>
              <w:t xml:space="preserve">Type de compteur</w:t>
            </w:r>
          </w:p>
        </w:tc>
        <w:tc>
          <w:tcPr>
            <w:tcW w:type="dxa" w:w="6200"/>
            <w:shd w:fill="FFFFFF" w:color="auto" w:val="clear"/>
            <w:tcMar>
              <w:top w:type="dxa" w:w="60"/>
              <w:left w:type="dxa" w:w="100"/>
              <w:bottom w:type="dxa" w:w="60"/>
              <w:right w:type="dxa" w:w="100"/>
            </w:tcMar>
          </w:tcPr>
          <w:p>
            <w:r>
              <w:rPr>
                <w:b w:val="false"/>
                <w:bCs w:val="false"/>
                <w:color w:val="212529"/>
                <w:sz w:val="19"/>
                <w:szCs w:val="19"/>
              </w:rPr>
              <w:t xml:space="preserve">Code de type autorisé, et cohérent avec le numéro de compteur pour les FP2E.</w:t>
            </w:r>
          </w:p>
        </w:tc>
      </w:tr>
      <w:tr>
        <w:tc>
          <w:tcPr>
            <w:tcW w:type="dxa" w:w="3200"/>
            <w:shd w:fill="FFFFFF" w:color="auto" w:val="clear"/>
            <w:tcMar>
              <w:top w:type="dxa" w:w="60"/>
              <w:left w:type="dxa" w:w="100"/>
              <w:bottom w:type="dxa" w:w="60"/>
              <w:right w:type="dxa" w:w="100"/>
            </w:tcMar>
          </w:tcPr>
          <w:p>
            <w:r>
              <w:rPr>
                <w:b/>
                <w:bCs/>
                <w:color w:val="212529"/>
                <w:sz w:val="19"/>
                <w:szCs w:val="19"/>
              </w:rPr>
              <w:t xml:space="preserve">KAMSTRUP</w:t>
            </w:r>
          </w:p>
        </w:tc>
        <w:tc>
          <w:tcPr>
            <w:tcW w:type="dxa" w:w="6200"/>
            <w:shd w:fill="FFFFFF" w:color="auto" w:val="clear"/>
            <w:tcMar>
              <w:top w:type="dxa" w:w="60"/>
              <w:left w:type="dxa" w:w="100"/>
              <w:bottom w:type="dxa" w:w="60"/>
              <w:right w:type="dxa" w:w="100"/>
            </w:tcMar>
          </w:tcPr>
          <w:p>
            <w:r>
              <w:rPr>
                <w:b w:val="false"/>
                <w:bCs w:val="false"/>
                <w:color w:val="212529"/>
                <w:sz w:val="19"/>
                <w:szCs w:val="19"/>
              </w:rPr>
              <w:t xml:space="preserve">Numéro = numéro de tête, numérique, diamètre dans la plage autorisée.</w:t>
            </w:r>
          </w:p>
        </w:tc>
      </w:tr>
      <w:tr>
        <w:tc>
          <w:tcPr>
            <w:tcW w:type="dxa" w:w="3200"/>
            <w:shd w:fill="FFFFFF" w:color="auto" w:val="clear"/>
            <w:tcMar>
              <w:top w:type="dxa" w:w="60"/>
              <w:left w:type="dxa" w:w="100"/>
              <w:bottom w:type="dxa" w:w="60"/>
              <w:right w:type="dxa" w:w="100"/>
            </w:tcMar>
          </w:tcPr>
          <w:p>
            <w:r>
              <w:rPr>
                <w:b/>
                <w:bCs/>
                <w:color w:val="212529"/>
                <w:sz w:val="19"/>
                <w:szCs w:val="19"/>
              </w:rPr>
              <w:t xml:space="preserve">SAPPEL / ITRON</w:t>
            </w:r>
          </w:p>
        </w:tc>
        <w:tc>
          <w:tcPr>
            <w:tcW w:type="dxa" w:w="6200"/>
            <w:shd w:fill="FFFFFF" w:color="auto" w:val="clear"/>
            <w:tcMar>
              <w:top w:type="dxa" w:w="60"/>
              <w:left w:type="dxa" w:w="100"/>
              <w:bottom w:type="dxa" w:w="60"/>
              <w:right w:type="dxa" w:w="100"/>
            </w:tcMar>
          </w:tcPr>
          <w:p>
            <w:r>
              <w:rPr>
                <w:b w:val="false"/>
                <w:bCs w:val="false"/>
                <w:color w:val="212529"/>
                <w:sz w:val="19"/>
                <w:szCs w:val="19"/>
              </w:rPr>
              <w:t xml:space="preserve">Préfixes attendus (C / H pour SAPPEL, I / D pour ITRON) et longueurs de tête.</w:t>
            </w:r>
          </w:p>
        </w:tc>
      </w:tr>
    </w:tbl>
    <w:p>
      <w:pPr>
        <w:spacing w:after="60"/>
      </w:pPr>
    </w:p>
    <w:p>
      <w:pPr>
        <w:pBdr>
          <w:left w:val="single" w:color="198754" w:sz="24" w:space="10"/>
        </w:pBdr>
        <w:shd w:fill="E9F5EE" w:color="auto" w:val="clear"/>
        <w:spacing w:after="140" w:before="80"/>
      </w:pPr>
      <w:r>
        <w:rPr>
          <w:b/>
          <w:bCs/>
          <w:color w:val="146C43"/>
        </w:rPr>
        <w:t xml:space="preserve">ℹ  </w:t>
      </w:r>
      <w:r>
        <w:t xml:space="preserve">Certaines anomalies s’accompagnent d’une « correction proposée » (bonne année, bon diamètre, bonne marque, bon protocole…), visible dans une colonne dédiée du rapport.</w:t>
      </w:r>
    </w:p>
    <w:p>
      <w:pPr>
        <w:pStyle w:val="Heading1"/>
        <w:spacing w:after="140" w:before="320"/>
      </w:pPr>
      <w:r>
        <w:t xml:space="preserve">7. Ajuster les règles (avancé)</w:t>
      </w:r>
    </w:p>
    <w:p>
      <w:pPr>
        <w:spacing w:after="120" w:line="276"/>
      </w:pPr>
      <w:r>
        <w:t xml:space="preserve">Une partie des règles peut être ajustée sans informaticien, via un fichier Excel de configuration.</w:t>
      </w:r>
    </w:p>
    <w:p>
      <w:pPr>
        <w:pStyle w:val="ListParagraph"/>
        <w:numPr>
          <w:ilvl w:val="0"/>
          <w:numId w:val="3"/>
        </w:numPr>
        <w:spacing w:after="80"/>
      </w:pPr>
      <w:r>
        <w:t xml:space="preserve">Dans l’application, cliquez sur « ⚙ Règles » (en haut à droite). Le fichier regles_anomalies.xlsx s’ouvre (il est créé au besoin).</w:t>
      </w:r>
    </w:p>
    <w:p>
      <w:pPr>
        <w:pStyle w:val="ListParagraph"/>
        <w:numPr>
          <w:ilvl w:val="0"/>
          <w:numId w:val="3"/>
        </w:numPr>
        <w:spacing w:after="80"/>
      </w:pPr>
      <w:r>
        <w:t xml:space="preserve">Modifiez les onglets voulus (marques autorisées, types, plages de diamètre, protocoles par commune, etc.).</w:t>
      </w:r>
    </w:p>
    <w:p>
      <w:pPr>
        <w:pStyle w:val="ListParagraph"/>
        <w:numPr>
          <w:ilvl w:val="0"/>
          <w:numId w:val="3"/>
        </w:numPr>
        <w:spacing w:after="80"/>
      </w:pPr>
      <w:r>
        <w:t xml:space="preserve">Enregistrez, fermez le fichier, puis relancez une analyse.</w:t>
      </w:r>
    </w:p>
    <w:p>
      <w:pPr>
        <w:pBdr>
          <w:left w:val="single" w:color="198754" w:sz="24" w:space="10"/>
        </w:pBdr>
        <w:shd w:fill="E9F5EE" w:color="auto" w:val="clear"/>
        <w:spacing w:after="140" w:before="80"/>
      </w:pPr>
      <w:r>
        <w:rPr>
          <w:b/>
          <w:bCs/>
          <w:color w:val="146C43"/>
        </w:rPr>
        <w:t xml:space="preserve">ℹ  </w:t>
      </w:r>
      <w:r>
        <w:t xml:space="preserve">En cas d’erreur de saisie dans ce fichier, l’application revient automatiquement aux valeurs par défaut : elle ne plante pas. Pour les détails, voir la documentation technique.</w:t>
      </w:r>
    </w:p>
    <w:p>
      <w:pPr>
        <w:pStyle w:val="Heading1"/>
        <w:spacing w:after="140" w:before="320"/>
      </w:pPr>
      <w:r>
        <w:t xml:space="preserve">8. Questions fréquentes</w:t>
      </w:r>
    </w:p>
    <w:tbl>
      <w:tblPr>
        <w:tblW w:type="dxa" w:w="9400"/>
        <w:tblBorders>
          <w:top w:val="single" w:color="CED4DA" w:sz="4"/>
          <w:left w:val="single" w:color="CED4DA" w:sz="4"/>
          <w:bottom w:val="single" w:color="CED4DA" w:sz="4"/>
          <w:right w:val="single" w:color="CED4DA" w:sz="4"/>
          <w:insideH w:val="single" w:color="DEE2E6" w:sz="4"/>
          <w:insideV w:val="single" w:color="DEE2E6" w:sz="4"/>
        </w:tblBorders>
      </w:tblPr>
      <w:tblGrid>
        <w:gridCol w:w="3400"/>
        <w:gridCol w:w="6000"/>
      </w:tblGrid>
      <w:tr>
        <w:trPr>
          <w:tblHeader/>
        </w:trPr>
        <w:tc>
          <w:tcPr>
            <w:tcW w:type="dxa" w:w="3400"/>
            <w:shd w:fill="198754" w:color="auto" w:val="clear"/>
            <w:tcMar>
              <w:top w:type="dxa" w:w="60"/>
              <w:left w:type="dxa" w:w="100"/>
              <w:bottom w:type="dxa" w:w="60"/>
              <w:right w:type="dxa" w:w="100"/>
            </w:tcMar>
          </w:tcPr>
          <w:p>
            <w:r>
              <w:rPr>
                <w:b/>
                <w:bCs/>
                <w:color w:val="FFFFFF"/>
                <w:sz w:val="19"/>
                <w:szCs w:val="19"/>
              </w:rPr>
              <w:t xml:space="preserve">Question</w:t>
            </w:r>
          </w:p>
        </w:tc>
        <w:tc>
          <w:tcPr>
            <w:tcW w:type="dxa" w:w="6000"/>
            <w:shd w:fill="198754" w:color="auto" w:val="clear"/>
            <w:tcMar>
              <w:top w:type="dxa" w:w="60"/>
              <w:left w:type="dxa" w:w="100"/>
              <w:bottom w:type="dxa" w:w="60"/>
              <w:right w:type="dxa" w:w="100"/>
            </w:tcMar>
          </w:tcPr>
          <w:p>
            <w:r>
              <w:rPr>
                <w:b/>
                <w:bCs/>
                <w:color w:val="FFFFFF"/>
                <w:sz w:val="19"/>
                <w:szCs w:val="19"/>
              </w:rPr>
              <w:t xml:space="preserve">Réponse</w:t>
            </w:r>
          </w:p>
        </w:tc>
      </w:tr>
      <w:tr>
        <w:tc>
          <w:tcPr>
            <w:tcW w:type="dxa" w:w="3400"/>
            <w:shd w:fill="FFFFFF" w:color="auto" w:val="clear"/>
            <w:tcMar>
              <w:top w:type="dxa" w:w="60"/>
              <w:left w:type="dxa" w:w="100"/>
              <w:bottom w:type="dxa" w:w="60"/>
              <w:right w:type="dxa" w:w="100"/>
            </w:tcMar>
          </w:tcPr>
          <w:p>
            <w:r>
              <w:rPr>
                <w:b w:val="false"/>
                <w:bCs w:val="false"/>
                <w:color w:val="212529"/>
                <w:sz w:val="19"/>
                <w:szCs w:val="19"/>
              </w:rPr>
              <w:t xml:space="preserve">« Veuillez sélectionner au moins un fichier »</w:t>
            </w:r>
          </w:p>
        </w:tc>
        <w:tc>
          <w:tcPr>
            <w:tcW w:type="dxa" w:w="6000"/>
            <w:shd w:fill="FFFFFF" w:color="auto" w:val="clear"/>
            <w:tcMar>
              <w:top w:type="dxa" w:w="60"/>
              <w:left w:type="dxa" w:w="100"/>
              <w:bottom w:type="dxa" w:w="60"/>
              <w:right w:type="dxa" w:w="100"/>
            </w:tcMar>
          </w:tcPr>
          <w:p>
            <w:r>
              <w:rPr>
                <w:b w:val="false"/>
                <w:bCs w:val="false"/>
                <w:color w:val="212529"/>
                <w:sz w:val="19"/>
                <w:szCs w:val="19"/>
              </w:rPr>
              <w:t xml:space="preserve">Vous devez fournir au moins un des trois fichiers (radio, télé ou manuelle).</w:t>
            </w:r>
          </w:p>
        </w:tc>
      </w:tr>
      <w:tr>
        <w:tc>
          <w:tcPr>
            <w:tcW w:type="dxa" w:w="3400"/>
            <w:shd w:fill="FFFFFF" w:color="auto" w:val="clear"/>
            <w:tcMar>
              <w:top w:type="dxa" w:w="60"/>
              <w:left w:type="dxa" w:w="100"/>
              <w:bottom w:type="dxa" w:w="60"/>
              <w:right w:type="dxa" w:w="100"/>
            </w:tcMar>
          </w:tcPr>
          <w:p>
            <w:r>
              <w:rPr>
                <w:b w:val="false"/>
                <w:bCs w:val="false"/>
                <w:color w:val="212529"/>
                <w:sz w:val="19"/>
                <w:szCs w:val="19"/>
              </w:rPr>
              <w:t xml:space="preserve">« Veuillez sélectionner un dossier de sortie »</w:t>
            </w:r>
          </w:p>
        </w:tc>
        <w:tc>
          <w:tcPr>
            <w:tcW w:type="dxa" w:w="6000"/>
            <w:shd w:fill="FFFFFF" w:color="auto" w:val="clear"/>
            <w:tcMar>
              <w:top w:type="dxa" w:w="60"/>
              <w:left w:type="dxa" w:w="100"/>
              <w:bottom w:type="dxa" w:w="60"/>
              <w:right w:type="dxa" w:w="100"/>
            </w:tcMar>
          </w:tcPr>
          <w:p>
            <w:r>
              <w:rPr>
                <w:b w:val="false"/>
                <w:bCs w:val="false"/>
                <w:color w:val="212529"/>
                <w:sz w:val="19"/>
                <w:szCs w:val="19"/>
              </w:rPr>
              <w:t xml:space="preserve">Cliquez sur « Parcourir » à l’étape 2 et choisissez un dossier.</w:t>
            </w:r>
          </w:p>
        </w:tc>
      </w:tr>
      <w:tr>
        <w:tc>
          <w:tcPr>
            <w:tcW w:type="dxa" w:w="3400"/>
            <w:shd w:fill="FFFFFF" w:color="auto" w:val="clear"/>
            <w:tcMar>
              <w:top w:type="dxa" w:w="60"/>
              <w:left w:type="dxa" w:w="100"/>
              <w:bottom w:type="dxa" w:w="60"/>
              <w:right w:type="dxa" w:w="100"/>
            </w:tcMar>
          </w:tcPr>
          <w:p>
            <w:r>
              <w:rPr>
                <w:b w:val="false"/>
                <w:bCs w:val="false"/>
                <w:color w:val="212529"/>
                <w:sz w:val="19"/>
                <w:szCs w:val="19"/>
              </w:rPr>
              <w:t xml:space="preserve">L’analyse est lente</w:t>
            </w:r>
          </w:p>
        </w:tc>
        <w:tc>
          <w:tcPr>
            <w:tcW w:type="dxa" w:w="6000"/>
            <w:shd w:fill="FFFFFF" w:color="auto" w:val="clear"/>
            <w:tcMar>
              <w:top w:type="dxa" w:w="60"/>
              <w:left w:type="dxa" w:w="100"/>
              <w:bottom w:type="dxa" w:w="60"/>
              <w:right w:type="dxa" w:w="100"/>
            </w:tcMar>
          </w:tcPr>
          <w:p>
            <w:r>
              <w:rPr>
                <w:b w:val="false"/>
                <w:bCs w:val="false"/>
                <w:color w:val="212529"/>
                <w:sz w:val="19"/>
                <w:szCs w:val="19"/>
              </w:rPr>
              <w:t xml:space="preserve">Normal pour de gros fichiers (plusieurs milliers de lignes). Ne fermez pas la fenêtre.</w:t>
            </w:r>
          </w:p>
        </w:tc>
      </w:tr>
      <w:tr>
        <w:tc>
          <w:tcPr>
            <w:tcW w:type="dxa" w:w="3400"/>
            <w:shd w:fill="FFFFFF" w:color="auto" w:val="clear"/>
            <w:tcMar>
              <w:top w:type="dxa" w:w="60"/>
              <w:left w:type="dxa" w:w="100"/>
              <w:bottom w:type="dxa" w:w="60"/>
              <w:right w:type="dxa" w:w="100"/>
            </w:tcMar>
          </w:tcPr>
          <w:p>
            <w:r>
              <w:rPr>
                <w:b w:val="false"/>
                <w:bCs w:val="false"/>
                <w:color w:val="212529"/>
                <w:sz w:val="19"/>
                <w:szCs w:val="19"/>
              </w:rPr>
              <w:t xml:space="preserve">Les rapports ne s’ouvrent pas seuls</w:t>
            </w:r>
          </w:p>
        </w:tc>
        <w:tc>
          <w:tcPr>
            <w:tcW w:type="dxa" w:w="6000"/>
            <w:shd w:fill="FFFFFF" w:color="auto" w:val="clear"/>
            <w:tcMar>
              <w:top w:type="dxa" w:w="60"/>
              <w:left w:type="dxa" w:w="100"/>
              <w:bottom w:type="dxa" w:w="60"/>
              <w:right w:type="dxa" w:w="100"/>
            </w:tcMar>
          </w:tcPr>
          <w:p>
            <w:r>
              <w:rPr>
                <w:b w:val="false"/>
                <w:bCs w:val="false"/>
                <w:color w:val="212529"/>
                <w:sz w:val="19"/>
                <w:szCs w:val="19"/>
              </w:rPr>
              <w:t xml:space="preserve">Ouvrez manuellement le dossier de sortie que vous avez choisi ; les fichiers Excel y sont.</w:t>
            </w:r>
          </w:p>
        </w:tc>
      </w:tr>
      <w:tr>
        <w:tc>
          <w:tcPr>
            <w:tcW w:type="dxa" w:w="3400"/>
            <w:shd w:fill="FFFFFF" w:color="auto" w:val="clear"/>
            <w:tcMar>
              <w:top w:type="dxa" w:w="60"/>
              <w:left w:type="dxa" w:w="100"/>
              <w:bottom w:type="dxa" w:w="60"/>
              <w:right w:type="dxa" w:w="100"/>
            </w:tcMar>
          </w:tcPr>
          <w:p>
            <w:r>
              <w:rPr>
                <w:b w:val="false"/>
                <w:bCs w:val="false"/>
                <w:color w:val="212529"/>
                <w:sz w:val="19"/>
                <w:szCs w:val="19"/>
              </w:rPr>
              <w:t xml:space="preserve">Un fichier est « non valide »</w:t>
            </w:r>
          </w:p>
        </w:tc>
        <w:tc>
          <w:tcPr>
            <w:tcW w:type="dxa" w:w="6000"/>
            <w:shd w:fill="FFFFFF" w:color="auto" w:val="clear"/>
            <w:tcMar>
              <w:top w:type="dxa" w:w="60"/>
              <w:left w:type="dxa" w:w="100"/>
              <w:bottom w:type="dxa" w:w="60"/>
              <w:right w:type="dxa" w:w="100"/>
            </w:tcMar>
          </w:tcPr>
          <w:p>
            <w:r>
              <w:rPr>
                <w:b w:val="false"/>
                <w:bCs w:val="false"/>
                <w:color w:val="212529"/>
                <w:sz w:val="19"/>
                <w:szCs w:val="19"/>
              </w:rPr>
              <w:t xml:space="preserve">Le fichier n’est pas un Excel lisible (.xlsx / .xls) ou est ouvert ailleurs. Fermez-le et réessayez.</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198754"/>
      </w:r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20" w:hanging="260"/>
      </w:pPr>
      <w:rPr>
        <w:b/>
        <w:bCs/>
        <w:color w:val="146C4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5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98754" w:sz="8" w:space="6"/>
      </w:pBdr>
      <w:spacing w:after="140" w:before="320"/>
    </w:pPr>
    <w:rPr>
      <w:b/>
      <w:bCs/>
      <w:color w:val="198754"/>
      <w:sz w:val="30"/>
      <w:szCs w:val="30"/>
    </w:rPr>
  </w:style>
  <w:style w:type="paragraph" w:styleId="Heading2">
    <w:name w:val="Heading 2"/>
    <w:basedOn w:val="Normal"/>
    <w:next w:val="Normal"/>
    <w:qFormat/>
    <w:pPr>
      <w:spacing w:after="100" w:before="240"/>
    </w:pPr>
    <w:rPr>
      <w:b/>
      <w:bCs/>
      <w:color w:val="146C43"/>
      <w:sz w:val="25"/>
      <w:szCs w:val="25"/>
    </w:rPr>
  </w:style>
  <w:style w:type="paragraph" w:styleId="Heading3">
    <w:name w:val="Heading 3"/>
    <w:basedOn w:val="Normal"/>
    <w:next w:val="Normal"/>
    <w:qFormat/>
    <w:pPr>
      <w:spacing w:after="80" w:before="180"/>
    </w:pPr>
    <w:rPr>
      <w:b/>
      <w:bCs/>
      <w:color w:val="21252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Korrect’eau</dc:title>
  <dc:creator>Korrect’eau</dc:creator>
  <cp:lastModifiedBy>Un-named</cp:lastModifiedBy>
  <cp:revision>1</cp:revision>
  <dcterms:created xsi:type="dcterms:W3CDTF">2026-09-07T08:14:37.727Z</dcterms:created>
  <dcterms:modified xsi:type="dcterms:W3CDTF">2026-09-07T08:14:37.727Z</dcterms:modified>
</cp:coreProperties>
</file>

<file path=docProps/custom.xml><?xml version="1.0" encoding="utf-8"?>
<Properties xmlns="http://schemas.openxmlformats.org/officeDocument/2006/custom-properties" xmlns:vt="http://schemas.openxmlformats.org/officeDocument/2006/docPropsVTypes"/>
</file>