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2F5496"/>
          <w:sz w:val="44"/>
          <w:szCs w:val="44"/>
        </w:rPr>
        <w:t xml:space="preserve">Korrect'eau</w:t>
      </w:r>
    </w:p>
    <w:p>
      <w:pPr>
        <w:spacing w:after="80"/>
      </w:pPr>
      <w:r>
        <w:rPr>
          <w:i/>
          <w:iCs/>
          <w:sz w:val="26"/>
          <w:szCs w:val="26"/>
        </w:rPr>
        <w:t xml:space="preserve">Contrôle des anomalies de compteurs d'eau</w:t>
      </w:r>
    </w:p>
    <w:p>
      <w:pPr>
        <w:spacing w:after="80"/>
      </w:pPr>
      <w:r>
        <w:rPr>
          <w:color w:val="808080"/>
        </w:rPr>
        <w:t xml:space="preserve">Règles de contrôle · Guide d'utilisation · Compilation</w:t>
      </w:r>
    </w:p>
    <w:p>
      <w:pPr>
        <w:spacing w:after="80"/>
      </w:pPr>
      <w:r>
        <w:t xml:space="preserve">Korrect'eau analyse trois fichiers Excel de compteurs (Radiorelève, Télérelève et Manuelle) et signale les lignes non conformes. Chaque contrôle ci-dessous génère une anomalie lorsque la condition n'est pas respectée. Les rapports Excel produits surlignent les cellules concernées et proposent, quand c'est possible, une valeur corrigée.</w:t>
      </w:r>
    </w:p>
    <w:p>
      <w:pPr>
        <w:pStyle w:val="Heading1"/>
        <w:spacing w:after="120" w:before="240"/>
      </w:pPr>
      <w:r>
        <w:rPr>
          <w:b/>
          <w:bCs/>
          <w:color w:val="2F5496"/>
        </w:rPr>
        <w:t xml:space="preserve">Partie A — Règles de contrôle</w:t>
      </w:r>
    </w:p>
    <w:p>
      <w:pPr>
        <w:pStyle w:val="Heading2"/>
        <w:spacing w:after="80" w:before="180"/>
      </w:pPr>
      <w:r>
        <w:rPr>
          <w:b/>
          <w:bCs/>
        </w:rPr>
        <w:t xml:space="preserve">1. Règles communes (tous les modes)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Champs obligatoires</w:t>
      </w:r>
      <w:r>
        <w:t xml:space="preserve"> : Marque, Numéro de compteur, Diamètre, Année de fabrication et Type Compteur doivent être renseignés.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Coordonnées GPS</w:t>
      </w:r>
      <w:r>
        <w:t xml:space="preserve"> : latitude/longitude numériques, non nulles et dans les bornes (lat -90..90, lon -180..180).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Marque autorisée</w:t>
      </w:r>
      <w:r>
        <w:t xml:space="preserve"> : la marque doit figurer dans la liste des marques autorisées du mode.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Type Compteur autorisé</w:t>
      </w:r>
      <w:r>
        <w:t xml:space="preserve"> : le code Type Compteur doit figurer dans la liste des codes autorisés.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Cohérence Type Compteur</w:t>
      </w:r>
      <w:r>
        <w:t xml:space="preserve"> : pour un compteur au format FP2E, le Type Compteur doit valoir le 1er + 4e caractère du numéro (ex. C22FL… → CF). Exceptions : les codes « module » (SEN3, SEN4, INT3, KM21, MAG1…) ne suivent pas cette règle.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Cohérence Marque / préfixe</w:t>
      </w:r>
      <w:r>
        <w:t xml:space="preserve"> : compteur commençant par C → SAPPEL (C), H → SAPPEL (H), I ou D → ITRON.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Cohérence FP2E</w:t>
      </w:r>
      <w:r>
        <w:t xml:space="preserve"> : pour un numéro FP2E, l'année (millésime) et le diamètre doivent correspondre au numéro (voir Partie A §5).</w:t>
      </w:r>
    </w:p>
    <w:p>
      <w:pPr>
        <w:pStyle w:val="Heading2"/>
        <w:spacing w:after="80" w:before="180"/>
      </w:pPr>
      <w:r>
        <w:rPr>
          <w:b/>
          <w:bCs/>
        </w:rPr>
        <w:t xml:space="preserve">2. Radiorelève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Marques autorisées</w:t>
      </w:r>
      <w:r>
        <w:t xml:space="preserve"> : SAPPEL (H), SAPPEL (C), KAMSTRUP, U Kamstrup.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Protocole radio</w:t>
      </w:r>
      <w:r>
        <w:t xml:space="preserve"> : KAMSTRUP → WMS ; SAPPEL fabriqué en 2022 ou avant → WMS, après 2022 → OMS. (configurable : onglet Protocole_par_marque).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KAMSTRUP (classique)</w:t>
      </w:r>
      <w:r>
        <w:t xml:space="preserve"> : numéro de compteur = 8 caractères ; compteur = tête ; diamètre entre 15 et 80.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U Kamstrup</w:t>
      </w:r>
      <w:r>
        <w:t xml:space="preserve"> : numéro de compteur = 11 caractères (12 pour Traités 965/455/899), au format FP2E ; tête = 8 chiffres.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SAPPEL</w:t>
      </w:r>
      <w:r>
        <w:t xml:space="preserve"> : compteur commençant par C ou H ; tête « DME » = 15 caractères ; Type Compteur SEN4 → tête = 16 caractères.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ITRON</w:t>
      </w:r>
      <w:r>
        <w:t xml:space="preserve"> : compteur commençant par I ou D.</w:t>
      </w:r>
    </w:p>
    <w:p>
      <w:pPr>
        <w:pStyle w:val="Heading2"/>
        <w:spacing w:after="80" w:before="180"/>
      </w:pPr>
      <w:r>
        <w:rPr>
          <w:b/>
          <w:bCs/>
        </w:rPr>
        <w:t xml:space="preserve">3. Télérelève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Marques autorisées</w:t>
      </w:r>
      <w:r>
        <w:t xml:space="preserve"> : INTEGRA, ITRON, KAIFA, KAMSTRUP, SAPPEL (C), SAPPEL (H), SENSUS, SOCAM, U Kamstrup.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Protocole radio (par commune)</w:t>
      </w:r>
      <w:r>
        <w:t xml:space="preserve"> : le protocole de chaque ligne doit correspondre à celui de sa commune, défini dans l'onglet ProtocoleRadio_commune. Si le protocole diffère, l'anomalie « Protocole incorrect (devrait respecter la commune) » est signalée avec la correction. Une commune absente du tableau est signalée « Commune inconnue (protocole non vérifié) ». La comparaison ignore la casse et les accents.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KAMSTRUP (classique)</w:t>
      </w:r>
      <w:r>
        <w:t xml:space="preserve"> : numéro de compteur = 8 caractères ; compteur = tête ; diamètre entre 15 et 80.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U Kamstrup</w:t>
      </w:r>
      <w:r>
        <w:t xml:space="preserve"> : numéro de compteur = 11 caractères (12 pour Traités 965/455/899), au format FP2E ; tête = 8 chiffres.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SAPPEL</w:t>
      </w:r>
      <w:r>
        <w:t xml:space="preserve"> : tête = 16 caractères ; Type Compteur SEN3 → tête = 15 ; Type Compteur INT3 → tête = 15.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ITRON</w:t>
      </w:r>
      <w:r>
        <w:t xml:space="preserve"> : tête = 8 caractères.</w:t>
      </w:r>
    </w:p>
    <w:p>
      <w:pPr>
        <w:pStyle w:val="Heading2"/>
        <w:spacing w:after="80" w:before="180"/>
      </w:pPr>
      <w:r>
        <w:rPr>
          <w:b/>
          <w:bCs/>
        </w:rPr>
        <w:t xml:space="preserve">4. Manuelle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Coordonnées GPS</w:t>
      </w:r>
      <w:r>
        <w:t xml:space="preserve"> : latitude/longitude numériques et valides.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Type Compteur</w:t>
      </w:r>
      <w:r>
        <w:t xml:space="preserve"> : Type Compteur renseigné et dans la liste autorisée.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Format compteur</w:t>
      </w:r>
      <w:r>
        <w:t xml:space="preserve"> : pour SAPPEL et ITRON, le numéro de compteur doit être au format FP2E.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Cohérences</w:t>
      </w:r>
      <w:r>
        <w:t xml:space="preserve"> : préfixe C/H → SAPPEL, I/D → ITRON ; cohérence année/diamètre FP2E.</w:t>
      </w:r>
    </w:p>
    <w:p>
      <w:pPr>
        <w:pStyle w:val="Heading2"/>
        <w:spacing w:after="80" w:before="180"/>
      </w:pPr>
      <w:r>
        <w:rPr>
          <w:b/>
          <w:bCs/>
        </w:rPr>
        <w:t xml:space="preserve">5. Correspondance lettre FP2E → diamètre</w:t>
      </w:r>
    </w:p>
    <w:p>
      <w:pPr>
        <w:spacing w:after="80"/>
      </w:pPr>
      <w:r>
        <w:t xml:space="preserve">La 5e position du numéro FP2E (une lettre) indique le diamètre attendu. Quand une lettre accepte plusieurs diamètres, le premier listé sert de correction proposée (pour G, la correction proposée est 65).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00"/>
      </w:tblGrid>
      <w:tr>
        <w:trPr>
          <w:tblHeader/>
        </w:trPr>
        <w:tc>
          <w:tcPr>
            <w:tcW w:type="dxa" w:w="2500"/>
            <w:shd w:fill="D9E2F3" w:val="clear"/>
          </w:tcPr>
          <w:p>
            <w:r>
              <w:rPr>
                <w:b/>
                <w:bCs/>
              </w:rPr>
              <w:t xml:space="preserve">Lettre</w:t>
            </w:r>
          </w:p>
        </w:tc>
        <w:tc>
          <w:tcPr>
            <w:tcW w:type="dxa" w:w="6500"/>
            <w:shd w:fill="D9E2F3" w:val="clear"/>
          </w:tcPr>
          <w:p>
            <w:r>
              <w:rPr>
                <w:b/>
                <w:bCs/>
              </w:rPr>
              <w:t xml:space="preserve">Diamètre (mm)</w:t>
            </w:r>
          </w:p>
        </w:tc>
      </w:tr>
      <w:tr>
        <w:tc>
          <w:tcPr>
            <w:tcW w:type="dxa" w:w="2500"/>
          </w:tcPr>
          <w:p>
            <w:r>
              <w:rPr>
                <w:b w:val="false"/>
                <w:bCs w:val="false"/>
              </w:rPr>
              <w:t xml:space="preserve">A / U</w:t>
            </w:r>
          </w:p>
        </w:tc>
        <w:tc>
          <w:tcPr>
            <w:tcW w:type="dxa" w:w="6500"/>
          </w:tcPr>
          <w:p>
            <w:r>
              <w:rPr>
                <w:b w:val="false"/>
                <w:bCs w:val="false"/>
              </w:rPr>
              <w:t xml:space="preserve">15</w:t>
            </w:r>
          </w:p>
        </w:tc>
      </w:tr>
      <w:tr>
        <w:tc>
          <w:tcPr>
            <w:tcW w:type="dxa" w:w="2500"/>
          </w:tcPr>
          <w:p>
            <w:r>
              <w:rPr>
                <w:b w:val="false"/>
                <w:bCs w:val="false"/>
              </w:rPr>
              <w:t xml:space="preserve">B</w:t>
            </w:r>
          </w:p>
        </w:tc>
        <w:tc>
          <w:tcPr>
            <w:tcW w:type="dxa" w:w="6500"/>
          </w:tcPr>
          <w:p>
            <w:r>
              <w:rPr>
                <w:b w:val="false"/>
                <w:bCs w:val="false"/>
              </w:rPr>
              <w:t xml:space="preserve">20</w:t>
            </w:r>
          </w:p>
        </w:tc>
      </w:tr>
      <w:tr>
        <w:tc>
          <w:tcPr>
            <w:tcW w:type="dxa" w:w="2500"/>
          </w:tcPr>
          <w:p>
            <w:r>
              <w:rPr>
                <w:b w:val="false"/>
                <w:bCs w:val="false"/>
              </w:rPr>
              <w:t xml:space="preserve">C</w:t>
            </w:r>
          </w:p>
        </w:tc>
        <w:tc>
          <w:tcPr>
            <w:tcW w:type="dxa" w:w="6500"/>
          </w:tcPr>
          <w:p>
            <w:r>
              <w:rPr>
                <w:b w:val="false"/>
                <w:bCs w:val="false"/>
              </w:rPr>
              <w:t xml:space="preserve">25</w:t>
            </w:r>
          </w:p>
        </w:tc>
      </w:tr>
      <w:tr>
        <w:tc>
          <w:tcPr>
            <w:tcW w:type="dxa" w:w="2500"/>
          </w:tcPr>
          <w:p>
            <w:r>
              <w:rPr>
                <w:b w:val="false"/>
                <w:bCs w:val="false"/>
              </w:rPr>
              <w:t xml:space="preserve">D</w:t>
            </w:r>
          </w:p>
        </w:tc>
        <w:tc>
          <w:tcPr>
            <w:tcW w:type="dxa" w:w="6500"/>
          </w:tcPr>
          <w:p>
            <w:r>
              <w:rPr>
                <w:b w:val="false"/>
                <w:bCs w:val="false"/>
              </w:rPr>
              <w:t xml:space="preserve">30</w:t>
            </w:r>
          </w:p>
        </w:tc>
      </w:tr>
      <w:tr>
        <w:tc>
          <w:tcPr>
            <w:tcW w:type="dxa" w:w="2500"/>
          </w:tcPr>
          <w:p>
            <w:r>
              <w:rPr>
                <w:b w:val="false"/>
                <w:bCs w:val="false"/>
              </w:rPr>
              <w:t xml:space="preserve">E</w:t>
            </w:r>
          </w:p>
        </w:tc>
        <w:tc>
          <w:tcPr>
            <w:tcW w:type="dxa" w:w="6500"/>
          </w:tcPr>
          <w:p>
            <w:r>
              <w:rPr>
                <w:b w:val="false"/>
                <w:bCs w:val="false"/>
              </w:rPr>
              <w:t xml:space="preserve">40</w:t>
            </w:r>
          </w:p>
        </w:tc>
      </w:tr>
      <w:tr>
        <w:tc>
          <w:tcPr>
            <w:tcW w:type="dxa" w:w="2500"/>
          </w:tcPr>
          <w:p>
            <w:r>
              <w:rPr>
                <w:b w:val="false"/>
                <w:bCs w:val="false"/>
              </w:rPr>
              <w:t xml:space="preserve">F</w:t>
            </w:r>
          </w:p>
        </w:tc>
        <w:tc>
          <w:tcPr>
            <w:tcW w:type="dxa" w:w="6500"/>
          </w:tcPr>
          <w:p>
            <w:r>
              <w:rPr>
                <w:b w:val="false"/>
                <w:bCs w:val="false"/>
              </w:rPr>
              <w:t xml:space="preserve">50</w:t>
            </w:r>
          </w:p>
        </w:tc>
      </w:tr>
      <w:tr>
        <w:tc>
          <w:tcPr>
            <w:tcW w:type="dxa" w:w="2500"/>
          </w:tcPr>
          <w:p>
            <w:r>
              <w:rPr>
                <w:b w:val="false"/>
                <w:bCs w:val="false"/>
              </w:rPr>
              <w:t xml:space="preserve">G</w:t>
            </w:r>
          </w:p>
        </w:tc>
        <w:tc>
          <w:tcPr>
            <w:tcW w:type="dxa" w:w="6500"/>
          </w:tcPr>
          <w:p>
            <w:r>
              <w:rPr>
                <w:b w:val="false"/>
                <w:bCs w:val="false"/>
              </w:rPr>
              <w:t xml:space="preserve">60 ou 65 (correction proposée : 65)</w:t>
            </w:r>
          </w:p>
        </w:tc>
      </w:tr>
      <w:tr>
        <w:tc>
          <w:tcPr>
            <w:tcW w:type="dxa" w:w="2500"/>
          </w:tcPr>
          <w:p>
            <w:r>
              <w:rPr>
                <w:b w:val="false"/>
                <w:bCs w:val="false"/>
              </w:rPr>
              <w:t xml:space="preserve">H</w:t>
            </w:r>
          </w:p>
        </w:tc>
        <w:tc>
          <w:tcPr>
            <w:tcW w:type="dxa" w:w="6500"/>
          </w:tcPr>
          <w:p>
            <w:r>
              <w:rPr>
                <w:b w:val="false"/>
                <w:bCs w:val="false"/>
              </w:rPr>
              <w:t xml:space="preserve">80</w:t>
            </w:r>
          </w:p>
        </w:tc>
      </w:tr>
      <w:tr>
        <w:tc>
          <w:tcPr>
            <w:tcW w:type="dxa" w:w="2500"/>
          </w:tcPr>
          <w:p>
            <w:r>
              <w:rPr>
                <w:b w:val="false"/>
                <w:bCs w:val="false"/>
              </w:rPr>
              <w:t xml:space="preserve">I</w:t>
            </w:r>
          </w:p>
        </w:tc>
        <w:tc>
          <w:tcPr>
            <w:tcW w:type="dxa" w:w="6500"/>
          </w:tcPr>
          <w:p>
            <w:r>
              <w:rPr>
                <w:b w:val="false"/>
                <w:bCs w:val="false"/>
              </w:rPr>
              <w:t xml:space="preserve">100</w:t>
            </w:r>
          </w:p>
        </w:tc>
      </w:tr>
      <w:tr>
        <w:tc>
          <w:tcPr>
            <w:tcW w:type="dxa" w:w="2500"/>
          </w:tcPr>
          <w:p>
            <w:r>
              <w:rPr>
                <w:b w:val="false"/>
                <w:bCs w:val="false"/>
              </w:rPr>
              <w:t xml:space="preserve">J</w:t>
            </w:r>
          </w:p>
        </w:tc>
        <w:tc>
          <w:tcPr>
            <w:tcW w:type="dxa" w:w="6500"/>
          </w:tcPr>
          <w:p>
            <w:r>
              <w:rPr>
                <w:b w:val="false"/>
                <w:bCs w:val="false"/>
              </w:rPr>
              <w:t xml:space="preserve">125</w:t>
            </w:r>
          </w:p>
        </w:tc>
      </w:tr>
      <w:tr>
        <w:tc>
          <w:tcPr>
            <w:tcW w:type="dxa" w:w="2500"/>
          </w:tcPr>
          <w:p>
            <w:r>
              <w:rPr>
                <w:b w:val="false"/>
                <w:bCs w:val="false"/>
              </w:rPr>
              <w:t xml:space="preserve">K</w:t>
            </w:r>
          </w:p>
        </w:tc>
        <w:tc>
          <w:tcPr>
            <w:tcW w:type="dxa" w:w="6500"/>
          </w:tcPr>
          <w:p>
            <w:r>
              <w:rPr>
                <w:b w:val="false"/>
                <w:bCs w:val="false"/>
              </w:rPr>
              <w:t xml:space="preserve">150</w:t>
            </w:r>
          </w:p>
        </w:tc>
      </w:tr>
      <w:tr>
        <w:tc>
          <w:tcPr>
            <w:tcW w:type="dxa" w:w="2500"/>
          </w:tcPr>
          <w:p>
            <w:r>
              <w:rPr>
                <w:b w:val="false"/>
                <w:bCs w:val="false"/>
              </w:rPr>
              <w:t xml:space="preserve">L</w:t>
            </w:r>
          </w:p>
        </w:tc>
        <w:tc>
          <w:tcPr>
            <w:tcW w:type="dxa" w:w="6500"/>
          </w:tcPr>
          <w:p>
            <w:r>
              <w:rPr>
                <w:b w:val="false"/>
                <w:bCs w:val="false"/>
              </w:rPr>
              <w:t xml:space="preserve">200</w:t>
            </w:r>
          </w:p>
        </w:tc>
      </w:tr>
      <w:tr>
        <w:tc>
          <w:tcPr>
            <w:tcW w:type="dxa" w:w="2500"/>
          </w:tcPr>
          <w:p>
            <w:r>
              <w:rPr>
                <w:b w:val="false"/>
                <w:bCs w:val="false"/>
              </w:rPr>
              <w:t xml:space="preserve">M</w:t>
            </w:r>
          </w:p>
        </w:tc>
        <w:tc>
          <w:tcPr>
            <w:tcW w:type="dxa" w:w="6500"/>
          </w:tcPr>
          <w:p>
            <w:r>
              <w:rPr>
                <w:b w:val="false"/>
                <w:bCs w:val="false"/>
              </w:rPr>
              <w:t xml:space="preserve">250</w:t>
            </w:r>
          </w:p>
        </w:tc>
      </w:tr>
      <w:tr>
        <w:tc>
          <w:tcPr>
            <w:tcW w:type="dxa" w:w="2500"/>
          </w:tcPr>
          <w:p>
            <w:r>
              <w:rPr>
                <w:b w:val="false"/>
                <w:bCs w:val="false"/>
              </w:rPr>
              <w:t xml:space="preserve">N</w:t>
            </w:r>
          </w:p>
        </w:tc>
        <w:tc>
          <w:tcPr>
            <w:tcW w:type="dxa" w:w="6500"/>
          </w:tcPr>
          <w:p>
            <w:r>
              <w:rPr>
                <w:b w:val="false"/>
                <w:bCs w:val="false"/>
              </w:rPr>
              <w:t xml:space="preserve">300</w:t>
            </w:r>
          </w:p>
        </w:tc>
      </w:tr>
      <w:tr>
        <w:tc>
          <w:tcPr>
            <w:tcW w:type="dxa" w:w="2500"/>
          </w:tcPr>
          <w:p>
            <w:r>
              <w:rPr>
                <w:b w:val="false"/>
                <w:bCs w:val="false"/>
              </w:rPr>
              <w:t xml:space="preserve">O</w:t>
            </w:r>
          </w:p>
        </w:tc>
        <w:tc>
          <w:tcPr>
            <w:tcW w:type="dxa" w:w="6500"/>
          </w:tcPr>
          <w:p>
            <w:r>
              <w:rPr>
                <w:b w:val="false"/>
                <w:bCs w:val="false"/>
              </w:rPr>
              <w:t xml:space="preserve">350</w:t>
            </w:r>
          </w:p>
        </w:tc>
      </w:tr>
      <w:tr>
        <w:tc>
          <w:tcPr>
            <w:tcW w:type="dxa" w:w="2500"/>
          </w:tcPr>
          <w:p>
            <w:r>
              <w:rPr>
                <w:b w:val="false"/>
                <w:bCs w:val="false"/>
              </w:rPr>
              <w:t xml:space="preserve">P</w:t>
            </w:r>
          </w:p>
        </w:tc>
        <w:tc>
          <w:tcPr>
            <w:tcW w:type="dxa" w:w="6500"/>
          </w:tcPr>
          <w:p>
            <w:r>
              <w:rPr>
                <w:b w:val="false"/>
                <w:bCs w:val="false"/>
              </w:rPr>
              <w:t xml:space="preserve">400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120" w:before="240"/>
      </w:pPr>
      <w:r>
        <w:rPr>
          <w:b/>
          <w:bCs/>
          <w:color w:val="2F5496"/>
        </w:rPr>
        <w:t xml:space="preserve">Partie B — Comment utiliser l'outil</w:t>
      </w:r>
    </w:p>
    <w:p>
      <w:pPr>
        <w:pStyle w:val="Heading2"/>
        <w:spacing w:after="80" w:before="180"/>
      </w:pPr>
      <w:r>
        <w:rPr>
          <w:b/>
          <w:bCs/>
        </w:rPr>
        <w:t xml:space="preserve">0. Où se trouve le logiciel</w:t>
      </w:r>
    </w:p>
    <w:p>
      <w:pPr>
        <w:spacing w:after="80"/>
      </w:pPr>
      <w:r>
        <w:t xml:space="preserve">Le logiciel est installé sur le lecteur réseau, à l'emplacement suivant :</w:t>
      </w:r>
    </w:p>
    <w:p>
      <w:pPr>
        <w:shd w:fill="F2F2F2" w:val="clear"/>
        <w:spacing w:after="80"/>
      </w:pPr>
      <w:r>
        <w:rPr>
          <w:rFonts w:ascii="Consolas" w:cs="Consolas" w:eastAsia="Consolas" w:hAnsi="Consolas"/>
          <w:sz w:val="20"/>
          <w:szCs w:val="20"/>
        </w:rPr>
        <w:t xml:space="preserve">S:\Technique\9. Télérelève\1. Opérationnel\2. Compteurs\4. Données patrimoniales\3. Korrect'eau</w:t>
      </w:r>
    </w:p>
    <w:p>
      <w:pPr>
        <w:spacing w:after="80"/>
      </w:pPr>
      <w:r>
        <w:t xml:space="preserve">Pour lancer l'application, double-cliquer sur </w:t>
      </w:r>
      <w:r>
        <w:rPr>
          <w:b/>
          <w:bCs/>
        </w:rPr>
        <w:t xml:space="preserve">Korrect'eau.exe</w:t>
      </w:r>
      <w:r>
        <w:t xml:space="preserve">.</w:t>
      </w:r>
    </w:p>
    <w:p>
      <w:pPr>
        <w:pStyle w:val="Heading2"/>
        <w:spacing w:after="80" w:before="180"/>
      </w:pPr>
      <w:r>
        <w:rPr>
          <w:b/>
          <w:bCs/>
        </w:rPr>
        <w:t xml:space="preserve">1. Où télécharger les données à analyser</w:t>
      </w:r>
    </w:p>
    <w:p>
      <w:pPr>
        <w:spacing w:after="80"/>
      </w:pPr>
      <w:r>
        <w:t xml:space="preserve">Les données proviennent du </w:t>
      </w:r>
      <w:r>
        <w:rPr>
          <w:b/>
          <w:bCs/>
        </w:rPr>
        <w:t xml:space="preserve">Power BI Exploitation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Choisir le mode de relève que l'on veut analyser (Manuelle, Radiorelève ou Télérelève) — voir capture 1.</w:t>
      </w:r>
    </w:p>
    <w:p>
      <w:pPr>
        <w:pBdr>
          <w:top w:val="dashed" w:color="AAAAAA" w:sz="6" w:space="6"/>
          <w:bottom w:val="dashed" w:color="AAAAAA" w:sz="6" w:space="6"/>
          <w:left w:val="dashed" w:color="AAAAAA" w:sz="6" w:space="6"/>
          <w:right w:val="dashed" w:color="AAAAAA" w:sz="6" w:space="6"/>
        </w:pBdr>
        <w:spacing w:after="120" w:before="40"/>
        <w:jc w:val="center"/>
      </w:pPr>
      <w:r>
        <w:rPr>
          <w:i/>
          <w:iCs/>
          <w:color w:val="808080"/>
        </w:rPr>
        <w:t xml:space="preserve">🖼️ Capture 1 — sélection du « Mode de relève » dans le Power BI Exploitation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Filtrer le Code branchement sur 0, afin de ne garder que les compteurs actifs — voir capture 2.</w:t>
      </w:r>
    </w:p>
    <w:p>
      <w:pPr>
        <w:pBdr>
          <w:top w:val="dashed" w:color="AAAAAA" w:sz="6" w:space="6"/>
          <w:bottom w:val="dashed" w:color="AAAAAA" w:sz="6" w:space="6"/>
          <w:left w:val="dashed" w:color="AAAAAA" w:sz="6" w:space="6"/>
          <w:right w:val="dashed" w:color="AAAAAA" w:sz="6" w:space="6"/>
        </w:pBdr>
        <w:spacing w:after="120" w:before="40"/>
        <w:jc w:val="center"/>
      </w:pPr>
      <w:r>
        <w:rPr>
          <w:i/>
          <w:iCs/>
          <w:color w:val="808080"/>
        </w:rPr>
        <w:t xml:space="preserve">🖼️ Capture 2 — filtre « Code branchement » = 0 (compteurs actifs)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Passer le tableau des données en mode Focus (icône en haut à droite de la visualisation) — voir capture 3.</w:t>
      </w:r>
    </w:p>
    <w:p>
      <w:pPr>
        <w:pBdr>
          <w:top w:val="dashed" w:color="AAAAAA" w:sz="6" w:space="6"/>
          <w:bottom w:val="dashed" w:color="AAAAAA" w:sz="6" w:space="6"/>
          <w:left w:val="dashed" w:color="AAAAAA" w:sz="6" w:space="6"/>
          <w:right w:val="dashed" w:color="AAAAAA" w:sz="6" w:space="6"/>
        </w:pBdr>
        <w:spacing w:after="120" w:before="40"/>
        <w:jc w:val="center"/>
      </w:pPr>
      <w:r>
        <w:rPr>
          <w:i/>
          <w:iCs/>
          <w:color w:val="808080"/>
        </w:rPr>
        <w:t xml:space="preserve">🖼️ Capture 3 — tableau des données en mode Focus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Cliquer sur les trois petits points « ⋯ » en haut à droite du tableau, puis sur « Exporter les données ».</w:t>
      </w:r>
    </w:p>
    <w:p>
      <w:pPr>
        <w:spacing w:after="80"/>
      </w:pPr>
      <w:r>
        <w:rPr>
          <w:b/>
          <w:bCs/>
        </w:rPr>
        <w:t xml:space="preserve">Astuce : </w:t>
      </w:r>
      <w:r>
        <w:t xml:space="preserve">téléchargez un fichier par mode de relève (Radio, Télé, Manuelle) puis chargez-les dans les zones correspondantes de Korrect'eau.</w:t>
      </w:r>
    </w:p>
    <w:p>
      <w:pPr>
        <w:pStyle w:val="Heading2"/>
        <w:spacing w:after="80" w:before="180"/>
      </w:pPr>
      <w:r>
        <w:rPr>
          <w:b/>
          <w:bCs/>
        </w:rPr>
        <w:t xml:space="preserve">2. Lancer l'analyse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Double-cliquer sur Korrect'eau.exe.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Glisser-déposer (ou « Sélectionner fichier ») les fichiers Excel dans les zones : 📻 Radiorelève, 📡 Télérelève, ✍️ Manuelle. Il n'est pas obligatoire de fournir les trois.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Choisir le dossier de sortie (bouton « Parcourir »).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Cliquer sur le bouton vert 🚀 ANALYSER LES DONNÉES.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À la fin, une fenêtre propose d'ouvrir le dossier des résultats.</w:t>
      </w:r>
    </w:p>
    <w:p>
      <w:pPr>
        <w:spacing w:after="80"/>
      </w:pPr>
      <w:r>
        <w:rPr>
          <w:b/>
          <w:bCs/>
        </w:rPr>
        <w:t xml:space="preserve">Résultats générés 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un rapport Excel par mode (Rapport_Radioreleve_…, Rapport_Telereleve_…, Rapport_Manuelle_…) : onglet Récapitulatif, onglet Toutes_Anomalies, et un onglet par type d'anomalie (cellules surlignées).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un dossier « Traites/ » avec un fichier par Traité (regroupé sur les 3 premiers chiffres).</w:t>
      </w:r>
    </w:p>
    <w:p>
      <w:pPr>
        <w:pStyle w:val="Heading2"/>
        <w:spacing w:after="80" w:before="180"/>
      </w:pPr>
      <w:r>
        <w:rPr>
          <w:b/>
          <w:bCs/>
        </w:rPr>
        <w:t xml:space="preserve">Modifier les règles sans toucher au code</w:t>
      </w:r>
    </w:p>
    <w:p>
      <w:pPr>
        <w:spacing w:after="80"/>
      </w:pPr>
      <w:r>
        <w:t xml:space="preserve">Le bouton « ⚙️ Règles » (en haut à droite) ouvre un fichier Excel (regles_anomalies.xlsx) créé automatiquement à côté de l'application. On y modifie, sans programmer, les onglets suivants 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Marques_autorisees</w:t>
      </w:r>
      <w:r>
        <w:t xml:space="preserve"> : marques acceptées par mode (Radio / Tele).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Type_Compteur_autorises</w:t>
      </w:r>
      <w:r>
        <w:t xml:space="preserve"> : codes Type Compteur acceptés.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ProtocoleRadio_commune</w:t>
      </w:r>
      <w:r>
        <w:t xml:space="preserve"> : protocole Radio attendu par commune (télérelève).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Plage_diametre</w:t>
      </w:r>
      <w:r>
        <w:t xml:space="preserve"> : diamètre min/max autorisé par marque.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Longueur_tete</w:t>
      </w:r>
      <w:r>
        <w:t xml:space="preserve"> : longueur de tête attendue selon Mode / Marque / Type Compteur.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Diametre_FP2E</w:t>
      </w:r>
      <w:r>
        <w:t xml:space="preserve"> : diamètre(s) correspondant à chaque lettre FP2E (1er = correction proposée).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Longueur_compteur</w:t>
      </w:r>
      <w:r>
        <w:t xml:space="preserve"> : longueur exacte du n° de compteur (non-FP2E) selon Mode / Marque / Année.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Protocole_par_marque</w:t>
      </w:r>
      <w:r>
        <w:t xml:space="preserve"> : protocole Radio attendu par marque et tranche d'année (radiorelève).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Compteurs_FP2E</w:t>
      </w:r>
      <w:r>
        <w:t xml:space="preserve"> : marques dont le compteur doit être au format FP2E (KAMSTRUP / U Kamstrup ont leur contrôle dédié).</w:t>
      </w:r>
    </w:p>
    <w:p>
      <w:pPr>
        <w:spacing w:after="80"/>
      </w:pPr>
      <w:r>
        <w:t xml:space="preserve">Après modification : enregistrer, fermer, relancer l'analyse. En cas d'erreur de saisie, l'application ignore la partie concernée et utilise les valeurs par défaut (elle ne plante pas).</w:t>
      </w:r>
    </w:p>
    <w:p>
      <w:pPr>
        <w:spacing w:after="80"/>
      </w:pPr>
      <w:r>
        <w:rPr>
          <w:b/>
          <w:bCs/>
        </w:rPr>
        <w:t xml:space="preserve">Restent dans le code : </w:t>
      </w:r>
      <w:r>
        <w:t xml:space="preserve">le format FP2E du numéro, la cohérence année/diamètre/Type Compteur déduite du numéro, et les règles KAMSTRUP compteur = tête.</w:t>
      </w:r>
    </w:p>
    <w:p>
      <w:pPr>
        <w:pStyle w:val="Heading1"/>
        <w:spacing w:after="120" w:before="240"/>
      </w:pPr>
      <w:r>
        <w:rPr>
          <w:b/>
          <w:bCs/>
          <w:color w:val="2F5496"/>
        </w:rPr>
        <w:t xml:space="preserve">Partie C — Comment compiler (créer le .exe)</w:t>
      </w:r>
    </w:p>
    <w:p>
      <w:pPr>
        <w:spacing w:after="80"/>
      </w:pPr>
      <w:r>
        <w:t xml:space="preserve">À faire sur un PC Windows (un .exe Windows ne peut être fabriqué que sous Windows).</w:t>
      </w:r>
    </w:p>
    <w:p>
      <w:pPr>
        <w:pStyle w:val="Heading2"/>
        <w:spacing w:after="80" w:before="180"/>
      </w:pPr>
      <w:r>
        <w:rPr>
          <w:b/>
          <w:bCs/>
        </w:rPr>
        <w:t xml:space="preserve">Prérequis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Installer Python depuis python.org, en cochant « Add Python to PATH » à l'installation.</w:t>
      </w:r>
    </w:p>
    <w:p>
      <w:pPr>
        <w:pStyle w:val="Heading2"/>
        <w:spacing w:after="80" w:before="180"/>
      </w:pPr>
      <w:r>
        <w:rPr>
          <w:b/>
          <w:bCs/>
        </w:rPr>
        <w:t xml:space="preserve">Étapes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Récupérer le code (bouton « Code » → « Download ZIP » sur GitHub, puis décompresser).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Ouvrir un terminal dans le dossier (taper cmd dans la barre d'adresse de l'explorateur).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Installer les dépendances : pip install -r requirements.txt puis pip install pyinstaller.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Compiler : python compiler_exe.py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Récupérer l'exécutable généré : dist\Korrecteau.exe</w:t>
      </w:r>
    </w:p>
    <w:p>
      <w:pPr>
        <w:spacing w:after="80"/>
      </w:pPr>
      <w:r>
        <w:t xml:space="preserve">Korrecteau.exe est un fichier unique et portable, à distribuer à l'équipe (aucune installation de Python nécessaire sur leur poste).</w:t>
      </w:r>
    </w:p>
    <w:p>
      <w:pPr>
        <w:spacing w:after="80"/>
      </w:pPr>
      <w:r>
        <w:t xml:space="preserve">Note : au 1er lancement, Windows peut afficher un avertissement « Éditeur inconnu » (faux positif classique de PyInstaller) → « Informations complémentaires » puis « Exécuter quand même ».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2026-09-04T07:02:18.080Z</dcterms:created>
  <dcterms:modified xsi:type="dcterms:W3CDTF">2026-09-04T07:02:18.081Z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