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44"/>
          <w:szCs w:val="44"/>
        </w:rPr>
        <w:t xml:space="preserve">Korrect'eau</w:t>
      </w:r>
    </w:p>
    <w:p>
      <w:pPr>
        <w:spacing w:after="80"/>
      </w:pPr>
      <w:r>
        <w:rPr>
          <w:i/>
          <w:iCs/>
          <w:sz w:val="26"/>
          <w:szCs w:val="26"/>
        </w:rPr>
        <w:t xml:space="preserve">Contrôle des anomalies de compteurs d'eau</w:t>
      </w:r>
    </w:p>
    <w:p>
      <w:pPr>
        <w:spacing w:after="80"/>
      </w:pPr>
      <w:r>
        <w:rPr>
          <w:color w:val="808080"/>
        </w:rPr>
        <w:t xml:space="preserve">Règles de contrôle · Guide d'utilisation · Compilation</w:t>
      </w:r>
    </w:p>
    <w:p>
      <w:pPr>
        <w:spacing w:after="80"/>
      </w:pPr>
      <w:r>
        <w:t xml:space="preserve">Korrect'eau analyse trois fichiers Excel de compteurs (Radiorelève, Télérelève et Manuelle) et signale les lignes non conformes. Chaque contrôle ci-dessous génère une anomalie lorsque la condition n'est pas respectée. Les rapports Excel produits surlignent les cellules concernées et proposent, quand c'est possible, une valeur corrigée.</w:t>
      </w:r>
    </w:p>
    <w:p>
      <w:pPr>
        <w:pStyle w:val="Heading1"/>
        <w:spacing w:after="120" w:before="240"/>
      </w:pPr>
      <w:r>
        <w:rPr>
          <w:b/>
          <w:bCs/>
          <w:color w:val="2F5496"/>
        </w:rPr>
        <w:t xml:space="preserve">Partie A — Règles de contrôle</w:t>
      </w:r>
    </w:p>
    <w:p>
      <w:pPr>
        <w:pStyle w:val="Heading2"/>
        <w:spacing w:after="80" w:before="180"/>
      </w:pPr>
      <w:r>
        <w:rPr>
          <w:b/>
          <w:bCs/>
        </w:rPr>
        <w:t xml:space="preserve">1. Règles communes (tous les modes)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Champs obligatoires</w:t>
      </w:r>
      <w:r>
        <w:t xml:space="preserve"> : Marque, Numéro de compteur, Diamètre, Année de fabrication et Type Compteur doivent être renseignés.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Coordonnées GPS</w:t>
      </w:r>
      <w:r>
        <w:t xml:space="preserve"> : latitude/longitude numériques, non nulles et dans les bornes (lat -90..90, lon -180..180).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Marque autorisée</w:t>
      </w:r>
      <w:r>
        <w:t xml:space="preserve"> : la marque doit figurer dans la liste des marques autorisées du mode.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Type Compteur autorisé</w:t>
      </w:r>
      <w:r>
        <w:t xml:space="preserve"> : le code Type Compteur doit figurer dans la liste des codes autorisés.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Cohérence Type Compteur</w:t>
      </w:r>
      <w:r>
        <w:t xml:space="preserve"> : pour un compteur au format FP2E, le Type Compteur doit valoir le 1er + 4e caractère du numéro (ex. C22FL… → CF). Exceptions : les codes « module » (SEN3, SEN4, INT3, KM21, MAG1…) ne suivent pas cette règle.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Cohérence Marque / préfixe</w:t>
      </w:r>
      <w:r>
        <w:t xml:space="preserve"> : compteur commençant par C → SAPPEL (C), H → SAPPEL (H), I ou D → ITRON.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Cohérence FP2E</w:t>
      </w:r>
      <w:r>
        <w:t xml:space="preserve"> : pour un numéro FP2E, l'année (millésime) et le diamètre doivent correspondre au numéro (voir Partie A §5).</w:t>
      </w:r>
    </w:p>
    <w:p>
      <w:pPr>
        <w:pStyle w:val="Heading2"/>
        <w:spacing w:after="80" w:before="180"/>
      </w:pPr>
      <w:r>
        <w:rPr>
          <w:b/>
          <w:bCs/>
        </w:rPr>
        <w:t xml:space="preserve">2. Radiorelève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Marques autorisées</w:t>
      </w:r>
      <w:r>
        <w:t xml:space="preserve"> : SAPPEL (H), SAPPEL (C), KAMSTRUP, U Kamstrup.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Protocole radio</w:t>
      </w:r>
      <w:r>
        <w:t xml:space="preserve"> : KAMSTRUP → WMS ; SAPPEL fabriqué en 2022 ou avant → WMS, après 2022 → OMS. (configurable : onglet Protocole_par_marque).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KAMSTRUP (classique)</w:t>
      </w:r>
      <w:r>
        <w:t xml:space="preserve"> : numéro de compteur = 8 caractères ; compteur = tête ; diamètre entre 15 et 80.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 Kamstrup</w:t>
      </w:r>
      <w:r>
        <w:t xml:space="preserve"> : numéro de compteur = 11 caractères (12 pour Traités 965/455/899), au format FP2E ; tête = 8 chiffres.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SAPPEL</w:t>
      </w:r>
      <w:r>
        <w:t xml:space="preserve"> : compteur commençant par C ou H ; tête « DME » = 15 caractères ; Type Compteur SEN4 → tête = 16 caractères.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ITRON</w:t>
      </w:r>
      <w:r>
        <w:t xml:space="preserve"> : compteur commençant par I ou D.</w:t>
      </w:r>
    </w:p>
    <w:p>
      <w:pPr>
        <w:pStyle w:val="Heading2"/>
        <w:spacing w:after="80" w:before="180"/>
      </w:pPr>
      <w:r>
        <w:rPr>
          <w:b/>
          <w:bCs/>
        </w:rPr>
        <w:t xml:space="preserve">3. Télérelève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Marques autorisées</w:t>
      </w:r>
      <w:r>
        <w:t xml:space="preserve"> : INTEGRA, ITRON, KAIFA, KAMSTRUP, SAPPEL (C), SAPPEL (H), SENSUS, SOCAM, U Kamstrup.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Protocole radio (par commune)</w:t>
      </w:r>
      <w:r>
        <w:t xml:space="preserve"> : le protocole de chaque ligne doit correspondre à celui de sa commune, défini dans l'onglet ProtocoleRadio_commune. Si le protocole diffère, l'anomalie « Protocole incorrect (devrait respecter la commune) » est signalée avec la correction. Une commune absente du tableau est signalée « Commune inconnue (protocole non vérifié) ». La comparaison ignore la casse et les accents.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KAMSTRUP (classique)</w:t>
      </w:r>
      <w:r>
        <w:t xml:space="preserve"> : numéro de compteur = 8 caractères ; compteur = tête ; diamètre entre 15 et 80.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 Kamstrup</w:t>
      </w:r>
      <w:r>
        <w:t xml:space="preserve"> : numéro de compteur = 11 caractères (12 pour Traités 965/455/899), au format FP2E ; tête = 8 chiffres.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SAPPEL</w:t>
      </w:r>
      <w:r>
        <w:t xml:space="preserve"> : tête = 16 caractères ; Type Compteur SEN3 → tête = 15 ; Type Compteur INT3 → tête = 15.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ITRON</w:t>
      </w:r>
      <w:r>
        <w:t xml:space="preserve"> : tête = 8 caractères.</w:t>
      </w:r>
    </w:p>
    <w:p>
      <w:pPr>
        <w:pStyle w:val="Heading2"/>
        <w:spacing w:after="80" w:before="180"/>
      </w:pPr>
      <w:r>
        <w:rPr>
          <w:b/>
          <w:bCs/>
        </w:rPr>
        <w:t xml:space="preserve">4. Manuelle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Coordonnées GPS</w:t>
      </w:r>
      <w:r>
        <w:t xml:space="preserve"> : latitude/longitude numériques et valides.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Type Compteur</w:t>
      </w:r>
      <w:r>
        <w:t xml:space="preserve"> : Type Compteur renseigné et dans la liste autorisée.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Format compteur</w:t>
      </w:r>
      <w:r>
        <w:t xml:space="preserve"> : pour SAPPEL et ITRON, le numéro de compteur doit être au format FP2E.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Cohérences</w:t>
      </w:r>
      <w:r>
        <w:t xml:space="preserve"> : préfixe C/H → SAPPEL, I/D → ITRON ; cohérence année/diamètre FP2E.</w:t>
      </w:r>
    </w:p>
    <w:p>
      <w:pPr>
        <w:pStyle w:val="Heading2"/>
        <w:spacing w:after="80" w:before="180"/>
      </w:pPr>
      <w:r>
        <w:rPr>
          <w:b/>
          <w:bCs/>
        </w:rPr>
        <w:t xml:space="preserve">5. Correspondance lettre FP2E → diamètre</w:t>
      </w:r>
    </w:p>
    <w:p>
      <w:pPr>
        <w:spacing w:after="80"/>
      </w:pPr>
      <w:r>
        <w:t xml:space="preserve">La 5e position du numéro FP2E (une lettre) indique le diamètre attendu. Quand une lettre accepte plusieurs diamètres, le premier listé sert de correction proposée (pour G, la correction proposée est 65).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Lettre</w:t>
            </w:r>
          </w:p>
        </w:tc>
        <w:tc>
          <w:tcPr>
            <w:tcW w:type="dxa" w:w="6500"/>
            <w:shd w:fill="D9E2F3" w:val="clear"/>
          </w:tcPr>
          <w:p>
            <w:r>
              <w:rPr>
                <w:b/>
                <w:bCs/>
              </w:rPr>
              <w:t xml:space="preserve">Diamètre (mm)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 / U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60 ou 65 (correction proposée : 65)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J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125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150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250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300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350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2F5496"/>
        </w:rPr>
        <w:t xml:space="preserve">Partie B — Comment utiliser l'outil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Double-cliquer sur Korrecteau.exe.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Glisser-déposer (ou « Sélectionner fichier ») les fichiers Excel dans les zones : 📻 Radiorelève, 📡 Télérelève, ✍️ Manuelle. Il n'est pas obligatoire de fournir les trois.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Choisir le dossier de sortie (bouton « Parcourir »).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Cliquer sur le bouton vert 🚀 ANALYSER LES DONNÉES.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À la fin, une fenêtre propose d'ouvrir le dossier des résultats.</w:t>
      </w:r>
    </w:p>
    <w:p>
      <w:pPr>
        <w:spacing w:after="80"/>
      </w:pPr>
      <w:r>
        <w:rPr>
          <w:b/>
          <w:bCs/>
        </w:rPr>
        <w:t xml:space="preserve">Résultats générés 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rapport Excel par mode (Rapport_Radioreleve_…, Rapport_Telereleve_…, Rapport_Manuelle_…) : onglet Récapitulatif, onglet Toutes_Anomalies, et un onglet par type d'anomalie (cellules surlignées).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dossier « Traites/ » avec un fichier par Traité (regroupé sur les 3 premiers chiffres).</w:t>
      </w:r>
    </w:p>
    <w:p>
      <w:pPr>
        <w:pStyle w:val="Heading2"/>
        <w:spacing w:after="80" w:before="180"/>
      </w:pPr>
      <w:r>
        <w:rPr>
          <w:b/>
          <w:bCs/>
        </w:rPr>
        <w:t xml:space="preserve">Modifier les règles sans toucher au code</w:t>
      </w:r>
    </w:p>
    <w:p>
      <w:pPr>
        <w:spacing w:after="80"/>
      </w:pPr>
      <w:r>
        <w:t xml:space="preserve">Le bouton « ⚙️ Règles » (en haut à droite) ouvre un fichier Excel (regles_anomalies.xlsx) créé automatiquement à côté de l'application. On y modifie, sans programmer, les onglets suivants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Marques_autorisees</w:t>
      </w:r>
      <w:r>
        <w:t xml:space="preserve"> : marques acceptées par mode (Radio / Tele).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Type_Compteur_autorises</w:t>
      </w:r>
      <w:r>
        <w:t xml:space="preserve"> : codes Type Compteur acceptés.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ProtocoleRadio_commune</w:t>
      </w:r>
      <w:r>
        <w:t xml:space="preserve"> : protocole Radio attendu par commune (télérelève).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Plage_diametre</w:t>
      </w:r>
      <w:r>
        <w:t xml:space="preserve"> : diamètre min/max autorisé par marque.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Longueur_tete</w:t>
      </w:r>
      <w:r>
        <w:t xml:space="preserve"> : longueur de tête attendue selon Mode / Marque / Type Compteur.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Diametre_FP2E</w:t>
      </w:r>
      <w:r>
        <w:t xml:space="preserve"> : diamètre(s) correspondant à chaque lettre FP2E (1er = correction proposée).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Longueur_compteur</w:t>
      </w:r>
      <w:r>
        <w:t xml:space="preserve"> : longueur exacte du n° de compteur (non-FP2E) selon Mode / Marque / Année.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Protocole_par_marque</w:t>
      </w:r>
      <w:r>
        <w:t xml:space="preserve"> : protocole Radio attendu par marque et tranche d'année (radiorelève).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Compteurs_FP2E</w:t>
      </w:r>
      <w:r>
        <w:t xml:space="preserve"> : marques dont le compteur doit être au format FP2E (KAMSTRUP / U Kamstrup ont leur contrôle dédié).</w:t>
      </w:r>
    </w:p>
    <w:p>
      <w:pPr>
        <w:spacing w:after="80"/>
      </w:pPr>
      <w:r>
        <w:t xml:space="preserve">Après modification : enregistrer, fermer, relancer l'analyse. En cas d'erreur de saisie, l'application ignore la partie concernée et utilise les valeurs par défaut (elle ne plante pas).</w:t>
      </w:r>
    </w:p>
    <w:p>
      <w:pPr>
        <w:spacing w:after="80"/>
      </w:pPr>
      <w:r>
        <w:rPr>
          <w:b/>
          <w:bCs/>
        </w:rPr>
        <w:t xml:space="preserve">Restent dans le code : </w:t>
      </w:r>
      <w:r>
        <w:t xml:space="preserve">le format FP2E du numéro, la cohérence année/diamètre/Type Compteur déduite du numéro, et les règles KAMSTRUP compteur = tête.</w:t>
      </w:r>
    </w:p>
    <w:p>
      <w:pPr>
        <w:pStyle w:val="Heading1"/>
        <w:spacing w:after="120" w:before="240"/>
      </w:pPr>
      <w:r>
        <w:rPr>
          <w:b/>
          <w:bCs/>
          <w:color w:val="2F5496"/>
        </w:rPr>
        <w:t xml:space="preserve">Partie C — Comment compiler (créer le .exe)</w:t>
      </w:r>
    </w:p>
    <w:p>
      <w:pPr>
        <w:spacing w:after="80"/>
      </w:pPr>
      <w:r>
        <w:t xml:space="preserve">À faire sur un PC Windows (un .exe Windows ne peut être fabriqué que sous Windows).</w:t>
      </w:r>
    </w:p>
    <w:p>
      <w:pPr>
        <w:pStyle w:val="Heading2"/>
        <w:spacing w:after="80" w:before="180"/>
      </w:pPr>
      <w:r>
        <w:rPr>
          <w:b/>
          <w:bCs/>
        </w:rPr>
        <w:t xml:space="preserve">Prérequis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Installer Python depuis python.org, en cochant « Add Python to PATH » à l'installation.</w:t>
      </w:r>
    </w:p>
    <w:p>
      <w:pPr>
        <w:pStyle w:val="Heading2"/>
        <w:spacing w:after="80" w:before="180"/>
      </w:pPr>
      <w:r>
        <w:rPr>
          <w:b/>
          <w:bCs/>
        </w:rPr>
        <w:t xml:space="preserve">Étapes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Récupérer le code (bouton « Code » → « Download ZIP » sur GitHub, puis décompresser).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Ouvrir un terminal dans le dossier (taper cmd dans la barre d'adresse de l'explorateur).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Installer les dépendances : pip install -r requirements.txt puis pip install pyinstaller.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Compiler : python compiler_exe.py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Récupérer l'exécutable généré : dist\Korrecteau.exe</w:t>
      </w:r>
    </w:p>
    <w:p>
      <w:pPr>
        <w:spacing w:after="80"/>
      </w:pPr>
      <w:r>
        <w:t xml:space="preserve">Korrecteau.exe est un fichier unique et portable, à distribuer à l'équipe (aucune installation de Python nécessaire sur leur poste).</w:t>
      </w:r>
    </w:p>
    <w:p>
      <w:pPr>
        <w:spacing w:after="80"/>
      </w:pPr>
      <w:r>
        <w:t xml:space="preserve">Note : au 1er lancement, Windows peut afficher un avertissement « Éditeur inconnu » (faux positif classique de PyInstaller) → « Informations complémentaires » puis « Exécuter quand même ».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2026-09-04T06:51:43.321Z</dcterms:created>
  <dcterms:modified xsi:type="dcterms:W3CDTF">2026-09-04T06:51:43.321Z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