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98754"/>
          <w:sz w:val="56"/>
          <w:szCs w:val="56"/>
        </w:rPr>
        <w:t xml:space="preserve">📊 Korrect’eau</w:t>
      </w:r>
    </w:p>
    <w:p>
      <w:pPr>
        <w:spacing w:after="0" w:before="200"/>
        <w:jc w:val="center"/>
      </w:pPr>
      <w:r>
        <w:rPr>
          <w:b/>
          <w:bCs/>
          <w:color w:val="212529"/>
          <w:sz w:val="40"/>
          <w:szCs w:val="40"/>
        </w:rPr>
        <w:t xml:space="preserve">Guide d’utilisation</w:t>
      </w:r>
    </w:p>
    <w:p>
      <w:pPr>
        <w:spacing w:after="0" w:before="160"/>
        <w:jc w:val="center"/>
      </w:pPr>
      <w:r>
        <w:rPr>
          <w:i/>
          <w:iCs/>
          <w:color w:val="6C757D"/>
          <w:sz w:val="24"/>
          <w:szCs w:val="24"/>
        </w:rPr>
        <w:t xml:space="preserve">À quoi sert le logiciel, comment le lancer et l’utiliser au quotidien</w:t>
      </w:r>
    </w:p>
    <w:p>
      <w:pPr>
        <w:spacing w:after="0" w:before="500"/>
        <w:jc w:val="center"/>
      </w:pPr>
      <w:r>
        <w:rPr>
          <w:b/>
          <w:bCs/>
          <w:color w:val="146C43"/>
          <w:sz w:val="20"/>
          <w:szCs w:val="20"/>
        </w:rPr>
        <w:t xml:space="preserve">Destiné aux utilisateurs de l’équipe</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320"/>
      </w:pPr>
      <w:r>
        <w:t xml:space="preserve">1. À quoi sert Korrect’eau ?</w:t>
      </w:r>
    </w:p>
    <w:p>
      <w:pPr>
        <w:spacing w:after="120" w:line="276"/>
      </w:pPr>
      <w:r>
        <w:t xml:space="preserve">Korrect’eau vérifie la qualité des données de compteurs d’eau. Vous lui fournissez vos fichiers Excel, il les analyse automatiquement et produit des rapports qui listent les anomalies (erreurs ou incohérences de saisie), avec les cellules concernées surlignées en rouge et, quand c’est possible, une correction proposée.</w:t>
      </w:r>
    </w:p>
    <w:p>
      <w:pPr>
        <w:spacing w:after="120" w:line="276"/>
      </w:pPr>
      <w:r>
        <w:t xml:space="preserve">Trois types de fichiers sont pris en charge, selon la façon dont le compteur est relevé :</w:t>
      </w:r>
    </w:p>
    <w:p>
      <w:pPr>
        <w:pStyle w:val="ListParagraph"/>
        <w:numPr>
          <w:ilvl w:val="0"/>
          <w:numId w:val="2"/>
        </w:numPr>
        <w:spacing w:after="60"/>
      </w:pPr>
      <w:r>
        <w:rPr>
          <w:b w:val="false"/>
          <w:bCs w:val="false"/>
        </w:rPr>
        <w:t xml:space="preserve">📻 Radiorelève — compteurs lus à distance par radio.</w:t>
      </w:r>
    </w:p>
    <w:p>
      <w:pPr>
        <w:pStyle w:val="ListParagraph"/>
        <w:numPr>
          <w:ilvl w:val="0"/>
          <w:numId w:val="2"/>
        </w:numPr>
        <w:spacing w:after="60"/>
      </w:pPr>
      <w:r>
        <w:rPr>
          <w:b w:val="false"/>
          <w:bCs w:val="false"/>
        </w:rPr>
        <w:t xml:space="preserve">📡 Télérelève — compteurs lus par télérelève.</w:t>
      </w:r>
    </w:p>
    <w:p>
      <w:pPr>
        <w:pStyle w:val="ListParagraph"/>
        <w:numPr>
          <w:ilvl w:val="0"/>
          <w:numId w:val="2"/>
        </w:numPr>
        <w:spacing w:after="60"/>
      </w:pPr>
      <w:r>
        <w:rPr>
          <w:b w:val="false"/>
          <w:bCs w:val="false"/>
        </w:rPr>
        <w:t xml:space="preserve">📝 Manuelle — compteurs saisis manuellement.</w:t>
      </w:r>
    </w:p>
    <w:p>
      <w:pPr>
        <w:spacing w:after="120" w:line="276"/>
      </w:pPr>
      <w:r>
        <w:t xml:space="preserve">Vous n’êtes pas obligé de fournir les trois : au moins un fichier suffit.</w:t>
      </w:r>
    </w:p>
    <w:p>
      <w:pPr>
        <w:pStyle w:val="Heading1"/>
        <w:spacing w:after="140" w:before="320"/>
      </w:pPr>
      <w:r>
        <w:t xml:space="preserve">2. Où se trouve le logiciel</w:t>
      </w:r>
    </w:p>
    <w:p>
      <w:pPr>
        <w:spacing w:after="120" w:line="276"/>
      </w:pPr>
      <w:r>
        <w:t xml:space="preserve">Le logiciel est installé sur le lecteur réseau, à l’emplacement suivant :</w:t>
      </w:r>
    </w:p>
    <w:p>
      <w:pPr>
        <w:pBdr>
          <w:left w:val="single" w:color="198754" w:sz="18" w:space="8"/>
        </w:pBdr>
        <w:shd w:fill="F1F3F5" w:color="auto" w:val="clear"/>
        <w:spacing w:after="120"/>
      </w:pPr>
      <w:r>
        <w:rPr>
          <w:rFonts w:ascii="Consolas" w:cs="Consolas" w:eastAsia="Consolas" w:hAnsi="Consolas"/>
          <w:sz w:val="19"/>
          <w:szCs w:val="19"/>
        </w:rPr>
        <w:t xml:space="preserve">S:\Technique\9. Télérelève\1. Opérationnel\2. Compteurs\4. Données patrimoniales\3. Korrect'eau</w:t>
      </w:r>
    </w:p>
    <w:p>
      <w:pPr>
        <w:spacing w:after="120" w:line="276"/>
      </w:pPr>
      <w:r>
        <w:t xml:space="preserve">Pour lancer l’application, double-cliquez sur Korrect’eau.exe.</w:t>
      </w:r>
    </w:p>
    <w:p>
      <w:pPr>
        <w:pStyle w:val="Heading1"/>
        <w:spacing w:after="140" w:before="320"/>
      </w:pPr>
      <w:r>
        <w:t xml:space="preserve">3. Où télécharger les données à analyser</w:t>
      </w:r>
    </w:p>
    <w:p>
      <w:pPr>
        <w:spacing w:after="120" w:line="276"/>
      </w:pPr>
      <w:r>
        <w:t xml:space="preserve">Les données proviennent du Power BI Exploitation. Pour chaque mode de relève, procédez ainsi :</w:t>
      </w:r>
    </w:p>
    <w:p>
      <w:pPr>
        <w:pStyle w:val="ListParagraph"/>
        <w:numPr>
          <w:ilvl w:val="0"/>
          <w:numId w:val="3"/>
        </w:numPr>
        <w:spacing w:after="80"/>
      </w:pPr>
      <w:r>
        <w:t xml:space="preserve">Choisir le mode de relève à analyser (Manuelle, Radiorelève ou Télérelève) — voir capture 1.</w:t>
      </w:r>
    </w:p>
    <w:p>
      <w:pPr>
        <w:spacing w:after="40" w:before="100"/>
        <w:jc w:val="center"/>
      </w:pPr>
      <w:r>
        <w:drawing>
          <wp:inline distT="0" distB="0" distL="0" distR="0">
            <wp:extent cx="57150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800100"/>
                    </a:xfrm>
                    <a:prstGeom prst="rect">
                      <a:avLst/>
                    </a:prstGeom>
                  </pic:spPr>
                </pic:pic>
              </a:graphicData>
            </a:graphic>
          </wp:inline>
        </w:drawing>
      </w:r>
    </w:p>
    <w:p>
      <w:pPr>
        <w:spacing w:after="140"/>
        <w:jc w:val="center"/>
      </w:pPr>
      <w:r>
        <w:rPr>
          <w:i/>
          <w:iCs/>
          <w:color w:val="6C757D"/>
          <w:sz w:val="18"/>
          <w:szCs w:val="18"/>
        </w:rPr>
        <w:t xml:space="preserve">Capture 1 — sélection du « Mode de relève » dans le Power BI Exploitation</w:t>
      </w:r>
    </w:p>
    <w:p>
      <w:pPr>
        <w:pStyle w:val="ListParagraph"/>
        <w:numPr>
          <w:ilvl w:val="0"/>
          <w:numId w:val="3"/>
        </w:numPr>
        <w:spacing w:after="80"/>
      </w:pPr>
      <w:r>
        <w:t xml:space="preserve">Filtrer le Code branchement sur 0, afin de ne garder que les compteurs actifs — voir capture 2.</w:t>
      </w:r>
    </w:p>
    <w:p>
      <w:pPr>
        <w:spacing w:after="40" w:before="100"/>
        <w:jc w:val="center"/>
      </w:pPr>
      <w:r>
        <w:drawing>
          <wp:inline distT="0" distB="0" distL="0" distR="0">
            <wp:extent cx="57150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781050"/>
                    </a:xfrm>
                    <a:prstGeom prst="rect">
                      <a:avLst/>
                    </a:prstGeom>
                  </pic:spPr>
                </pic:pic>
              </a:graphicData>
            </a:graphic>
          </wp:inline>
        </w:drawing>
      </w:r>
    </w:p>
    <w:p>
      <w:pPr>
        <w:spacing w:after="140"/>
        <w:jc w:val="center"/>
      </w:pPr>
      <w:r>
        <w:rPr>
          <w:i/>
          <w:iCs/>
          <w:color w:val="6C757D"/>
          <w:sz w:val="18"/>
          <w:szCs w:val="18"/>
        </w:rPr>
        <w:t xml:space="preserve">Capture 2 — filtre « Code branchement » = 0 (compteurs actifs)</w:t>
      </w:r>
    </w:p>
    <w:p>
      <w:pPr>
        <w:pStyle w:val="ListParagraph"/>
        <w:numPr>
          <w:ilvl w:val="0"/>
          <w:numId w:val="3"/>
        </w:numPr>
        <w:spacing w:after="80"/>
      </w:pPr>
      <w:r>
        <w:t xml:space="preserve">Passer le tableau des données en mode Focus (icône en haut à droite de la visualisation) — voir capture 3.</w:t>
      </w:r>
    </w:p>
    <w:p>
      <w:pPr>
        <w:spacing w:after="40" w:before="100"/>
        <w:jc w:val="center"/>
      </w:pPr>
      <w:r>
        <w:drawing>
          <wp:inline distT="0" distB="0" distL="0" distR="0">
            <wp:extent cx="571500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495425"/>
                    </a:xfrm>
                    <a:prstGeom prst="rect">
                      <a:avLst/>
                    </a:prstGeom>
                  </pic:spPr>
                </pic:pic>
              </a:graphicData>
            </a:graphic>
          </wp:inline>
        </w:drawing>
      </w:r>
    </w:p>
    <w:p>
      <w:pPr>
        <w:spacing w:after="140"/>
        <w:jc w:val="center"/>
      </w:pPr>
      <w:r>
        <w:rPr>
          <w:i/>
          <w:iCs/>
          <w:color w:val="6C757D"/>
          <w:sz w:val="18"/>
          <w:szCs w:val="18"/>
        </w:rPr>
        <w:t xml:space="preserve">Capture 3 — tableau des données en mode Focus</w:t>
      </w:r>
    </w:p>
    <w:p>
      <w:pPr>
        <w:pStyle w:val="ListParagraph"/>
        <w:numPr>
          <w:ilvl w:val="0"/>
          <w:numId w:val="3"/>
        </w:numPr>
        <w:spacing w:after="80"/>
      </w:pPr>
      <w:r>
        <w:t xml:space="preserve">Cliquer sur les trois petits points « ⋯ » en haut à droite du tableau, puis sur « Exporter les données ».</w:t>
      </w:r>
    </w:p>
    <w:p>
      <w:pPr>
        <w:pBdr>
          <w:left w:val="single" w:color="198754" w:sz="24" w:space="10"/>
        </w:pBdr>
        <w:shd w:fill="E9F5EE" w:color="auto" w:val="clear"/>
        <w:spacing w:after="140" w:before="80"/>
      </w:pPr>
      <w:r>
        <w:rPr>
          <w:b/>
          <w:bCs/>
          <w:color w:val="146C43"/>
        </w:rPr>
        <w:t xml:space="preserve">ℹ  </w:t>
      </w:r>
      <w:r>
        <w:t xml:space="preserve">Astuce : téléchargez un fichier par mode de relève (Radio, Télé, Manuelle), puis chargez-les dans les zones correspondantes de Korrect’eau. Les deux dernières lignes de chaque export (lignes de total) sont ignorées automatiquement.</w:t>
      </w:r>
    </w:p>
    <w:p>
      <w:pPr>
        <w:pStyle w:val="Heading1"/>
        <w:spacing w:after="140" w:before="320"/>
      </w:pPr>
      <w:r>
        <w:t xml:space="preserve">4. Lancer le logiciel</w:t>
      </w:r>
    </w:p>
    <w:p>
      <w:pPr>
        <w:pStyle w:val="ListParagraph"/>
        <w:numPr>
          <w:ilvl w:val="0"/>
          <w:numId w:val="3"/>
        </w:numPr>
        <w:spacing w:after="80"/>
      </w:pPr>
      <w:r>
        <w:t xml:space="preserve">Double-cliquez sur le fichier Korrect’eau.exe.</w:t>
      </w:r>
    </w:p>
    <w:p>
      <w:pPr>
        <w:pStyle w:val="ListParagraph"/>
        <w:numPr>
          <w:ilvl w:val="0"/>
          <w:numId w:val="3"/>
        </w:numPr>
        <w:spacing w:after="80"/>
      </w:pPr>
      <w:r>
        <w:t xml:space="preserve">La fenêtre de l’application s’ouvre. Aucune installation n’est nécessaire.</w:t>
      </w:r>
    </w:p>
    <w:p>
      <w:pPr>
        <w:pBdr>
          <w:left w:val="single" w:color="198754" w:sz="24" w:space="10"/>
        </w:pBdr>
        <w:shd w:fill="E9F5EE" w:color="auto" w:val="clear"/>
        <w:spacing w:after="140" w:before="80"/>
      </w:pPr>
      <w:r>
        <w:rPr>
          <w:b/>
          <w:bCs/>
          <w:color w:val="146C43"/>
        </w:rPr>
        <w:t xml:space="preserve">ℹ  </w:t>
      </w:r>
      <w:r>
        <w:t xml:space="preserve">Si Windows ou l’antivirus affiche un avertissement au premier lancement (« Éditeur inconnu »), autorisez l’application : « Informations complémentaires » puis « Exécuter quand même ». C’est un faux positif classique. En cas de blocage, contactez votre administrateur.</w:t>
      </w:r>
    </w:p>
    <w:p>
      <w:pPr>
        <w:pStyle w:val="Heading1"/>
        <w:spacing w:after="140" w:before="320"/>
      </w:pPr>
      <w:r>
        <w:t xml:space="preserve">5. Utiliser le logiciel</w:t>
      </w:r>
    </w:p>
    <w:p>
      <w:pPr>
        <w:pStyle w:val="Heading3"/>
        <w:spacing w:after="80" w:before="180"/>
      </w:pPr>
      <w:r>
        <w:t xml:space="preserve">Étape 1 — Sélectionner vos fichiers</w:t>
      </w:r>
    </w:p>
    <w:p>
      <w:pPr>
        <w:spacing w:after="120" w:line="276"/>
      </w:pPr>
      <w:r>
        <w:t xml:space="preserve">Deux méthodes au choix pour chaque type (Radiorelève, Télérelève, Manuelle) :</w:t>
      </w:r>
    </w:p>
    <w:p>
      <w:pPr>
        <w:pStyle w:val="ListParagraph"/>
        <w:numPr>
          <w:ilvl w:val="0"/>
          <w:numId w:val="2"/>
        </w:numPr>
        <w:spacing w:after="60"/>
      </w:pPr>
      <w:r>
        <w:rPr>
          <w:b w:val="false"/>
          <w:bCs w:val="false"/>
        </w:rPr>
        <w:t xml:space="preserve">Glissez-déposez le fichier Excel dans la zone correspondante, ou</w:t>
      </w:r>
    </w:p>
    <w:p>
      <w:pPr>
        <w:pStyle w:val="ListParagraph"/>
        <w:numPr>
          <w:ilvl w:val="0"/>
          <w:numId w:val="2"/>
        </w:numPr>
        <w:spacing w:after="60"/>
      </w:pPr>
      <w:r>
        <w:rPr>
          <w:b w:val="false"/>
          <w:bCs w:val="false"/>
        </w:rPr>
        <w:t xml:space="preserve">Cliquez sur « 📁 Sélectionner fichier » et choisissez-le.</w:t>
      </w:r>
    </w:p>
    <w:p>
      <w:pPr>
        <w:spacing w:after="120" w:line="276"/>
      </w:pPr>
      <w:r>
        <w:t xml:space="preserve">Une coche verte ✓ confirme que le fichier est valide. Remplissez au moins une des trois zones.</w:t>
      </w:r>
    </w:p>
    <w:p>
      <w:pPr>
        <w:pStyle w:val="Heading3"/>
        <w:spacing w:after="80" w:before="180"/>
      </w:pPr>
      <w:r>
        <w:t xml:space="preserve">Étape 2 — Choisir le dossier de sortie</w:t>
      </w:r>
    </w:p>
    <w:p>
      <w:pPr>
        <w:spacing w:after="120" w:line="276"/>
      </w:pPr>
      <w:r>
        <w:t xml:space="preserve">Cliquez sur « 📂 Parcourir » et choisissez le dossier où seront enregistrés les rapports.</w:t>
      </w:r>
    </w:p>
    <w:p>
      <w:pPr>
        <w:pStyle w:val="Heading3"/>
        <w:spacing w:after="80" w:before="180"/>
      </w:pPr>
      <w:r>
        <w:t xml:space="preserve">Étape 3 — Lancer l’analyse</w:t>
      </w:r>
    </w:p>
    <w:p>
      <w:pPr>
        <w:pStyle w:val="ListParagraph"/>
        <w:numPr>
          <w:ilvl w:val="0"/>
          <w:numId w:val="3"/>
        </w:numPr>
        <w:spacing w:after="80"/>
      </w:pPr>
      <w:r>
        <w:t xml:space="preserve">Cliquez sur le bouton vert « 🚀 ANALYSER LES DONNÉES ».</w:t>
      </w:r>
    </w:p>
    <w:p>
      <w:pPr>
        <w:pStyle w:val="ListParagraph"/>
        <w:numPr>
          <w:ilvl w:val="0"/>
          <w:numId w:val="3"/>
        </w:numPr>
        <w:spacing w:after="80"/>
      </w:pPr>
      <w:r>
        <w:t xml:space="preserve">Suivez la barre de progression. Ne fermez pas la fenêtre pendant l’analyse.</w:t>
      </w:r>
    </w:p>
    <w:p>
      <w:pPr>
        <w:pStyle w:val="ListParagraph"/>
        <w:numPr>
          <w:ilvl w:val="0"/>
          <w:numId w:val="3"/>
        </w:numPr>
        <w:spacing w:after="80"/>
      </w:pPr>
      <w:r>
        <w:t xml:space="preserve">À la fin, une fenêtre propose d’ouvrir le dossier des résultats.</w:t>
      </w:r>
    </w:p>
    <w:p>
      <w:pPr>
        <w:pBdr>
          <w:left w:val="single" w:color="198754" w:sz="24" w:space="10"/>
        </w:pBdr>
        <w:shd w:fill="E9F5EE" w:color="auto" w:val="clear"/>
        <w:spacing w:after="140" w:before="80"/>
      </w:pPr>
      <w:r>
        <w:rPr>
          <w:b/>
          <w:bCs/>
          <w:color w:val="146C43"/>
        </w:rPr>
        <w:t xml:space="preserve">ℹ  </w:t>
      </w:r>
      <w:r>
        <w:t xml:space="preserve">Le bouton 🔄 (en haut à droite) remet l’application à zéro si vous voulez recommencer avec d’autres fichiers.</w:t>
      </w:r>
    </w:p>
    <w:p>
      <w:pPr>
        <w:pStyle w:val="Heading1"/>
        <w:spacing w:after="140" w:before="320"/>
      </w:pPr>
      <w:r>
        <w:t xml:space="preserve">6. Comprendre les rapports générés</w:t>
      </w:r>
    </w:p>
    <w:p>
      <w:pPr>
        <w:spacing w:after="120" w:line="276"/>
      </w:pPr>
      <w:r>
        <w:t xml:space="preserve">Le logiciel crée automatiquement deux familles de rapports Excel dans le dossier de sortie.</w:t>
      </w:r>
    </w:p>
    <w:p>
      <w:pPr>
        <w:pStyle w:val="Heading2"/>
        <w:spacing w:after="100" w:before="240"/>
      </w:pPr>
      <w:r>
        <w:t xml:space="preserve">Rapports par mode</w:t>
      </w:r>
    </w:p>
    <w:p>
      <w:pPr>
        <w:pStyle w:val="ListParagraph"/>
        <w:numPr>
          <w:ilvl w:val="0"/>
          <w:numId w:val="2"/>
        </w:numPr>
        <w:spacing w:after="60"/>
      </w:pPr>
      <w:r>
        <w:rPr>
          <w:b w:val="false"/>
          <w:bCs w:val="false"/>
        </w:rPr>
        <w:t xml:space="preserve">Un fichier par type analysé, par exemple Rapport_Radioreleve_2025_Janvier.xlsx.</w:t>
      </w:r>
    </w:p>
    <w:p>
      <w:pPr>
        <w:spacing w:after="120" w:line="276"/>
      </w:pPr>
      <w:r>
        <w:t xml:space="preserve">Chacun contient :</w:t>
      </w:r>
    </w:p>
    <w:p>
      <w:pPr>
        <w:pStyle w:val="ListParagraph"/>
        <w:numPr>
          <w:ilvl w:val="1"/>
          <w:numId w:val="2"/>
        </w:numPr>
        <w:spacing w:after="60"/>
      </w:pPr>
      <w:r>
        <w:rPr>
          <w:b w:val="false"/>
          <w:bCs w:val="false"/>
        </w:rPr>
        <w:t xml:space="preserve">un onglet « Récapitulatif » (nombre de cas par anomalie, avec liens cliquables et nombre de corrections proposées),</w:t>
      </w:r>
    </w:p>
    <w:p>
      <w:pPr>
        <w:pStyle w:val="ListParagraph"/>
        <w:numPr>
          <w:ilvl w:val="1"/>
          <w:numId w:val="2"/>
        </w:numPr>
        <w:spacing w:after="60"/>
      </w:pPr>
      <w:r>
        <w:rPr>
          <w:b w:val="false"/>
          <w:bCs w:val="false"/>
        </w:rPr>
        <w:t xml:space="preserve">un onglet « Toutes_Anomalies » (toutes les lignes concernées),</w:t>
      </w:r>
    </w:p>
    <w:p>
      <w:pPr>
        <w:pStyle w:val="ListParagraph"/>
        <w:numPr>
          <w:ilvl w:val="1"/>
          <w:numId w:val="2"/>
        </w:numPr>
        <w:spacing w:after="60"/>
      </w:pPr>
      <w:r>
        <w:rPr>
          <w:b w:val="false"/>
          <w:bCs w:val="false"/>
        </w:rPr>
        <w:t xml:space="preserve">un onglet par type d’anomalie, avec les cellules fautives surlignées en rouge.</w:t>
      </w:r>
    </w:p>
    <w:p>
      <w:pPr>
        <w:pStyle w:val="Heading2"/>
        <w:spacing w:after="100" w:before="240"/>
      </w:pPr>
      <w:r>
        <w:t xml:space="preserve">Rapports par Traité</w:t>
      </w:r>
    </w:p>
    <w:p>
      <w:pPr>
        <w:pStyle w:val="ListParagraph"/>
        <w:numPr>
          <w:ilvl w:val="0"/>
          <w:numId w:val="2"/>
        </w:numPr>
        <w:spacing w:after="60"/>
      </w:pPr>
      <w:r>
        <w:rPr>
          <w:b w:val="false"/>
          <w:bCs w:val="false"/>
        </w:rPr>
        <w:t xml:space="preserve">Dans un sous-dossier « Traites/ », un fichier par secteur, regroupé sur les 3 premiers chiffres du champ « Traité » (ex. Anomalies_Traite_965_2025_Janvier.xlsx).</w:t>
      </w:r>
    </w:p>
    <w:p>
      <w:pPr>
        <w:spacing w:after="120" w:line="276"/>
      </w:pPr>
      <w:r>
        <w:t xml:space="preserve">Même structure : récapitulatif, toutes les anomalies, puis un onglet par type.</w:t>
      </w:r>
    </w:p>
    <w:p>
      <w:pPr>
        <w:pStyle w:val="Heading1"/>
        <w:spacing w:after="140" w:before="320"/>
      </w:pPr>
      <w:r>
        <w:t xml:space="preserve">7. Les contrôles effectués</w:t>
      </w:r>
    </w:p>
    <w:p>
      <w:pPr>
        <w:spacing w:after="120" w:line="276"/>
      </w:pPr>
      <w:r>
        <w:t xml:space="preserve">Voici, en langage clair, les principales vérifications réalisées par le logiciel.</w:t>
      </w:r>
    </w:p>
    <w:tbl>
      <w:tblPr>
        <w:tblW w:type="dxa" w:w="9400"/>
        <w:tblBorders>
          <w:top w:val="single" w:color="CED4DA" w:sz="4"/>
          <w:left w:val="single" w:color="CED4DA" w:sz="4"/>
          <w:bottom w:val="single" w:color="CED4DA" w:sz="4"/>
          <w:right w:val="single" w:color="CED4DA" w:sz="4"/>
          <w:insideH w:val="single" w:color="DEE2E6" w:sz="4"/>
          <w:insideV w:val="single" w:color="DEE2E6" w:sz="4"/>
        </w:tblBorders>
      </w:tblPr>
      <w:tblGrid>
        <w:gridCol w:w="3200"/>
        <w:gridCol w:w="6200"/>
      </w:tblGrid>
      <w:tr>
        <w:trPr>
          <w:tblHeader/>
        </w:trPr>
        <w:tc>
          <w:tcPr>
            <w:tcW w:type="dxa" w:w="3200"/>
            <w:shd w:fill="198754" w:color="auto" w:val="clear"/>
            <w:tcMar>
              <w:top w:type="dxa" w:w="60"/>
              <w:left w:type="dxa" w:w="100"/>
              <w:bottom w:type="dxa" w:w="60"/>
              <w:right w:type="dxa" w:w="100"/>
            </w:tcMar>
          </w:tcPr>
          <w:p>
            <w:r>
              <w:rPr>
                <w:b/>
                <w:bCs/>
                <w:color w:val="FFFFFF"/>
                <w:sz w:val="19"/>
                <w:szCs w:val="19"/>
              </w:rPr>
              <w:t xml:space="preserve">Contrôle</w:t>
            </w:r>
          </w:p>
        </w:tc>
        <w:tc>
          <w:tcPr>
            <w:tcW w:type="dxa" w:w="6200"/>
            <w:shd w:fill="198754" w:color="auto" w:val="clear"/>
            <w:tcMar>
              <w:top w:type="dxa" w:w="60"/>
              <w:left w:type="dxa" w:w="100"/>
              <w:bottom w:type="dxa" w:w="60"/>
              <w:right w:type="dxa" w:w="100"/>
            </w:tcMar>
          </w:tcPr>
          <w:p>
            <w:r>
              <w:rPr>
                <w:b/>
                <w:bCs/>
                <w:color w:val="FFFFFF"/>
                <w:sz w:val="19"/>
                <w:szCs w:val="19"/>
              </w:rPr>
              <w:t xml:space="preserve">Ce qui est vérifié</w:t>
            </w:r>
          </w:p>
        </w:tc>
      </w:tr>
      <w:tr>
        <w:tc>
          <w:tcPr>
            <w:tcW w:type="dxa" w:w="3200"/>
            <w:shd w:fill="FFFFFF" w:color="auto" w:val="clear"/>
            <w:tcMar>
              <w:top w:type="dxa" w:w="60"/>
              <w:left w:type="dxa" w:w="100"/>
              <w:bottom w:type="dxa" w:w="60"/>
              <w:right w:type="dxa" w:w="100"/>
            </w:tcMar>
          </w:tcPr>
          <w:p>
            <w:r>
              <w:rPr>
                <w:b/>
                <w:bCs/>
                <w:color w:val="212529"/>
                <w:sz w:val="19"/>
                <w:szCs w:val="19"/>
              </w:rPr>
              <w:t xml:space="preserve">Champs obligatoires</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Marque, numéro de compteur, numéro de tête, diamètre, année de fabrication, type de compteur : signalés s’ils sont manquants.</w:t>
            </w:r>
          </w:p>
        </w:tc>
      </w:tr>
      <w:tr>
        <w:tc>
          <w:tcPr>
            <w:tcW w:type="dxa" w:w="3200"/>
            <w:shd w:fill="FFFFFF" w:color="auto" w:val="clear"/>
            <w:tcMar>
              <w:top w:type="dxa" w:w="60"/>
              <w:left w:type="dxa" w:w="100"/>
              <w:bottom w:type="dxa" w:w="60"/>
              <w:right w:type="dxa" w:w="100"/>
            </w:tcMar>
          </w:tcPr>
          <w:p>
            <w:r>
              <w:rPr>
                <w:b/>
                <w:bCs/>
                <w:color w:val="212529"/>
                <w:sz w:val="19"/>
                <w:szCs w:val="19"/>
              </w:rPr>
              <w:t xml:space="preserve">Marque autorisée</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La marque doit faire partie de la liste autorisée pour le mode (radio, télé ou manuelle).</w:t>
            </w:r>
          </w:p>
        </w:tc>
      </w:tr>
      <w:tr>
        <w:tc>
          <w:tcPr>
            <w:tcW w:type="dxa" w:w="3200"/>
            <w:shd w:fill="FFFFFF" w:color="auto" w:val="clear"/>
            <w:tcMar>
              <w:top w:type="dxa" w:w="60"/>
              <w:left w:type="dxa" w:w="100"/>
              <w:bottom w:type="dxa" w:w="60"/>
              <w:right w:type="dxa" w:w="100"/>
            </w:tcMar>
          </w:tcPr>
          <w:p>
            <w:r>
              <w:rPr>
                <w:b/>
                <w:bCs/>
                <w:color w:val="212529"/>
                <w:sz w:val="19"/>
                <w:szCs w:val="19"/>
              </w:rPr>
              <w:t xml:space="preserve">Coordonnées GPS</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Latitude / longitude présentes, numériques et dans des bornes plausibles (non nulles).</w:t>
            </w:r>
          </w:p>
        </w:tc>
      </w:tr>
      <w:tr>
        <w:tc>
          <w:tcPr>
            <w:tcW w:type="dxa" w:w="3200"/>
            <w:shd w:fill="FFFFFF" w:color="auto" w:val="clear"/>
            <w:tcMar>
              <w:top w:type="dxa" w:w="60"/>
              <w:left w:type="dxa" w:w="100"/>
              <w:bottom w:type="dxa" w:w="60"/>
              <w:right w:type="dxa" w:w="100"/>
            </w:tcMar>
          </w:tcPr>
          <w:p>
            <w:r>
              <w:rPr>
                <w:b/>
                <w:bCs/>
                <w:color w:val="212529"/>
                <w:sz w:val="19"/>
                <w:szCs w:val="19"/>
              </w:rPr>
              <w:t xml:space="preserve">Protocole Radio</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En radiorelève : cohérent avec la marque et l’année (ex. KAMSTRUP = WMS ; SAPPEL ≤ 2022 = WMS, &gt; 2022 = OMS). En télérelève : cohérent avec la commune.</w:t>
            </w:r>
          </w:p>
        </w:tc>
      </w:tr>
      <w:tr>
        <w:tc>
          <w:tcPr>
            <w:tcW w:type="dxa" w:w="3200"/>
            <w:shd w:fill="FFFFFF" w:color="auto" w:val="clear"/>
            <w:tcMar>
              <w:top w:type="dxa" w:w="60"/>
              <w:left w:type="dxa" w:w="100"/>
              <w:bottom w:type="dxa" w:w="60"/>
              <w:right w:type="dxa" w:w="100"/>
            </w:tcMar>
          </w:tcPr>
          <w:p>
            <w:r>
              <w:rPr>
                <w:b/>
                <w:bCs/>
                <w:color w:val="212529"/>
                <w:sz w:val="19"/>
                <w:szCs w:val="19"/>
              </w:rPr>
              <w:t xml:space="preserve">Commune inconnue</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Une commune absente de la liste de référence (onglet ProtocoleRadio_commune) est signalée.</w:t>
            </w:r>
          </w:p>
        </w:tc>
      </w:tr>
      <w:tr>
        <w:tc>
          <w:tcPr>
            <w:tcW w:type="dxa" w:w="3200"/>
            <w:shd w:fill="FFFFFF" w:color="auto" w:val="clear"/>
            <w:tcMar>
              <w:top w:type="dxa" w:w="60"/>
              <w:left w:type="dxa" w:w="100"/>
              <w:bottom w:type="dxa" w:w="60"/>
              <w:right w:type="dxa" w:w="100"/>
            </w:tcMar>
          </w:tcPr>
          <w:p>
            <w:r>
              <w:rPr>
                <w:b/>
                <w:bCs/>
                <w:color w:val="212529"/>
                <w:sz w:val="19"/>
                <w:szCs w:val="19"/>
              </w:rPr>
              <w:t xml:space="preserve">Format FP2E</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Un numéro qui ressemble à un FP2E (au moins 3 lettres, hors « DME ») doit respecter le format attendu : 1 lettre, 2 chiffres, 2 lettres, 6 chiffres. Sinon il est signalé « non conforme ».</w:t>
            </w:r>
          </w:p>
        </w:tc>
      </w:tr>
      <w:tr>
        <w:tc>
          <w:tcPr>
            <w:tcW w:type="dxa" w:w="3200"/>
            <w:shd w:fill="FFFFFF" w:color="auto" w:val="clear"/>
            <w:tcMar>
              <w:top w:type="dxa" w:w="60"/>
              <w:left w:type="dxa" w:w="100"/>
              <w:bottom w:type="dxa" w:w="60"/>
              <w:right w:type="dxa" w:w="100"/>
            </w:tcMar>
          </w:tcPr>
          <w:p>
            <w:r>
              <w:rPr>
                <w:b/>
                <w:bCs/>
                <w:color w:val="212529"/>
                <w:sz w:val="19"/>
                <w:szCs w:val="19"/>
              </w:rPr>
              <w:t xml:space="preserve">Année &amp; diamètre FP2E</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Pour les compteurs FP2E : l’année de fabrication et le diamètre doivent correspondre à ce qu’indique le numéro de compteur.</w:t>
            </w:r>
          </w:p>
        </w:tc>
      </w:tr>
      <w:tr>
        <w:tc>
          <w:tcPr>
            <w:tcW w:type="dxa" w:w="3200"/>
            <w:shd w:fill="FFFFFF" w:color="auto" w:val="clear"/>
            <w:tcMar>
              <w:top w:type="dxa" w:w="60"/>
              <w:left w:type="dxa" w:w="100"/>
              <w:bottom w:type="dxa" w:w="60"/>
              <w:right w:type="dxa" w:w="100"/>
            </w:tcMar>
          </w:tcPr>
          <w:p>
            <w:r>
              <w:rPr>
                <w:b/>
                <w:bCs/>
                <w:color w:val="212529"/>
                <w:sz w:val="19"/>
                <w:szCs w:val="19"/>
              </w:rPr>
              <w:t xml:space="preserve">Type de compteur</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Code de type autorisé, et cohérent avec le numéro de compteur pour les FP2E.</w:t>
            </w:r>
          </w:p>
        </w:tc>
      </w:tr>
      <w:tr>
        <w:tc>
          <w:tcPr>
            <w:tcW w:type="dxa" w:w="3200"/>
            <w:shd w:fill="FFFFFF" w:color="auto" w:val="clear"/>
            <w:tcMar>
              <w:top w:type="dxa" w:w="60"/>
              <w:left w:type="dxa" w:w="100"/>
              <w:bottom w:type="dxa" w:w="60"/>
              <w:right w:type="dxa" w:w="100"/>
            </w:tcMar>
          </w:tcPr>
          <w:p>
            <w:r>
              <w:rPr>
                <w:b/>
                <w:bCs/>
                <w:color w:val="212529"/>
                <w:sz w:val="19"/>
                <w:szCs w:val="19"/>
              </w:rPr>
              <w:t xml:space="preserve">KAMSTRUP</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Numéro = numéro de tête, numérique, diamètre dans la plage autorisée.</w:t>
            </w:r>
          </w:p>
        </w:tc>
      </w:tr>
      <w:tr>
        <w:tc>
          <w:tcPr>
            <w:tcW w:type="dxa" w:w="3200"/>
            <w:shd w:fill="FFFFFF" w:color="auto" w:val="clear"/>
            <w:tcMar>
              <w:top w:type="dxa" w:w="60"/>
              <w:left w:type="dxa" w:w="100"/>
              <w:bottom w:type="dxa" w:w="60"/>
              <w:right w:type="dxa" w:w="100"/>
            </w:tcMar>
          </w:tcPr>
          <w:p>
            <w:r>
              <w:rPr>
                <w:b/>
                <w:bCs/>
                <w:color w:val="212529"/>
                <w:sz w:val="19"/>
                <w:szCs w:val="19"/>
              </w:rPr>
              <w:t xml:space="preserve">SAPPEL / ITRON</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Préfixes attendus (C / H pour SAPPEL, I / D pour ITRON) et longueurs de tête.</w:t>
            </w:r>
          </w:p>
        </w:tc>
      </w:tr>
    </w:tbl>
    <w:p>
      <w:pPr>
        <w:spacing w:after="60"/>
      </w:pPr>
    </w:p>
    <w:p>
      <w:pPr>
        <w:pBdr>
          <w:left w:val="single" w:color="198754" w:sz="24" w:space="10"/>
        </w:pBdr>
        <w:shd w:fill="E9F5EE" w:color="auto" w:val="clear"/>
        <w:spacing w:after="140" w:before="80"/>
      </w:pPr>
      <w:r>
        <w:rPr>
          <w:b/>
          <w:bCs/>
          <w:color w:val="146C43"/>
        </w:rPr>
        <w:t xml:space="preserve">ℹ  </w:t>
      </w:r>
      <w:r>
        <w:t xml:space="preserve">Certaines anomalies s’accompagnent d’une « correction proposée » (bonne année, bon diamètre, bonne marque, bon protocole…), visible dans une colonne dédiée du rapport.</w:t>
      </w:r>
    </w:p>
    <w:p>
      <w:pPr>
        <w:pStyle w:val="Heading3"/>
        <w:spacing w:after="80" w:before="180"/>
      </w:pPr>
      <w:r>
        <w:t xml:space="preserve">Correspondance lettre FP2E → diamètre</w:t>
      </w:r>
    </w:p>
    <w:p>
      <w:pPr>
        <w:spacing w:after="120" w:line="276"/>
      </w:pPr>
      <w:r>
        <w:t xml:space="preserve">Sur un numéro FP2E, la lettre en 5ᵉ position indique le diamètre attendu. Quand une lettre accepte plusieurs diamètres, le premier sert de correction proposée (pour G : 65).</w:t>
      </w:r>
    </w:p>
    <w:tbl>
      <w:tblPr>
        <w:tblW w:type="dxa" w:w="9200"/>
        <w:tblBorders>
          <w:top w:val="single" w:color="CED4DA" w:sz="4"/>
          <w:left w:val="single" w:color="CED4DA" w:sz="4"/>
          <w:bottom w:val="single" w:color="CED4DA" w:sz="4"/>
          <w:right w:val="single" w:color="CED4DA" w:sz="4"/>
          <w:insideH w:val="single" w:color="DEE2E6" w:sz="4"/>
          <w:insideV w:val="single" w:color="DEE2E6" w:sz="4"/>
        </w:tblBorders>
      </w:tblPr>
      <w:tblGrid>
        <w:gridCol w:w="3000"/>
        <w:gridCol w:w="6200"/>
      </w:tblGrid>
      <w:tr>
        <w:trPr>
          <w:tblHeader/>
        </w:trPr>
        <w:tc>
          <w:tcPr>
            <w:tcW w:type="dxa" w:w="3000"/>
            <w:shd w:fill="198754" w:color="auto" w:val="clear"/>
            <w:tcMar>
              <w:top w:type="dxa" w:w="60"/>
              <w:left w:type="dxa" w:w="100"/>
              <w:bottom w:type="dxa" w:w="60"/>
              <w:right w:type="dxa" w:w="100"/>
            </w:tcMar>
          </w:tcPr>
          <w:p>
            <w:r>
              <w:rPr>
                <w:b/>
                <w:bCs/>
                <w:color w:val="FFFFFF"/>
                <w:sz w:val="19"/>
                <w:szCs w:val="19"/>
              </w:rPr>
              <w:t xml:space="preserve">Lettre</w:t>
            </w:r>
          </w:p>
        </w:tc>
        <w:tc>
          <w:tcPr>
            <w:tcW w:type="dxa" w:w="6200"/>
            <w:shd w:fill="198754" w:color="auto" w:val="clear"/>
            <w:tcMar>
              <w:top w:type="dxa" w:w="60"/>
              <w:left w:type="dxa" w:w="100"/>
              <w:bottom w:type="dxa" w:w="60"/>
              <w:right w:type="dxa" w:w="100"/>
            </w:tcMar>
          </w:tcPr>
          <w:p>
            <w:r>
              <w:rPr>
                <w:b/>
                <w:bCs/>
                <w:color w:val="FFFFFF"/>
                <w:sz w:val="19"/>
                <w:szCs w:val="19"/>
              </w:rPr>
              <w:t xml:space="preserve">Diamètre (mm)</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A / U</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15</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B</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20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C</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25</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D</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30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E</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40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F</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50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G</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60 ou 65 (correction proposée : 65)</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H</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80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I</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100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J</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125</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K</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150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L</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200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M</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250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N</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300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O</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350</w:t>
            </w:r>
          </w:p>
        </w:tc>
      </w:tr>
      <w:tr>
        <w:tc>
          <w:tcPr>
            <w:tcW w:type="dxa" w:w="3000"/>
            <w:shd w:fill="FFFFFF" w:color="auto" w:val="clear"/>
            <w:tcMar>
              <w:top w:type="dxa" w:w="60"/>
              <w:left w:type="dxa" w:w="100"/>
              <w:bottom w:type="dxa" w:w="60"/>
              <w:right w:type="dxa" w:w="100"/>
            </w:tcMar>
          </w:tcPr>
          <w:p>
            <w:r>
              <w:rPr>
                <w:b w:val="false"/>
                <w:bCs w:val="false"/>
                <w:color w:val="212529"/>
                <w:sz w:val="19"/>
                <w:szCs w:val="19"/>
              </w:rPr>
              <w:t xml:space="preserve">P</w:t>
            </w:r>
          </w:p>
        </w:tc>
        <w:tc>
          <w:tcPr>
            <w:tcW w:type="dxa" w:w="6200"/>
            <w:shd w:fill="FFFFFF" w:color="auto" w:val="clear"/>
            <w:tcMar>
              <w:top w:type="dxa" w:w="60"/>
              <w:left w:type="dxa" w:w="100"/>
              <w:bottom w:type="dxa" w:w="60"/>
              <w:right w:type="dxa" w:w="100"/>
            </w:tcMar>
          </w:tcPr>
          <w:p>
            <w:r>
              <w:rPr>
                <w:b w:val="false"/>
                <w:bCs w:val="false"/>
                <w:color w:val="212529"/>
                <w:sz w:val="19"/>
                <w:szCs w:val="19"/>
              </w:rPr>
              <w:t xml:space="preserve">400</w:t>
            </w:r>
          </w:p>
        </w:tc>
      </w:tr>
    </w:tbl>
    <w:p>
      <w:pPr>
        <w:pStyle w:val="Heading1"/>
        <w:spacing w:after="140" w:before="320"/>
      </w:pPr>
      <w:r>
        <w:t xml:space="preserve">8. Ajuster les règles (avancé)</w:t>
      </w:r>
    </w:p>
    <w:p>
      <w:pPr>
        <w:spacing w:after="120" w:line="276"/>
      </w:pPr>
      <w:r>
        <w:t xml:space="preserve">Une partie des règles peut être ajustée sans informaticien, via un fichier Excel de configuration.</w:t>
      </w:r>
    </w:p>
    <w:p>
      <w:pPr>
        <w:pStyle w:val="ListParagraph"/>
        <w:numPr>
          <w:ilvl w:val="0"/>
          <w:numId w:val="3"/>
        </w:numPr>
        <w:spacing w:after="80"/>
      </w:pPr>
      <w:r>
        <w:t xml:space="preserve">Dans l’application, cliquez sur « ⚙ Règles » (en haut à droite). Le fichier regles_anomalies.xlsx s’ouvre (il est créé au besoin).</w:t>
      </w:r>
    </w:p>
    <w:p>
      <w:pPr>
        <w:pStyle w:val="ListParagraph"/>
        <w:numPr>
          <w:ilvl w:val="0"/>
          <w:numId w:val="3"/>
        </w:numPr>
        <w:spacing w:after="80"/>
      </w:pPr>
      <w:r>
        <w:t xml:space="preserve">Modifiez les onglets voulus (marques autorisées, types, plages de diamètre, protocoles par commune, etc.).</w:t>
      </w:r>
    </w:p>
    <w:p>
      <w:pPr>
        <w:pStyle w:val="ListParagraph"/>
        <w:numPr>
          <w:ilvl w:val="0"/>
          <w:numId w:val="3"/>
        </w:numPr>
        <w:spacing w:after="80"/>
      </w:pPr>
      <w:r>
        <w:t xml:space="preserve">Enregistrez, fermez le fichier, puis relancez une analyse.</w:t>
      </w:r>
    </w:p>
    <w:p>
      <w:pPr>
        <w:pBdr>
          <w:left w:val="single" w:color="198754" w:sz="24" w:space="10"/>
        </w:pBdr>
        <w:shd w:fill="E9F5EE" w:color="auto" w:val="clear"/>
        <w:spacing w:after="140" w:before="80"/>
      </w:pPr>
      <w:r>
        <w:rPr>
          <w:b/>
          <w:bCs/>
          <w:color w:val="146C43"/>
        </w:rPr>
        <w:t xml:space="preserve">ℹ  </w:t>
      </w:r>
      <w:r>
        <w:t xml:space="preserve">En cas d’erreur de saisie dans ce fichier, l’application revient automatiquement aux valeurs par défaut : elle ne plante pas. Pour les détails, voir la documentation technique.</w:t>
      </w:r>
    </w:p>
    <w:p>
      <w:pPr>
        <w:pStyle w:val="Heading1"/>
        <w:spacing w:after="140" w:before="320"/>
      </w:pPr>
      <w:r>
        <w:t xml:space="preserve">9. Questions fréquentes</w:t>
      </w:r>
    </w:p>
    <w:tbl>
      <w:tblPr>
        <w:tblW w:type="dxa" w:w="9400"/>
        <w:tblBorders>
          <w:top w:val="single" w:color="CED4DA" w:sz="4"/>
          <w:left w:val="single" w:color="CED4DA" w:sz="4"/>
          <w:bottom w:val="single" w:color="CED4DA" w:sz="4"/>
          <w:right w:val="single" w:color="CED4DA" w:sz="4"/>
          <w:insideH w:val="single" w:color="DEE2E6" w:sz="4"/>
          <w:insideV w:val="single" w:color="DEE2E6" w:sz="4"/>
        </w:tblBorders>
      </w:tblPr>
      <w:tblGrid>
        <w:gridCol w:w="3400"/>
        <w:gridCol w:w="6000"/>
      </w:tblGrid>
      <w:tr>
        <w:trPr>
          <w:tblHeader/>
        </w:trPr>
        <w:tc>
          <w:tcPr>
            <w:tcW w:type="dxa" w:w="3400"/>
            <w:shd w:fill="198754" w:color="auto" w:val="clear"/>
            <w:tcMar>
              <w:top w:type="dxa" w:w="60"/>
              <w:left w:type="dxa" w:w="100"/>
              <w:bottom w:type="dxa" w:w="60"/>
              <w:right w:type="dxa" w:w="100"/>
            </w:tcMar>
          </w:tcPr>
          <w:p>
            <w:r>
              <w:rPr>
                <w:b/>
                <w:bCs/>
                <w:color w:val="FFFFFF"/>
                <w:sz w:val="19"/>
                <w:szCs w:val="19"/>
              </w:rPr>
              <w:t xml:space="preserve">Question</w:t>
            </w:r>
          </w:p>
        </w:tc>
        <w:tc>
          <w:tcPr>
            <w:tcW w:type="dxa" w:w="6000"/>
            <w:shd w:fill="198754" w:color="auto" w:val="clear"/>
            <w:tcMar>
              <w:top w:type="dxa" w:w="60"/>
              <w:left w:type="dxa" w:w="100"/>
              <w:bottom w:type="dxa" w:w="60"/>
              <w:right w:type="dxa" w:w="100"/>
            </w:tcMar>
          </w:tcPr>
          <w:p>
            <w:r>
              <w:rPr>
                <w:b/>
                <w:bCs/>
                <w:color w:val="FFFFFF"/>
                <w:sz w:val="19"/>
                <w:szCs w:val="19"/>
              </w:rPr>
              <w:t xml:space="preserve">Réponse</w:t>
            </w:r>
          </w:p>
        </w:tc>
      </w:tr>
      <w:tr>
        <w:tc>
          <w:tcPr>
            <w:tcW w:type="dxa" w:w="3400"/>
            <w:shd w:fill="FFFFFF" w:color="auto" w:val="clear"/>
            <w:tcMar>
              <w:top w:type="dxa" w:w="60"/>
              <w:left w:type="dxa" w:w="100"/>
              <w:bottom w:type="dxa" w:w="60"/>
              <w:right w:type="dxa" w:w="100"/>
            </w:tcMar>
          </w:tcPr>
          <w:p>
            <w:r>
              <w:rPr>
                <w:b w:val="false"/>
                <w:bCs w:val="false"/>
                <w:color w:val="212529"/>
                <w:sz w:val="19"/>
                <w:szCs w:val="19"/>
              </w:rPr>
              <w:t xml:space="preserve">« Veuillez sélectionner au moins un fichier »</w:t>
            </w:r>
          </w:p>
        </w:tc>
        <w:tc>
          <w:tcPr>
            <w:tcW w:type="dxa" w:w="6000"/>
            <w:shd w:fill="FFFFFF" w:color="auto" w:val="clear"/>
            <w:tcMar>
              <w:top w:type="dxa" w:w="60"/>
              <w:left w:type="dxa" w:w="100"/>
              <w:bottom w:type="dxa" w:w="60"/>
              <w:right w:type="dxa" w:w="100"/>
            </w:tcMar>
          </w:tcPr>
          <w:p>
            <w:r>
              <w:rPr>
                <w:b w:val="false"/>
                <w:bCs w:val="false"/>
                <w:color w:val="212529"/>
                <w:sz w:val="19"/>
                <w:szCs w:val="19"/>
              </w:rPr>
              <w:t xml:space="preserve">Vous devez fournir au moins un des trois fichiers (radio, télé ou manuelle).</w:t>
            </w:r>
          </w:p>
        </w:tc>
      </w:tr>
      <w:tr>
        <w:tc>
          <w:tcPr>
            <w:tcW w:type="dxa" w:w="3400"/>
            <w:shd w:fill="FFFFFF" w:color="auto" w:val="clear"/>
            <w:tcMar>
              <w:top w:type="dxa" w:w="60"/>
              <w:left w:type="dxa" w:w="100"/>
              <w:bottom w:type="dxa" w:w="60"/>
              <w:right w:type="dxa" w:w="100"/>
            </w:tcMar>
          </w:tcPr>
          <w:p>
            <w:r>
              <w:rPr>
                <w:b w:val="false"/>
                <w:bCs w:val="false"/>
                <w:color w:val="212529"/>
                <w:sz w:val="19"/>
                <w:szCs w:val="19"/>
              </w:rPr>
              <w:t xml:space="preserve">« Veuillez sélectionner un dossier de sortie »</w:t>
            </w:r>
          </w:p>
        </w:tc>
        <w:tc>
          <w:tcPr>
            <w:tcW w:type="dxa" w:w="6000"/>
            <w:shd w:fill="FFFFFF" w:color="auto" w:val="clear"/>
            <w:tcMar>
              <w:top w:type="dxa" w:w="60"/>
              <w:left w:type="dxa" w:w="100"/>
              <w:bottom w:type="dxa" w:w="60"/>
              <w:right w:type="dxa" w:w="100"/>
            </w:tcMar>
          </w:tcPr>
          <w:p>
            <w:r>
              <w:rPr>
                <w:b w:val="false"/>
                <w:bCs w:val="false"/>
                <w:color w:val="212529"/>
                <w:sz w:val="19"/>
                <w:szCs w:val="19"/>
              </w:rPr>
              <w:t xml:space="preserve">Cliquez sur « Parcourir » à l’étape 2 et choisissez un dossier.</w:t>
            </w:r>
          </w:p>
        </w:tc>
      </w:tr>
      <w:tr>
        <w:tc>
          <w:tcPr>
            <w:tcW w:type="dxa" w:w="3400"/>
            <w:shd w:fill="FFFFFF" w:color="auto" w:val="clear"/>
            <w:tcMar>
              <w:top w:type="dxa" w:w="60"/>
              <w:left w:type="dxa" w:w="100"/>
              <w:bottom w:type="dxa" w:w="60"/>
              <w:right w:type="dxa" w:w="100"/>
            </w:tcMar>
          </w:tcPr>
          <w:p>
            <w:r>
              <w:rPr>
                <w:b w:val="false"/>
                <w:bCs w:val="false"/>
                <w:color w:val="212529"/>
                <w:sz w:val="19"/>
                <w:szCs w:val="19"/>
              </w:rPr>
              <w:t xml:space="preserve">L’analyse est lente</w:t>
            </w:r>
          </w:p>
        </w:tc>
        <w:tc>
          <w:tcPr>
            <w:tcW w:type="dxa" w:w="6000"/>
            <w:shd w:fill="FFFFFF" w:color="auto" w:val="clear"/>
            <w:tcMar>
              <w:top w:type="dxa" w:w="60"/>
              <w:left w:type="dxa" w:w="100"/>
              <w:bottom w:type="dxa" w:w="60"/>
              <w:right w:type="dxa" w:w="100"/>
            </w:tcMar>
          </w:tcPr>
          <w:p>
            <w:r>
              <w:rPr>
                <w:b w:val="false"/>
                <w:bCs w:val="false"/>
                <w:color w:val="212529"/>
                <w:sz w:val="19"/>
                <w:szCs w:val="19"/>
              </w:rPr>
              <w:t xml:space="preserve">Normal pour de gros fichiers (plusieurs milliers de lignes). Ne fermez pas la fenêtre.</w:t>
            </w:r>
          </w:p>
        </w:tc>
      </w:tr>
      <w:tr>
        <w:tc>
          <w:tcPr>
            <w:tcW w:type="dxa" w:w="3400"/>
            <w:shd w:fill="FFFFFF" w:color="auto" w:val="clear"/>
            <w:tcMar>
              <w:top w:type="dxa" w:w="60"/>
              <w:left w:type="dxa" w:w="100"/>
              <w:bottom w:type="dxa" w:w="60"/>
              <w:right w:type="dxa" w:w="100"/>
            </w:tcMar>
          </w:tcPr>
          <w:p>
            <w:r>
              <w:rPr>
                <w:b w:val="false"/>
                <w:bCs w:val="false"/>
                <w:color w:val="212529"/>
                <w:sz w:val="19"/>
                <w:szCs w:val="19"/>
              </w:rPr>
              <w:t xml:space="preserve">Les rapports ne s’ouvrent pas seuls</w:t>
            </w:r>
          </w:p>
        </w:tc>
        <w:tc>
          <w:tcPr>
            <w:tcW w:type="dxa" w:w="6000"/>
            <w:shd w:fill="FFFFFF" w:color="auto" w:val="clear"/>
            <w:tcMar>
              <w:top w:type="dxa" w:w="60"/>
              <w:left w:type="dxa" w:w="100"/>
              <w:bottom w:type="dxa" w:w="60"/>
              <w:right w:type="dxa" w:w="100"/>
            </w:tcMar>
          </w:tcPr>
          <w:p>
            <w:r>
              <w:rPr>
                <w:b w:val="false"/>
                <w:bCs w:val="false"/>
                <w:color w:val="212529"/>
                <w:sz w:val="19"/>
                <w:szCs w:val="19"/>
              </w:rPr>
              <w:t xml:space="preserve">Ouvrez manuellement le dossier de sortie que vous avez choisi ; les fichiers Excel y sont.</w:t>
            </w:r>
          </w:p>
        </w:tc>
      </w:tr>
      <w:tr>
        <w:tc>
          <w:tcPr>
            <w:tcW w:type="dxa" w:w="3400"/>
            <w:shd w:fill="FFFFFF" w:color="auto" w:val="clear"/>
            <w:tcMar>
              <w:top w:type="dxa" w:w="60"/>
              <w:left w:type="dxa" w:w="100"/>
              <w:bottom w:type="dxa" w:w="60"/>
              <w:right w:type="dxa" w:w="100"/>
            </w:tcMar>
          </w:tcPr>
          <w:p>
            <w:r>
              <w:rPr>
                <w:b w:val="false"/>
                <w:bCs w:val="false"/>
                <w:color w:val="212529"/>
                <w:sz w:val="19"/>
                <w:szCs w:val="19"/>
              </w:rPr>
              <w:t xml:space="preserve">Un fichier est « non valide »</w:t>
            </w:r>
          </w:p>
        </w:tc>
        <w:tc>
          <w:tcPr>
            <w:tcW w:type="dxa" w:w="6000"/>
            <w:shd w:fill="FFFFFF" w:color="auto" w:val="clear"/>
            <w:tcMar>
              <w:top w:type="dxa" w:w="60"/>
              <w:left w:type="dxa" w:w="100"/>
              <w:bottom w:type="dxa" w:w="60"/>
              <w:right w:type="dxa" w:w="100"/>
            </w:tcMar>
          </w:tcPr>
          <w:p>
            <w:r>
              <w:rPr>
                <w:b w:val="false"/>
                <w:bCs w:val="false"/>
                <w:color w:val="212529"/>
                <w:sz w:val="19"/>
                <w:szCs w:val="19"/>
              </w:rPr>
              <w:t xml:space="preserve">Le fichier n’est pas un Excel lisible (.xlsx / .xls) ou est ouvert ailleurs. Fermez-le et réessayez.</w:t>
            </w:r>
          </w:p>
        </w:tc>
      </w:tr>
    </w:tbl>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color w:val="198754"/>
      </w:r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20" w:hanging="260"/>
      </w:pPr>
      <w:rPr>
        <w:b/>
        <w:bCs/>
        <w:color w:val="146C4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52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98754" w:sz="8" w:space="6"/>
      </w:pBdr>
      <w:spacing w:after="140" w:before="320"/>
    </w:pPr>
    <w:rPr>
      <w:b/>
      <w:bCs/>
      <w:color w:val="198754"/>
      <w:sz w:val="30"/>
      <w:szCs w:val="30"/>
    </w:rPr>
  </w:style>
  <w:style w:type="paragraph" w:styleId="Heading2">
    <w:name w:val="Heading 2"/>
    <w:basedOn w:val="Normal"/>
    <w:next w:val="Normal"/>
    <w:qFormat/>
    <w:pPr>
      <w:spacing w:after="100" w:before="240"/>
    </w:pPr>
    <w:rPr>
      <w:b/>
      <w:bCs/>
      <w:color w:val="146C43"/>
      <w:sz w:val="25"/>
      <w:szCs w:val="25"/>
    </w:rPr>
  </w:style>
  <w:style w:type="paragraph" w:styleId="Heading3">
    <w:name w:val="Heading 3"/>
    <w:basedOn w:val="Normal"/>
    <w:next w:val="Normal"/>
    <w:qFormat/>
    <w:pPr>
      <w:spacing w:after="80" w:before="180"/>
    </w:pPr>
    <w:rPr>
      <w:b/>
      <w:bCs/>
      <w:color w:val="21252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f7f696adf8ce5df8b33318b6abfe217408ae8f9.png"/><Relationship Id="rId8" Type="http://schemas.openxmlformats.org/officeDocument/2006/relationships/image" Target="media/afe7f0de5747945175184142aa68ceeb2b094793.png"/><Relationship Id="rId9" Type="http://schemas.openxmlformats.org/officeDocument/2006/relationships/image" Target="media/f7f10e9b4259e5fd711a6ca0e107aa5d56a4681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Korrect’eau</dc:title>
  <dc:creator>Korrect’eau</dc:creator>
  <cp:lastModifiedBy>Un-named</cp:lastModifiedBy>
  <cp:revision>1</cp:revision>
  <dcterms:created xsi:type="dcterms:W3CDTF">2026-09-07T08:32:49.077Z</dcterms:created>
  <dcterms:modified xsi:type="dcterms:W3CDTF">2026-09-07T08:32:49.077Z</dcterms:modified>
</cp:coreProperties>
</file>

<file path=docProps/custom.xml><?xml version="1.0" encoding="utf-8"?>
<Properties xmlns="http://schemas.openxmlformats.org/officeDocument/2006/custom-properties" xmlns:vt="http://schemas.openxmlformats.org/officeDocument/2006/docPropsVTypes"/>
</file>