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C080" w14:textId="347371A9" w:rsidR="00B152A5" w:rsidRPr="00E378A9" w:rsidRDefault="00B152A5" w:rsidP="00B152A5">
      <w:pPr>
        <w:pStyle w:val="p1"/>
        <w:rPr>
          <w:rFonts w:ascii="Garamond" w:hAnsi="Garamond"/>
        </w:rPr>
      </w:pPr>
      <w:r w:rsidRPr="00E378A9">
        <w:rPr>
          <w:rFonts w:ascii="Garamond" w:hAnsi="Garamond"/>
        </w:rPr>
        <w:t xml:space="preserve">Enacted in its modern form in 1964, </w:t>
      </w:r>
      <w:r w:rsidRPr="00E378A9">
        <w:rPr>
          <w:rFonts w:ascii="Garamond" w:hAnsi="Garamond"/>
        </w:rPr>
        <w:t>the Supplemental Nutrition Assistance Program (</w:t>
      </w:r>
      <w:r w:rsidRPr="00E378A9">
        <w:rPr>
          <w:rFonts w:ascii="Garamond" w:hAnsi="Garamond"/>
        </w:rPr>
        <w:t>SNAP</w:t>
      </w:r>
      <w:r w:rsidRPr="00E378A9">
        <w:rPr>
          <w:rFonts w:ascii="Garamond" w:hAnsi="Garamond"/>
        </w:rPr>
        <w:t>)</w:t>
      </w:r>
      <w:r w:rsidRPr="00E378A9">
        <w:rPr>
          <w:rFonts w:ascii="Garamond" w:hAnsi="Garamond"/>
        </w:rPr>
        <w:t xml:space="preserve"> is the federal government’s largest nutritional assistance program, providing nutritional assistance to 41.7 million low-income households with a budget totaling over $99.8 billion in FY 2024 (</w:t>
      </w:r>
      <w:hyperlink r:id="rId4" w:history="1">
        <w:r w:rsidRPr="00E378A9">
          <w:rPr>
            <w:rStyle w:val="Hyperlink"/>
            <w:rFonts w:ascii="Garamond" w:hAnsi="Garamond"/>
          </w:rPr>
          <w:t>USDA 2024</w:t>
        </w:r>
      </w:hyperlink>
      <w:r w:rsidRPr="00E378A9">
        <w:rPr>
          <w:rFonts w:ascii="Garamond" w:hAnsi="Garamond"/>
        </w:rPr>
        <w:t>). SNAP program design</w:t>
      </w:r>
      <w:r w:rsidRPr="00E378A9">
        <w:rPr>
          <w:rFonts w:ascii="Garamond" w:hAnsi="Garamond"/>
        </w:rPr>
        <w:t xml:space="preserve"> and funding levels are an active area of policy debate: a</w:t>
      </w:r>
      <w:r w:rsidRPr="00E378A9">
        <w:rPr>
          <w:rFonts w:ascii="Garamond" w:hAnsi="Garamond"/>
        </w:rPr>
        <w:t>dvocates for expansion argue that increased consumption oversight, stringent work requirements, and funding cuts put small retailers in rural areas at risk of closure and add administrative burdens to state agencies, exacerbating food access challenges faced by</w:t>
      </w:r>
      <w:r w:rsidR="00A514FF" w:rsidRPr="00E378A9">
        <w:rPr>
          <w:rFonts w:ascii="Garamond" w:hAnsi="Garamond"/>
        </w:rPr>
        <w:t xml:space="preserve"> the same</w:t>
      </w:r>
      <w:r w:rsidRPr="00E378A9">
        <w:rPr>
          <w:rFonts w:ascii="Garamond" w:hAnsi="Garamond"/>
        </w:rPr>
        <w:t xml:space="preserve"> communities that stand to benefit the most from SNAP (</w:t>
      </w:r>
      <w:hyperlink r:id="rId5" w:history="1">
        <w:r w:rsidRPr="00E378A9">
          <w:rPr>
            <w:rStyle w:val="Hyperlink"/>
            <w:rFonts w:ascii="Garamond" w:hAnsi="Garamond"/>
          </w:rPr>
          <w:t>FRAC</w:t>
        </w:r>
      </w:hyperlink>
      <w:r w:rsidRPr="00E378A9">
        <w:rPr>
          <w:rFonts w:ascii="Garamond" w:hAnsi="Garamond"/>
        </w:rPr>
        <w:t xml:space="preserve">, </w:t>
      </w:r>
      <w:hyperlink r:id="rId6" w:history="1">
        <w:r w:rsidRPr="00E378A9">
          <w:rPr>
            <w:rStyle w:val="Hyperlink"/>
            <w:rFonts w:ascii="Garamond" w:hAnsi="Garamond"/>
          </w:rPr>
          <w:t>CBPP</w:t>
        </w:r>
      </w:hyperlink>
      <w:r w:rsidRPr="00E378A9">
        <w:rPr>
          <w:rFonts w:ascii="Garamond" w:hAnsi="Garamond"/>
        </w:rPr>
        <w:t xml:space="preserve">). </w:t>
      </w:r>
      <w:r w:rsidRPr="00E378A9">
        <w:rPr>
          <w:rFonts w:ascii="Garamond" w:hAnsi="Garamond"/>
        </w:rPr>
        <w:t xml:space="preserve">By contrast, </w:t>
      </w:r>
      <w:r w:rsidRPr="00E378A9">
        <w:rPr>
          <w:rFonts w:ascii="Garamond" w:hAnsi="Garamond"/>
        </w:rPr>
        <w:t>advocates for reform</w:t>
      </w:r>
      <w:r w:rsidRPr="00E378A9">
        <w:rPr>
          <w:rFonts w:ascii="Garamond" w:hAnsi="Garamond"/>
        </w:rPr>
        <w:t xml:space="preserve"> and oversight</w:t>
      </w:r>
      <w:r w:rsidRPr="00E378A9">
        <w:rPr>
          <w:rFonts w:ascii="Garamond" w:hAnsi="Garamond"/>
        </w:rPr>
        <w:t xml:space="preserve"> have argued that expanding SNAP without</w:t>
      </w:r>
      <w:r w:rsidRPr="00E378A9">
        <w:rPr>
          <w:rFonts w:ascii="Garamond" w:hAnsi="Garamond"/>
        </w:rPr>
        <w:t xml:space="preserve"> restriction</w:t>
      </w:r>
      <w:r w:rsidRPr="00E378A9">
        <w:rPr>
          <w:rFonts w:ascii="Garamond" w:hAnsi="Garamond"/>
        </w:rPr>
        <w:t xml:space="preserve"> incentivizes consumption </w:t>
      </w:r>
      <w:r w:rsidRPr="00E378A9">
        <w:rPr>
          <w:rFonts w:ascii="Garamond" w:hAnsi="Garamond"/>
        </w:rPr>
        <w:t>patterns</w:t>
      </w:r>
      <w:r w:rsidRPr="00E378A9">
        <w:rPr>
          <w:rFonts w:ascii="Garamond" w:hAnsi="Garamond"/>
        </w:rPr>
        <w:t xml:space="preserve"> linked to chronic disease, diabetes, and obesity (</w:t>
      </w:r>
      <w:proofErr w:type="spellStart"/>
      <w:r w:rsidRPr="00E378A9">
        <w:rPr>
          <w:rFonts w:ascii="Garamond" w:hAnsi="Garamond"/>
        </w:rPr>
        <w:fldChar w:fldCharType="begin"/>
      </w:r>
      <w:r w:rsidRPr="00E378A9">
        <w:rPr>
          <w:rFonts w:ascii="Garamond" w:hAnsi="Garamond"/>
        </w:rPr>
        <w:instrText>HYPERLINK "https://www.hhs.gov/press-room/maha-monday-snap-waivers.html"</w:instrText>
      </w:r>
      <w:r w:rsidRPr="00E378A9">
        <w:rPr>
          <w:rFonts w:ascii="Garamond" w:hAnsi="Garamond"/>
        </w:rPr>
      </w:r>
      <w:r w:rsidRPr="00E378A9">
        <w:rPr>
          <w:rFonts w:ascii="Garamond" w:hAnsi="Garamond"/>
        </w:rPr>
        <w:fldChar w:fldCharType="separate"/>
      </w:r>
      <w:r w:rsidRPr="00E378A9">
        <w:rPr>
          <w:rStyle w:val="Hyperlink"/>
          <w:rFonts w:ascii="Garamond" w:hAnsi="Garamond"/>
        </w:rPr>
        <w:t>hhs</w:t>
      </w:r>
      <w:proofErr w:type="spellEnd"/>
      <w:r w:rsidRPr="00E378A9">
        <w:rPr>
          <w:rFonts w:ascii="Garamond" w:hAnsi="Garamond"/>
        </w:rPr>
        <w:fldChar w:fldCharType="end"/>
      </w:r>
      <w:r w:rsidRPr="00E378A9">
        <w:rPr>
          <w:rFonts w:ascii="Garamond" w:hAnsi="Garamond"/>
        </w:rPr>
        <w:t xml:space="preserve">, </w:t>
      </w:r>
      <w:hyperlink r:id="rId7" w:history="1">
        <w:r w:rsidRPr="00E378A9">
          <w:rPr>
            <w:rStyle w:val="Hyperlink"/>
            <w:rFonts w:ascii="Garamond" w:hAnsi="Garamond"/>
          </w:rPr>
          <w:t>Leung and Wolfson 2025</w:t>
        </w:r>
      </w:hyperlink>
      <w:r w:rsidRPr="00E378A9">
        <w:rPr>
          <w:rFonts w:ascii="Garamond" w:hAnsi="Garamond"/>
        </w:rPr>
        <w:t>).</w:t>
      </w:r>
      <w:r w:rsidR="00CC18F2" w:rsidRPr="00E378A9">
        <w:rPr>
          <w:rFonts w:ascii="Garamond" w:hAnsi="Garamond"/>
        </w:rPr>
        <w:t xml:space="preserve"> </w:t>
      </w:r>
      <w:r w:rsidRPr="00E378A9">
        <w:rPr>
          <w:rFonts w:ascii="Garamond" w:hAnsi="Garamond"/>
        </w:rPr>
        <w:t xml:space="preserve">While prior work evaluating SNAP program design has focused predominantly on the impact of changes in the extensive margin of SNAP (via access and eligibility) on participation and consumption, </w:t>
      </w:r>
      <w:r w:rsidR="008B5D86" w:rsidRPr="00E378A9">
        <w:rPr>
          <w:rFonts w:ascii="Garamond" w:hAnsi="Garamond"/>
        </w:rPr>
        <w:t xml:space="preserve">there has been little work characterizing how intensive margin changes in program expenditure might interact with food retail market structure and how this interaction might shape consumer behavior. For example, </w:t>
      </w:r>
      <w:hyperlink r:id="rId8" w:history="1">
        <w:r w:rsidR="008B5D86" w:rsidRPr="00E378A9">
          <w:rPr>
            <w:rStyle w:val="Hyperlink"/>
            <w:rFonts w:ascii="Garamond" w:hAnsi="Garamond"/>
          </w:rPr>
          <w:t>Anders and Rafkin (2025)</w:t>
        </w:r>
      </w:hyperlink>
      <w:r w:rsidR="008B5D86" w:rsidRPr="00E378A9">
        <w:rPr>
          <w:rFonts w:ascii="Garamond" w:hAnsi="Garamond"/>
        </w:rPr>
        <w:t xml:space="preserve"> </w:t>
      </w:r>
      <w:r w:rsidR="008B5D86" w:rsidRPr="00E378A9">
        <w:rPr>
          <w:rFonts w:ascii="Garamond" w:hAnsi="Garamond"/>
        </w:rPr>
        <w:t>study how increasing the eligibility threshold as a function of the federal poverty line impacts program uptake.</w:t>
      </w:r>
      <w:r w:rsidR="008B5D86" w:rsidRPr="00E378A9">
        <w:rPr>
          <w:rFonts w:ascii="Garamond" w:hAnsi="Garamond"/>
        </w:rPr>
        <w:t xml:space="preserve"> </w:t>
      </w:r>
      <w:hyperlink r:id="rId9" w:history="1">
        <w:r w:rsidR="008B5D86" w:rsidRPr="00E378A9">
          <w:rPr>
            <w:rStyle w:val="Hyperlink"/>
            <w:rFonts w:ascii="Garamond" w:hAnsi="Garamond"/>
          </w:rPr>
          <w:t>By</w:t>
        </w:r>
        <w:r w:rsidR="008B5D86" w:rsidRPr="00E378A9">
          <w:rPr>
            <w:rStyle w:val="Hyperlink"/>
            <w:rFonts w:ascii="Garamond" w:hAnsi="Garamond"/>
          </w:rPr>
          <w:t>r</w:t>
        </w:r>
        <w:r w:rsidR="008B5D86" w:rsidRPr="00E378A9">
          <w:rPr>
            <w:rStyle w:val="Hyperlink"/>
            <w:rFonts w:ascii="Garamond" w:hAnsi="Garamond"/>
          </w:rPr>
          <w:t>ne et al. (2025)</w:t>
        </w:r>
      </w:hyperlink>
      <w:r w:rsidR="008B5D86" w:rsidRPr="00E378A9">
        <w:rPr>
          <w:rFonts w:ascii="Garamond" w:hAnsi="Garamond"/>
        </w:rPr>
        <w:t xml:space="preserve"> similarly</w:t>
      </w:r>
      <w:r w:rsidR="008B5D86" w:rsidRPr="00E378A9">
        <w:rPr>
          <w:rFonts w:ascii="Garamond" w:hAnsi="Garamond"/>
        </w:rPr>
        <w:t xml:space="preserve"> evaluate an extensive-margin change in SNAP by studying the sharp rise in retailer participation following the Great Recession and document how participating retailers adjust product variety. While some work focuses on the impact of program-wide changes at the intensive margin on food and non-food expenditures (</w:t>
      </w:r>
      <w:hyperlink r:id="rId10" w:history="1">
        <w:r w:rsidR="008B5D86" w:rsidRPr="00E378A9">
          <w:rPr>
            <w:rStyle w:val="Hyperlink"/>
            <w:rFonts w:ascii="Garamond" w:hAnsi="Garamond"/>
          </w:rPr>
          <w:t>Kim (2016)</w:t>
        </w:r>
      </w:hyperlink>
      <w:r w:rsidR="008B5D86" w:rsidRPr="00E378A9">
        <w:rPr>
          <w:rFonts w:ascii="Garamond" w:hAnsi="Garamond"/>
        </w:rPr>
        <w:t>)</w:t>
      </w:r>
      <w:r w:rsidR="00CC18F2" w:rsidRPr="00E378A9">
        <w:rPr>
          <w:rFonts w:ascii="Garamond" w:hAnsi="Garamond"/>
        </w:rPr>
        <w:t xml:space="preserve">, no work to our knowledge has directly impacted how intensive-margin increases in SNAP provision affect the market structure of the food retail industry. </w:t>
      </w:r>
      <w:r w:rsidR="00A514FF" w:rsidRPr="00E378A9">
        <w:rPr>
          <w:rFonts w:ascii="Garamond" w:hAnsi="Garamond"/>
        </w:rPr>
        <w:t xml:space="preserve">A central possibility is that the effects of intensive-margin SNAP expansions may operate </w:t>
      </w:r>
      <w:r w:rsidR="00A514FF" w:rsidRPr="00E378A9">
        <w:rPr>
          <w:rFonts w:ascii="Garamond" w:hAnsi="Garamond"/>
        </w:rPr>
        <w:t xml:space="preserve">in part </w:t>
      </w:r>
      <w:r w:rsidR="00A514FF" w:rsidRPr="00E378A9">
        <w:rPr>
          <w:rFonts w:ascii="Garamond" w:hAnsi="Garamond"/>
        </w:rPr>
        <w:t xml:space="preserve">through supply-side responses (entry, exit, and retailer incumbent composition) rather than solely through direct shifts in household demand. </w:t>
      </w:r>
      <w:r w:rsidR="00A514FF" w:rsidRPr="00E378A9">
        <w:rPr>
          <w:rFonts w:ascii="Garamond" w:hAnsi="Garamond"/>
        </w:rPr>
        <w:t xml:space="preserve">Households </w:t>
      </w:r>
      <w:r w:rsidR="00A514FF" w:rsidRPr="00E378A9">
        <w:rPr>
          <w:rFonts w:ascii="Garamond" w:hAnsi="Garamond"/>
        </w:rPr>
        <w:t>may treat SNAP dollars differently from cash, implying that changes in benefit exposure could shift purchasing behavior in ways that plausibly</w:t>
      </w:r>
      <w:r w:rsidR="00A514FF" w:rsidRPr="00E378A9">
        <w:rPr>
          <w:rFonts w:ascii="Garamond" w:hAnsi="Garamond"/>
        </w:rPr>
        <w:t xml:space="preserve"> inform</w:t>
      </w:r>
      <w:r w:rsidR="00A514FF" w:rsidRPr="00E378A9">
        <w:rPr>
          <w:rFonts w:ascii="Garamond" w:hAnsi="Garamond"/>
        </w:rPr>
        <w:t xml:space="preserve"> retailer incentives to enter and participate in SNAP (</w:t>
      </w:r>
      <w:hyperlink r:id="rId11" w:history="1">
        <w:r w:rsidR="00A514FF" w:rsidRPr="00E378A9">
          <w:rPr>
            <w:rStyle w:val="Hyperlink"/>
            <w:rFonts w:ascii="Garamond" w:hAnsi="Garamond"/>
          </w:rPr>
          <w:t>Hastings and Shapiro 2016</w:t>
        </w:r>
      </w:hyperlink>
      <w:r w:rsidR="00A514FF" w:rsidRPr="00E378A9">
        <w:rPr>
          <w:rFonts w:ascii="Garamond" w:hAnsi="Garamond"/>
        </w:rPr>
        <w:t>).</w:t>
      </w:r>
    </w:p>
    <w:p w14:paraId="3769A80C" w14:textId="59EAAB78" w:rsidR="002D2A5D" w:rsidRPr="00E378A9" w:rsidRDefault="00CC18F2" w:rsidP="002D2A5D">
      <w:pPr>
        <w:pStyle w:val="p1"/>
        <w:ind w:firstLine="720"/>
        <w:rPr>
          <w:rFonts w:ascii="Garamond" w:hAnsi="Garamond"/>
        </w:rPr>
      </w:pPr>
      <w:r w:rsidRPr="00E378A9">
        <w:rPr>
          <w:rFonts w:ascii="Garamond" w:hAnsi="Garamond"/>
        </w:rPr>
        <w:t>Recent findings from the empirical I</w:t>
      </w:r>
      <w:r w:rsidRPr="00E378A9">
        <w:rPr>
          <w:rFonts w:ascii="Garamond" w:hAnsi="Garamond"/>
        </w:rPr>
        <w:t>ndustrial Organization</w:t>
      </w:r>
      <w:r w:rsidRPr="00E378A9">
        <w:rPr>
          <w:rFonts w:ascii="Garamond" w:hAnsi="Garamond"/>
        </w:rPr>
        <w:t xml:space="preserve"> literature suggest that entry dynamics</w:t>
      </w:r>
      <w:r w:rsidRPr="00E378A9">
        <w:rPr>
          <w:rFonts w:ascii="Garamond" w:hAnsi="Garamond"/>
        </w:rPr>
        <w:t xml:space="preserve">, and entry by specific retail formats, </w:t>
      </w:r>
      <w:r w:rsidRPr="00E378A9">
        <w:rPr>
          <w:rFonts w:ascii="Garamond" w:hAnsi="Garamond"/>
        </w:rPr>
        <w:t xml:space="preserve">play an important role in </w:t>
      </w:r>
      <w:r w:rsidRPr="00E378A9">
        <w:rPr>
          <w:rFonts w:ascii="Garamond" w:hAnsi="Garamond"/>
        </w:rPr>
        <w:t xml:space="preserve">shaping </w:t>
      </w:r>
      <w:r w:rsidRPr="00E378A9">
        <w:rPr>
          <w:rFonts w:ascii="Garamond" w:hAnsi="Garamond"/>
        </w:rPr>
        <w:t>consumption behavior</w:t>
      </w:r>
      <w:r w:rsidRPr="00E378A9">
        <w:rPr>
          <w:rFonts w:ascii="Garamond" w:hAnsi="Garamond"/>
        </w:rPr>
        <w:t xml:space="preserve">. </w:t>
      </w:r>
      <w:hyperlink r:id="rId12" w:history="1">
        <w:proofErr w:type="spellStart"/>
        <w:r w:rsidRPr="00E378A9">
          <w:rPr>
            <w:rStyle w:val="Hyperlink"/>
            <w:rFonts w:ascii="Garamond" w:hAnsi="Garamond"/>
          </w:rPr>
          <w:t>Caoui</w:t>
        </w:r>
        <w:proofErr w:type="spellEnd"/>
        <w:r w:rsidRPr="00E378A9">
          <w:rPr>
            <w:rStyle w:val="Hyperlink"/>
            <w:rFonts w:ascii="Garamond" w:hAnsi="Garamond"/>
          </w:rPr>
          <w:t>, Hollenbeck and Osbo</w:t>
        </w:r>
        <w:r w:rsidRPr="00E378A9">
          <w:rPr>
            <w:rStyle w:val="Hyperlink"/>
            <w:rFonts w:ascii="Garamond" w:hAnsi="Garamond"/>
          </w:rPr>
          <w:t>r</w:t>
        </w:r>
        <w:r w:rsidRPr="00E378A9">
          <w:rPr>
            <w:rStyle w:val="Hyperlink"/>
            <w:rFonts w:ascii="Garamond" w:hAnsi="Garamond"/>
          </w:rPr>
          <w:t>ne (2025)</w:t>
        </w:r>
      </w:hyperlink>
      <w:r w:rsidRPr="00E378A9">
        <w:rPr>
          <w:rFonts w:ascii="Garamond" w:hAnsi="Garamond"/>
        </w:rPr>
        <w:t xml:space="preserve"> find that dollar store entry </w:t>
      </w:r>
      <w:r w:rsidRPr="00E378A9">
        <w:rPr>
          <w:rFonts w:ascii="Garamond" w:hAnsi="Garamond"/>
        </w:rPr>
        <w:t>significantly reduces fresh produce consumption</w:t>
      </w:r>
      <w:r w:rsidRPr="00E378A9">
        <w:rPr>
          <w:rFonts w:ascii="Garamond" w:hAnsi="Garamond"/>
        </w:rPr>
        <w:t xml:space="preserve">, with effects concentrated among </w:t>
      </w:r>
      <w:proofErr w:type="gramStart"/>
      <w:r w:rsidRPr="00E378A9">
        <w:rPr>
          <w:rFonts w:ascii="Garamond" w:hAnsi="Garamond"/>
        </w:rPr>
        <w:t>low income</w:t>
      </w:r>
      <w:proofErr w:type="gramEnd"/>
      <w:r w:rsidRPr="00E378A9">
        <w:rPr>
          <w:rFonts w:ascii="Garamond" w:hAnsi="Garamond"/>
        </w:rPr>
        <w:t xml:space="preserve"> households </w:t>
      </w:r>
      <w:r w:rsidRPr="00E378A9">
        <w:rPr>
          <w:rFonts w:ascii="Garamond" w:hAnsi="Garamond"/>
        </w:rPr>
        <w:t>and those facing high travel costs.</w:t>
      </w:r>
      <w:r w:rsidR="002D2A5D" w:rsidRPr="00E378A9">
        <w:rPr>
          <w:rFonts w:ascii="Garamond" w:hAnsi="Garamond"/>
        </w:rPr>
        <w:t xml:space="preserve"> </w:t>
      </w:r>
      <w:r w:rsidR="002D2A5D" w:rsidRPr="00E378A9">
        <w:rPr>
          <w:rFonts w:ascii="Garamond" w:hAnsi="Garamond"/>
        </w:rPr>
        <w:fldChar w:fldCharType="begin"/>
      </w:r>
      <w:r w:rsidR="002D2A5D" w:rsidRPr="00E378A9">
        <w:rPr>
          <w:rFonts w:ascii="Garamond" w:hAnsi="Garamond"/>
        </w:rPr>
        <w:instrText>HYPERLINK "https://www-sciencedirect-com.ezproxy.library.wisc.edu/science/article/pii/S0143622821001132"</w:instrText>
      </w:r>
      <w:r w:rsidR="002D2A5D" w:rsidRPr="00E378A9">
        <w:rPr>
          <w:rFonts w:ascii="Garamond" w:hAnsi="Garamond"/>
        </w:rPr>
      </w:r>
      <w:r w:rsidR="002D2A5D" w:rsidRPr="00E378A9">
        <w:rPr>
          <w:rFonts w:ascii="Garamond" w:hAnsi="Garamond"/>
        </w:rPr>
        <w:fldChar w:fldCharType="separate"/>
      </w:r>
      <w:proofErr w:type="spellStart"/>
      <w:r w:rsidR="002D2A5D" w:rsidRPr="00E378A9">
        <w:rPr>
          <w:rStyle w:val="Hyperlink"/>
          <w:rFonts w:ascii="Garamond" w:hAnsi="Garamond"/>
        </w:rPr>
        <w:t>Chenarides</w:t>
      </w:r>
      <w:proofErr w:type="spellEnd"/>
      <w:r w:rsidR="002D2A5D" w:rsidRPr="00E378A9">
        <w:rPr>
          <w:rStyle w:val="Hyperlink"/>
          <w:rFonts w:ascii="Garamond" w:hAnsi="Garamond"/>
        </w:rPr>
        <w:t xml:space="preserve"> et al. (2021)</w:t>
      </w:r>
      <w:r w:rsidR="002D2A5D" w:rsidRPr="00E378A9">
        <w:rPr>
          <w:rFonts w:ascii="Garamond" w:hAnsi="Garamond"/>
        </w:rPr>
        <w:fldChar w:fldCharType="end"/>
      </w:r>
      <w:r w:rsidR="002D2A5D" w:rsidRPr="00E378A9">
        <w:rPr>
          <w:rFonts w:ascii="Garamond" w:hAnsi="Garamond"/>
        </w:rPr>
        <w:t xml:space="preserve"> document the growth of dollar stores over time and show that, conditional on entry into underserved areas, dollar store expansion increases the likelihood that such areas remain without access to a supermarket. Building on prior work, </w:t>
      </w:r>
      <w:hyperlink r:id="rId13" w:history="1">
        <w:proofErr w:type="spellStart"/>
        <w:r w:rsidR="002D2A5D" w:rsidRPr="00E378A9">
          <w:rPr>
            <w:rStyle w:val="Hyperlink"/>
            <w:rFonts w:ascii="Garamond" w:hAnsi="Garamond"/>
          </w:rPr>
          <w:t>Chenarides</w:t>
        </w:r>
        <w:proofErr w:type="spellEnd"/>
        <w:r w:rsidR="002D2A5D" w:rsidRPr="00E378A9">
          <w:rPr>
            <w:rStyle w:val="Hyperlink"/>
            <w:rFonts w:ascii="Garamond" w:hAnsi="Garamond"/>
          </w:rPr>
          <w:t xml:space="preserve"> e</w:t>
        </w:r>
        <w:r w:rsidR="002D2A5D" w:rsidRPr="00E378A9">
          <w:rPr>
            <w:rStyle w:val="Hyperlink"/>
            <w:rFonts w:ascii="Garamond" w:hAnsi="Garamond"/>
          </w:rPr>
          <w:t>t</w:t>
        </w:r>
        <w:r w:rsidR="002D2A5D" w:rsidRPr="00E378A9">
          <w:rPr>
            <w:rStyle w:val="Hyperlink"/>
            <w:rFonts w:ascii="Garamond" w:hAnsi="Garamond"/>
          </w:rPr>
          <w:t xml:space="preserve"> al. (2024)</w:t>
        </w:r>
      </w:hyperlink>
      <w:r w:rsidR="002D2A5D" w:rsidRPr="00E378A9">
        <w:rPr>
          <w:rFonts w:ascii="Garamond" w:hAnsi="Garamond"/>
        </w:rPr>
        <w:t xml:space="preserve"> </w:t>
      </w:r>
      <w:r w:rsidR="002D2A5D" w:rsidRPr="00E378A9">
        <w:rPr>
          <w:rFonts w:ascii="Garamond" w:hAnsi="Garamond"/>
        </w:rPr>
        <w:t>construct a dynamic entry model and</w:t>
      </w:r>
      <w:r w:rsidR="0050263B" w:rsidRPr="00E378A9">
        <w:rPr>
          <w:rFonts w:ascii="Garamond" w:hAnsi="Garamond"/>
        </w:rPr>
        <w:t xml:space="preserve"> </w:t>
      </w:r>
      <w:r w:rsidR="002D2A5D" w:rsidRPr="00E378A9">
        <w:rPr>
          <w:rFonts w:ascii="Garamond" w:hAnsi="Garamond"/>
        </w:rPr>
        <w:t xml:space="preserve">show that </w:t>
      </w:r>
      <w:r w:rsidR="002D2A5D" w:rsidRPr="00E378A9">
        <w:rPr>
          <w:rFonts w:ascii="Garamond" w:hAnsi="Garamond"/>
        </w:rPr>
        <w:t xml:space="preserve">dollar store expansion displaces small independent retailers. Taken together, this literature highlights the possibility that demand-side interventions that subsidize nutrition access may induce changes in consumption behavior insofar as these same interventions alter the market structure of the retail sector. </w:t>
      </w:r>
      <w:r w:rsidR="002D2A5D" w:rsidRPr="00E378A9">
        <w:rPr>
          <w:rFonts w:ascii="Garamond" w:hAnsi="Garamond"/>
        </w:rPr>
        <w:t>Understanding the relationship between SNAP program design and food retail market structure is therefore critical for evaluating changes in consumption behavior.</w:t>
      </w:r>
    </w:p>
    <w:p w14:paraId="1A297E5C" w14:textId="2F7886B2" w:rsidR="00A514FF" w:rsidRPr="00E378A9" w:rsidRDefault="00920886" w:rsidP="00920886">
      <w:pPr>
        <w:pStyle w:val="p1"/>
        <w:ind w:firstLine="720"/>
        <w:rPr>
          <w:rFonts w:ascii="Garamond" w:hAnsi="Garamond"/>
        </w:rPr>
      </w:pPr>
      <w:r w:rsidRPr="00E378A9">
        <w:rPr>
          <w:rFonts w:ascii="Garamond" w:hAnsi="Garamond"/>
        </w:rPr>
        <w:t xml:space="preserve">We focus on the SNAP </w:t>
      </w:r>
      <w:r w:rsidRPr="00E378A9">
        <w:rPr>
          <w:rFonts w:ascii="Garamond" w:hAnsi="Garamond"/>
        </w:rPr>
        <w:t>Able-Bodied Adults Without Dependents (</w:t>
      </w:r>
      <w:r w:rsidRPr="00E378A9">
        <w:rPr>
          <w:rFonts w:ascii="Garamond" w:hAnsi="Garamond"/>
        </w:rPr>
        <w:t>ABAWD</w:t>
      </w:r>
      <w:r w:rsidRPr="00E378A9">
        <w:rPr>
          <w:rFonts w:ascii="Garamond" w:hAnsi="Garamond"/>
        </w:rPr>
        <w:t>)</w:t>
      </w:r>
      <w:r w:rsidRPr="00E378A9">
        <w:rPr>
          <w:rFonts w:ascii="Garamond" w:hAnsi="Garamond"/>
        </w:rPr>
        <w:t xml:space="preserve"> waivers as an intensive margin increase in SNAP provision.</w:t>
      </w:r>
      <w:r w:rsidRPr="00E378A9">
        <w:rPr>
          <w:rFonts w:ascii="Garamond" w:hAnsi="Garamond"/>
        </w:rPr>
        <w:t xml:space="preserve"> </w:t>
      </w:r>
      <w:r w:rsidRPr="00E378A9">
        <w:rPr>
          <w:rFonts w:ascii="Garamond" w:hAnsi="Garamond"/>
        </w:rPr>
        <w:t>ABAWD waivers function as a targeted expansion in SNAP exposure by extending benefit duration for a subset of recipients, generating a localized increase in SNAP purchasing power.</w:t>
      </w:r>
      <w:r w:rsidRPr="00E378A9">
        <w:rPr>
          <w:rFonts w:ascii="Garamond" w:hAnsi="Garamond"/>
        </w:rPr>
        <w:t xml:space="preserve"> </w:t>
      </w:r>
      <w:r w:rsidRPr="00E378A9">
        <w:rPr>
          <w:rFonts w:ascii="Garamond" w:hAnsi="Garamond"/>
        </w:rPr>
        <w:t>Until 2010, SNAP work waivers were in effect federally. Since then, states must apply to the USDA for either full state waivers, or waivers for contiguous areas that adhered to federally defined guidelines.</w:t>
      </w:r>
      <w:r w:rsidRPr="00E378A9">
        <w:rPr>
          <w:rFonts w:ascii="Garamond" w:hAnsi="Garamond"/>
        </w:rPr>
        <w:t xml:space="preserve"> Using a difference-in-differences framework, we exploit </w:t>
      </w:r>
      <w:r w:rsidRPr="00E378A9">
        <w:rPr>
          <w:rFonts w:ascii="Garamond" w:hAnsi="Garamond"/>
        </w:rPr>
        <w:lastRenderedPageBreak/>
        <w:t>spatial and temporal variation in the implementation of ABAWD waivers to recover the impact of intensive-margin SNAP expansion on entry across retailer formats.</w:t>
      </w:r>
      <w:r w:rsidR="0050263B" w:rsidRPr="00E378A9">
        <w:rPr>
          <w:rFonts w:ascii="Garamond" w:hAnsi="Garamond"/>
        </w:rPr>
        <w:t xml:space="preserve"> </w:t>
      </w:r>
      <w:r w:rsidR="0050263B" w:rsidRPr="00E378A9">
        <w:rPr>
          <w:rFonts w:ascii="Garamond" w:hAnsi="Garamond"/>
        </w:rPr>
        <w:t>We specif</w:t>
      </w:r>
      <w:r w:rsidR="0050263B" w:rsidRPr="00E378A9">
        <w:rPr>
          <w:rFonts w:ascii="Garamond" w:hAnsi="Garamond"/>
        </w:rPr>
        <w:t>y</w:t>
      </w:r>
      <w:r w:rsidR="0050263B" w:rsidRPr="00E378A9">
        <w:rPr>
          <w:rFonts w:ascii="Garamond" w:hAnsi="Garamond"/>
        </w:rPr>
        <w:t xml:space="preserve"> the following</w:t>
      </w:r>
      <w:r w:rsidR="0050263B" w:rsidRPr="00E378A9">
        <w:rPr>
          <w:rFonts w:ascii="Garamond" w:hAnsi="Garamond"/>
        </w:rPr>
        <w:t xml:space="preserve"> set </w:t>
      </w:r>
      <w:proofErr w:type="gramStart"/>
      <w:r w:rsidR="0050263B" w:rsidRPr="00E378A9">
        <w:rPr>
          <w:rFonts w:ascii="Garamond" w:hAnsi="Garamond"/>
        </w:rPr>
        <w:t xml:space="preserve">of </w:t>
      </w:r>
      <w:r w:rsidR="0050263B" w:rsidRPr="00E378A9">
        <w:rPr>
          <w:rFonts w:ascii="Garamond" w:hAnsi="Garamond"/>
        </w:rPr>
        <w:t xml:space="preserve"> </w:t>
      </w:r>
      <w:proofErr w:type="spellStart"/>
      <w:r w:rsidR="0050263B" w:rsidRPr="00E378A9">
        <w:rPr>
          <w:rFonts w:ascii="Garamond" w:hAnsi="Garamond"/>
        </w:rPr>
        <w:t>DiD</w:t>
      </w:r>
      <w:proofErr w:type="spellEnd"/>
      <w:proofErr w:type="gramEnd"/>
      <w:r w:rsidR="0050263B" w:rsidRPr="00E378A9">
        <w:rPr>
          <w:rFonts w:ascii="Garamond" w:hAnsi="Garamond"/>
        </w:rPr>
        <w:t xml:space="preserve"> estimators:</w:t>
      </w:r>
    </w:p>
    <w:p w14:paraId="3DD43507" w14:textId="77777777" w:rsidR="0050263B" w:rsidRPr="00E378A9" w:rsidRDefault="0050263B" w:rsidP="0050263B">
      <w:pPr>
        <w:spacing w:line="240" w:lineRule="auto"/>
        <w:ind w:firstLine="720"/>
        <w:rPr>
          <w:rFonts w:ascii="Garamond" w:eastAsiaTheme="minorEastAsia" w:hAnsi="Garamond"/>
        </w:rPr>
      </w:pPr>
      <m:oMathPara>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β</m:t>
                  </m:r>
                </m:e>
                <m:sub>
                  <m:r>
                    <w:rPr>
                      <w:rFonts w:ascii="Cambria Math" w:hAnsi="Cambria Math"/>
                    </w:rPr>
                    <m:t>k</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it</m:t>
                      </m:r>
                    </m:sub>
                  </m:sSub>
                </m:e>
                <m:sup>
                  <m:r>
                    <w:rPr>
                      <w:rFonts w:ascii="Cambria Math" w:hAnsi="Cambria Math"/>
                    </w:rPr>
                    <m:t>k</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it</m:t>
                      </m:r>
                    </m:sub>
                  </m:sSub>
                </m:e>
                <m:sup>
                  <m:r>
                    <w:rPr>
                      <w:rFonts w:ascii="Cambria Math" w:hAnsi="Cambria Math"/>
                    </w:rPr>
                    <m:t>'</m:t>
                  </m:r>
                </m:sup>
              </m:sSup>
              <m:r>
                <w:rPr>
                  <w:rFonts w:ascii="Cambria Math" w:hAnsi="Cambria Math"/>
                </w:rPr>
                <m:t>γ+</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e>
          </m:nary>
        </m:oMath>
      </m:oMathPara>
    </w:p>
    <w:p w14:paraId="36816D5E" w14:textId="77777777" w:rsidR="00E378A9" w:rsidRPr="00E378A9" w:rsidRDefault="0050263B" w:rsidP="00E378A9">
      <w:pPr>
        <w:pStyle w:val="p1"/>
        <w:rPr>
          <w:rFonts w:ascii="Garamond" w:hAnsi="Garamond"/>
        </w:rPr>
      </w:pPr>
      <w:r w:rsidRPr="00E378A9">
        <w:rPr>
          <w:rFonts w:ascii="Garamond" w:hAnsi="Garamond"/>
        </w:rPr>
        <w:t>Where</w:t>
      </w:r>
      <w:r w:rsidR="00E378A9" w:rsidRPr="00E378A9">
        <w:rPr>
          <w:rFonts w:ascii="Garamond" w:hAnsi="Garamond"/>
        </w:rPr>
        <w:t xml:space="preserve"> </w:t>
      </w:r>
      <m:oMath>
        <m:sSub>
          <m:sSubPr>
            <m:ctrlPr>
              <w:rPr>
                <w:rFonts w:ascii="Cambria Math" w:eastAsiaTheme="minorHAnsi" w:hAnsi="Cambria Math" w:cstheme="minorBidi"/>
                <w:i/>
                <w:kern w:val="2"/>
                <w14:ligatures w14:val="standardContextual"/>
              </w:rPr>
            </m:ctrlPr>
          </m:sSubPr>
          <m:e>
            <m:r>
              <w:rPr>
                <w:rFonts w:ascii="Cambria Math" w:hAnsi="Cambria Math"/>
              </w:rPr>
              <m:t>Y</m:t>
            </m:r>
          </m:e>
          <m:sub>
            <m:r>
              <w:rPr>
                <w:rFonts w:ascii="Cambria Math" w:hAnsi="Cambria Math"/>
              </w:rPr>
              <m:t>it</m:t>
            </m:r>
          </m:sub>
        </m:sSub>
      </m:oMath>
      <w:r w:rsidRPr="00E378A9">
        <w:rPr>
          <w:rFonts w:ascii="Garamond" w:hAnsi="Garamond"/>
        </w:rPr>
        <w:t xml:space="preserve"> </w:t>
      </w:r>
      <w:r w:rsidR="00E378A9" w:rsidRPr="00E378A9">
        <w:rPr>
          <w:rFonts w:ascii="Garamond" w:hAnsi="Garamond"/>
        </w:rPr>
        <w:t xml:space="preserve">is the inverse hyperbolic sine transformation of the count of a given retailer format in a county-year, and treatment </w:t>
      </w:r>
      <m:oMath>
        <m:sSub>
          <m:sSubPr>
            <m:ctrlPr>
              <w:rPr>
                <w:rFonts w:ascii="Cambria Math" w:eastAsiaTheme="minorHAnsi" w:hAnsi="Cambria Math" w:cstheme="minorBidi"/>
                <w:i/>
                <w:kern w:val="2"/>
                <w14:ligatures w14:val="standardContextual"/>
              </w:rPr>
            </m:ctrlPr>
          </m:sSubPr>
          <m:e>
            <m:r>
              <w:rPr>
                <w:rFonts w:ascii="Cambria Math" w:hAnsi="Cambria Math"/>
              </w:rPr>
              <m:t>D</m:t>
            </m:r>
          </m:e>
          <m:sub>
            <m:r>
              <w:rPr>
                <w:rFonts w:ascii="Cambria Math" w:hAnsi="Cambria Math"/>
              </w:rPr>
              <m:t>it</m:t>
            </m:r>
          </m:sub>
        </m:sSub>
      </m:oMath>
      <w:r w:rsidR="00E378A9" w:rsidRPr="00E378A9">
        <w:rPr>
          <w:rFonts w:ascii="Garamond" w:hAnsi="Garamond"/>
          <w:kern w:val="2"/>
          <w14:ligatures w14:val="standardContextual"/>
        </w:rPr>
        <w:t xml:space="preserve"> </w:t>
      </w:r>
      <w:r w:rsidR="00E378A9" w:rsidRPr="00E378A9">
        <w:rPr>
          <w:rFonts w:ascii="Garamond" w:hAnsi="Garamond"/>
        </w:rPr>
        <w:t>is defined by event-time indicators relative to waiver adoption.</w:t>
      </w:r>
      <w:r w:rsidR="00E378A9" w:rsidRPr="00E378A9">
        <w:rPr>
          <w:rFonts w:ascii="Garamond" w:hAnsi="Garamond"/>
        </w:rPr>
        <w:t xml:space="preserve"> </w:t>
      </w:r>
      <w:r w:rsidR="00E378A9" w:rsidRPr="00E378A9">
        <w:rPr>
          <w:rFonts w:ascii="Garamond" w:hAnsi="Garamond"/>
        </w:rPr>
        <w:t>Our controls</w:t>
      </w:r>
      <w:r w:rsidR="00E378A9" w:rsidRPr="00E378A9">
        <w:rPr>
          <w:rFonts w:ascii="Garamond" w:hAnsi="Garamond"/>
        </w:rPr>
        <w:t xml:space="preserve"> </w:t>
      </w:r>
      <m:oMath>
        <m:sSup>
          <m:sSupPr>
            <m:ctrlPr>
              <w:rPr>
                <w:rFonts w:ascii="Cambria Math" w:eastAsiaTheme="minorHAnsi" w:hAnsi="Cambria Math" w:cstheme="minorBidi"/>
                <w:i/>
                <w:kern w:val="2"/>
                <w14:ligatures w14:val="standardContextual"/>
              </w:rPr>
            </m:ctrlPr>
          </m:sSupPr>
          <m:e>
            <m:sSub>
              <m:sSubPr>
                <m:ctrlPr>
                  <w:rPr>
                    <w:rFonts w:ascii="Cambria Math" w:eastAsiaTheme="minorHAnsi" w:hAnsi="Cambria Math" w:cstheme="minorBidi"/>
                    <w:i/>
                    <w:kern w:val="2"/>
                    <w14:ligatures w14:val="standardContextual"/>
                  </w:rPr>
                </m:ctrlPr>
              </m:sSubPr>
              <m:e>
                <m:r>
                  <w:rPr>
                    <w:rFonts w:ascii="Cambria Math" w:hAnsi="Cambria Math"/>
                  </w:rPr>
                  <m:t>X</m:t>
                </m:r>
              </m:e>
              <m:sub>
                <m:r>
                  <w:rPr>
                    <w:rFonts w:ascii="Cambria Math" w:hAnsi="Cambria Math"/>
                  </w:rPr>
                  <m:t>it</m:t>
                </m:r>
              </m:sub>
            </m:sSub>
          </m:e>
          <m:sup/>
        </m:sSup>
      </m:oMath>
      <w:r w:rsidR="00E378A9" w:rsidRPr="00E378A9">
        <w:rPr>
          <w:rFonts w:ascii="Garamond" w:hAnsi="Garamond"/>
        </w:rPr>
        <w:t xml:space="preserve"> include population, average wage, mean income, rent, and the unemployment rate, along with county and year fixed effects. We find that dollar store entry incidence increases by approximately 10 percent at the county level on average following ABAWD waiver adoption, an effect that is unique to the dollar store format.</w:t>
      </w:r>
      <w:r w:rsidR="00E378A9" w:rsidRPr="00E378A9">
        <w:rPr>
          <w:rFonts w:ascii="Garamond" w:hAnsi="Garamond"/>
        </w:rPr>
        <w:t xml:space="preserve"> </w:t>
      </w:r>
      <w:r w:rsidR="00E378A9" w:rsidRPr="00E378A9">
        <w:rPr>
          <w:rFonts w:ascii="Garamond" w:hAnsi="Garamond"/>
        </w:rPr>
        <w:t>We do not find evidence of comparable changes in the entry behavior of supermarkets, multi-category stores, or other retail formats. These findings motivate discussion about whether intensive-margin SNAP expansions can meaningfully reshape the retail environments faced by low-income consumers, and whether policy debates focused narrowly on demand-side restrictions may overlook supply-side mechanisms operating through retailer entry and participation.</w:t>
      </w:r>
    </w:p>
    <w:p w14:paraId="6CEBD079" w14:textId="1E4D77AE" w:rsidR="00E378A9" w:rsidRPr="00E378A9" w:rsidRDefault="00E378A9" w:rsidP="00E378A9">
      <w:pPr>
        <w:pStyle w:val="p1"/>
        <w:rPr>
          <w:rFonts w:ascii="Garamond" w:hAnsi="Garamond"/>
        </w:rPr>
      </w:pPr>
    </w:p>
    <w:p w14:paraId="7DB17E0B" w14:textId="2DA9B5AF" w:rsidR="00E378A9" w:rsidRPr="00E378A9" w:rsidRDefault="00E378A9" w:rsidP="00E378A9">
      <w:pPr>
        <w:pStyle w:val="p1"/>
        <w:rPr>
          <w:rFonts w:ascii="Garamond" w:hAnsi="Garamond"/>
        </w:rPr>
      </w:pPr>
    </w:p>
    <w:p w14:paraId="09C0A550" w14:textId="1D3D7471" w:rsidR="00A514FF" w:rsidRPr="00E378A9" w:rsidRDefault="00A514FF" w:rsidP="002D2A5D">
      <w:pPr>
        <w:pStyle w:val="p1"/>
        <w:ind w:firstLine="720"/>
        <w:rPr>
          <w:rFonts w:ascii="Garamond" w:hAnsi="Garamond"/>
        </w:rPr>
      </w:pPr>
    </w:p>
    <w:p w14:paraId="65E16E00" w14:textId="77777777" w:rsidR="002D2A5D" w:rsidRPr="00E378A9" w:rsidRDefault="002D2A5D" w:rsidP="002D2A5D">
      <w:pPr>
        <w:pStyle w:val="p1"/>
        <w:ind w:firstLine="720"/>
        <w:rPr>
          <w:rFonts w:ascii="Garamond" w:hAnsi="Garamond"/>
        </w:rPr>
      </w:pPr>
    </w:p>
    <w:p w14:paraId="4F300BE0" w14:textId="01446CEA" w:rsidR="00CC18F2" w:rsidRPr="00E378A9" w:rsidRDefault="00CC18F2" w:rsidP="00B152A5">
      <w:pPr>
        <w:pStyle w:val="p1"/>
        <w:rPr>
          <w:rFonts w:ascii="Garamond" w:hAnsi="Garamond"/>
        </w:rPr>
      </w:pPr>
      <w:r w:rsidRPr="00E378A9">
        <w:rPr>
          <w:rFonts w:ascii="Garamond" w:hAnsi="Garamond"/>
        </w:rPr>
        <w:tab/>
      </w:r>
    </w:p>
    <w:p w14:paraId="1F3E6B50" w14:textId="77777777" w:rsidR="00B152A5" w:rsidRPr="00E378A9" w:rsidRDefault="00B152A5" w:rsidP="00B152A5">
      <w:pPr>
        <w:pStyle w:val="p1"/>
        <w:rPr>
          <w:rFonts w:ascii="Garamond" w:hAnsi="Garamond"/>
        </w:rPr>
      </w:pPr>
    </w:p>
    <w:p w14:paraId="785E1931" w14:textId="021F595E" w:rsidR="00637484" w:rsidRPr="00E378A9" w:rsidRDefault="00637484" w:rsidP="00B152A5">
      <w:pPr>
        <w:spacing w:line="240" w:lineRule="auto"/>
        <w:ind w:firstLine="720"/>
        <w:rPr>
          <w:rFonts w:ascii="Garamond" w:hAnsi="Garamond"/>
        </w:rPr>
      </w:pPr>
    </w:p>
    <w:sectPr w:rsidR="00637484" w:rsidRPr="00E37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14"/>
    <w:rsid w:val="00230C6B"/>
    <w:rsid w:val="0025605F"/>
    <w:rsid w:val="00262FEB"/>
    <w:rsid w:val="002D2A5D"/>
    <w:rsid w:val="002E3AC6"/>
    <w:rsid w:val="00302E9A"/>
    <w:rsid w:val="003672BC"/>
    <w:rsid w:val="00430D97"/>
    <w:rsid w:val="00475C9A"/>
    <w:rsid w:val="004C0CC1"/>
    <w:rsid w:val="0050263B"/>
    <w:rsid w:val="00565A92"/>
    <w:rsid w:val="005F6579"/>
    <w:rsid w:val="00637484"/>
    <w:rsid w:val="006B7814"/>
    <w:rsid w:val="0071795E"/>
    <w:rsid w:val="0078407D"/>
    <w:rsid w:val="00833BDF"/>
    <w:rsid w:val="00844E10"/>
    <w:rsid w:val="008B5D86"/>
    <w:rsid w:val="00920886"/>
    <w:rsid w:val="00935E18"/>
    <w:rsid w:val="00A514FF"/>
    <w:rsid w:val="00B152A5"/>
    <w:rsid w:val="00CC18F2"/>
    <w:rsid w:val="00E038F7"/>
    <w:rsid w:val="00E378A9"/>
    <w:rsid w:val="00FE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1F7C4"/>
  <w15:chartTrackingRefBased/>
  <w15:docId w15:val="{5DD7D569-3BB6-D74D-AC6D-14715540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14"/>
    <w:rPr>
      <w:rFonts w:eastAsiaTheme="majorEastAsia" w:cstheme="majorBidi"/>
      <w:color w:val="272727" w:themeColor="text1" w:themeTint="D8"/>
    </w:rPr>
  </w:style>
  <w:style w:type="paragraph" w:styleId="Title">
    <w:name w:val="Title"/>
    <w:basedOn w:val="Normal"/>
    <w:next w:val="Normal"/>
    <w:link w:val="TitleChar"/>
    <w:uiPriority w:val="10"/>
    <w:qFormat/>
    <w:rsid w:val="006B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14"/>
    <w:pPr>
      <w:spacing w:before="160"/>
      <w:jc w:val="center"/>
    </w:pPr>
    <w:rPr>
      <w:i/>
      <w:iCs/>
      <w:color w:val="404040" w:themeColor="text1" w:themeTint="BF"/>
    </w:rPr>
  </w:style>
  <w:style w:type="character" w:customStyle="1" w:styleId="QuoteChar">
    <w:name w:val="Quote Char"/>
    <w:basedOn w:val="DefaultParagraphFont"/>
    <w:link w:val="Quote"/>
    <w:uiPriority w:val="29"/>
    <w:rsid w:val="006B7814"/>
    <w:rPr>
      <w:i/>
      <w:iCs/>
      <w:color w:val="404040" w:themeColor="text1" w:themeTint="BF"/>
    </w:rPr>
  </w:style>
  <w:style w:type="paragraph" w:styleId="ListParagraph">
    <w:name w:val="List Paragraph"/>
    <w:basedOn w:val="Normal"/>
    <w:uiPriority w:val="34"/>
    <w:qFormat/>
    <w:rsid w:val="006B7814"/>
    <w:pPr>
      <w:ind w:left="720"/>
      <w:contextualSpacing/>
    </w:pPr>
  </w:style>
  <w:style w:type="character" w:styleId="IntenseEmphasis">
    <w:name w:val="Intense Emphasis"/>
    <w:basedOn w:val="DefaultParagraphFont"/>
    <w:uiPriority w:val="21"/>
    <w:qFormat/>
    <w:rsid w:val="006B7814"/>
    <w:rPr>
      <w:i/>
      <w:iCs/>
      <w:color w:val="0F4761" w:themeColor="accent1" w:themeShade="BF"/>
    </w:rPr>
  </w:style>
  <w:style w:type="paragraph" w:styleId="IntenseQuote">
    <w:name w:val="Intense Quote"/>
    <w:basedOn w:val="Normal"/>
    <w:next w:val="Normal"/>
    <w:link w:val="IntenseQuoteChar"/>
    <w:uiPriority w:val="30"/>
    <w:qFormat/>
    <w:rsid w:val="006B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814"/>
    <w:rPr>
      <w:i/>
      <w:iCs/>
      <w:color w:val="0F4761" w:themeColor="accent1" w:themeShade="BF"/>
    </w:rPr>
  </w:style>
  <w:style w:type="character" w:styleId="IntenseReference">
    <w:name w:val="Intense Reference"/>
    <w:basedOn w:val="DefaultParagraphFont"/>
    <w:uiPriority w:val="32"/>
    <w:qFormat/>
    <w:rsid w:val="006B7814"/>
    <w:rPr>
      <w:b/>
      <w:bCs/>
      <w:smallCaps/>
      <w:color w:val="0F4761" w:themeColor="accent1" w:themeShade="BF"/>
      <w:spacing w:val="5"/>
    </w:rPr>
  </w:style>
  <w:style w:type="character" w:styleId="Hyperlink">
    <w:name w:val="Hyperlink"/>
    <w:basedOn w:val="DefaultParagraphFont"/>
    <w:uiPriority w:val="99"/>
    <w:unhideWhenUsed/>
    <w:rsid w:val="006B7814"/>
    <w:rPr>
      <w:color w:val="467886" w:themeColor="hyperlink"/>
      <w:u w:val="single"/>
    </w:rPr>
  </w:style>
  <w:style w:type="character" w:styleId="UnresolvedMention">
    <w:name w:val="Unresolved Mention"/>
    <w:basedOn w:val="DefaultParagraphFont"/>
    <w:uiPriority w:val="99"/>
    <w:semiHidden/>
    <w:unhideWhenUsed/>
    <w:rsid w:val="006B7814"/>
    <w:rPr>
      <w:color w:val="605E5C"/>
      <w:shd w:val="clear" w:color="auto" w:fill="E1DFDD"/>
    </w:rPr>
  </w:style>
  <w:style w:type="paragraph" w:customStyle="1" w:styleId="p1">
    <w:name w:val="p1"/>
    <w:basedOn w:val="Normal"/>
    <w:rsid w:val="00B152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B5D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rlierafkin.com/docs/ar_eligibility.pdf" TargetMode="External"/><Relationship Id="rId13" Type="http://schemas.openxmlformats.org/officeDocument/2006/relationships/hyperlink" Target="https://onlinelibrary-wiley-com.ezproxy.library.wisc.edu/doi/full/10.1111/ajae.12404" TargetMode="External"/><Relationship Id="rId3" Type="http://schemas.openxmlformats.org/officeDocument/2006/relationships/webSettings" Target="webSettings.xml"/><Relationship Id="rId7" Type="http://schemas.openxmlformats.org/officeDocument/2006/relationships/hyperlink" Target="https://pmc.ncbi.nlm.nih.gov/articles/PMC12399173/" TargetMode="External"/><Relationship Id="rId12" Type="http://schemas.openxmlformats.org/officeDocument/2006/relationships/hyperlink" Target="https://elhadicaoui.github.io/files/dollarstore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bpp.org/research/food-assistance/millions-at-risk-of-losing-food-assistance-under-proposed-expansion-of" TargetMode="External"/><Relationship Id="rId11" Type="http://schemas.openxmlformats.org/officeDocument/2006/relationships/hyperlink" Target="https://pubs.aeaweb.org/doi/pdfplus/10.1257/aer.20170866" TargetMode="External"/><Relationship Id="rId5" Type="http://schemas.openxmlformats.org/officeDocument/2006/relationships/hyperlink" Target="https://frac.org/blog/protect-snap-expanded-food-access-not-restrictions-is-the-prescription-for-better-health-outcomes" TargetMode="External"/><Relationship Id="rId15" Type="http://schemas.openxmlformats.org/officeDocument/2006/relationships/theme" Target="theme/theme1.xml"/><Relationship Id="rId10" Type="http://schemas.openxmlformats.org/officeDocument/2006/relationships/hyperlink" Target="https://www.sciencedirect.com/science/article/pii/S0306919216304341?casa_token=jSSQmsxwm5wAAAAA:Q-PJutPWl5QDGFEt5bL7mzpD7p7Rwy3h8-Y2Hrhh2rckXB728UVT7GnekD5tm5o-tlS9_ClgXQ" TargetMode="External"/><Relationship Id="rId4" Type="http://schemas.openxmlformats.org/officeDocument/2006/relationships/hyperlink" Target="https://www.ers.usda.gov/topics/food-nutrition-assistance/supplemental-nutrition-assistance-program-snap/key-statistics-and-research" TargetMode="External"/><Relationship Id="rId9" Type="http://schemas.openxmlformats.org/officeDocument/2006/relationships/hyperlink" Target="https://www.nber.org/papers/w3446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Inder A Majumdar</dc:creator>
  <cp:keywords/>
  <dc:description/>
  <cp:lastModifiedBy>Inder A Majumdar</cp:lastModifiedBy>
  <cp:revision>1</cp:revision>
  <dcterms:created xsi:type="dcterms:W3CDTF">2026-01-10T04:37:00Z</dcterms:created>
  <dcterms:modified xsi:type="dcterms:W3CDTF">2026-01-11T09:47:00Z</dcterms:modified>
</cp:coreProperties>
</file>