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18" w:space="0" w:color="auto"/>
        </w:tblBorders>
        <w:tblLook w:val="04A0" w:firstRow="1" w:lastRow="0" w:firstColumn="1" w:lastColumn="0" w:noHBand="0" w:noVBand="1"/>
      </w:tblPr>
      <w:tblGrid>
        <w:gridCol w:w="9322"/>
      </w:tblGrid>
      <w:tr w:rsidR="00CD1CF2" w:rsidRPr="00BA7AD7" w14:paraId="644FA773" w14:textId="77777777" w:rsidTr="004605F7">
        <w:trPr>
          <w:trHeight w:val="1361"/>
        </w:trPr>
        <w:tc>
          <w:tcPr>
            <w:tcW w:w="9322" w:type="dxa"/>
            <w:tcBorders>
              <w:bottom w:val="single" w:sz="12" w:space="0" w:color="auto"/>
            </w:tcBorders>
            <w:vAlign w:val="center"/>
          </w:tcPr>
          <w:p w14:paraId="333DAF94"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Pr>
                <w:rFonts w:ascii="Times New Roman" w:eastAsia="Times New Roman" w:hAnsi="Times New Roman" w:cs="Times New Roman"/>
                <w:noProof/>
                <w:sz w:val="24"/>
                <w:szCs w:val="24"/>
                <w:lang w:val="ru-RU"/>
              </w:rPr>
              <w:drawing>
                <wp:anchor distT="0" distB="0" distL="114300" distR="114300" simplePos="0" relativeHeight="251659264" behindDoc="1" locked="0" layoutInCell="1" allowOverlap="1" wp14:anchorId="251913A3" wp14:editId="77E26932">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anchor>
              </w:drawing>
            </w:r>
            <w:r>
              <w:rPr>
                <w:rFonts w:ascii="Times New Roman" w:eastAsia="Times New Roman" w:hAnsi="Times New Roman" w:cs="Times New Roman"/>
                <w:b/>
                <w:sz w:val="24"/>
                <w:szCs w:val="24"/>
                <w:lang w:val="ru-RU"/>
              </w:rPr>
              <w:t>МИНОБРНАУКИ РОССИИ</w:t>
            </w:r>
          </w:p>
          <w:p w14:paraId="60859668" w14:textId="77777777" w:rsidR="00CD1CF2" w:rsidRPr="00CD1CF2" w:rsidRDefault="00CD1CF2" w:rsidP="004605F7">
            <w:pPr>
              <w:widowControl w:val="0"/>
              <w:spacing w:line="240" w:lineRule="auto"/>
              <w:jc w:val="cente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федеральное государственное бюджетное образовательное</w:t>
            </w:r>
          </w:p>
          <w:p w14:paraId="7FE80538" w14:textId="77777777" w:rsidR="00CD1CF2" w:rsidRPr="00CD1CF2" w:rsidRDefault="00CD1CF2" w:rsidP="004605F7">
            <w:pPr>
              <w:spacing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учреждение высшего образования</w:t>
            </w:r>
          </w:p>
          <w:p w14:paraId="031D35B3"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lang w:val="ru-RU"/>
              </w:rPr>
              <w:t>«Национальный исследовательский университет «МЭИ»</w:t>
            </w:r>
          </w:p>
          <w:p w14:paraId="12A1CD5A"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p>
        </w:tc>
      </w:tr>
    </w:tbl>
    <w:p w14:paraId="5ED7C8A2" w14:textId="77777777" w:rsidR="00CD1CF2" w:rsidRPr="00CD1CF2" w:rsidRDefault="00CD1CF2" w:rsidP="00CD1CF2">
      <w:pPr>
        <w:spacing w:line="240" w:lineRule="auto"/>
        <w:jc w:val="center"/>
        <w:rPr>
          <w:rFonts w:ascii="Times New Roman" w:eastAsia="Times New Roman" w:hAnsi="Times New Roman" w:cs="Times New Roman"/>
          <w:sz w:val="20"/>
          <w:szCs w:val="20"/>
          <w:lang w:val="ru-RU"/>
        </w:rPr>
      </w:pPr>
    </w:p>
    <w:tbl>
      <w:tblPr>
        <w:tblW w:w="9322" w:type="dxa"/>
        <w:tblLook w:val="04A0" w:firstRow="1" w:lastRow="0" w:firstColumn="1" w:lastColumn="0" w:noHBand="0" w:noVBand="1"/>
      </w:tblPr>
      <w:tblGrid>
        <w:gridCol w:w="6180"/>
        <w:gridCol w:w="3142"/>
      </w:tblGrid>
      <w:tr w:rsidR="00CD1CF2" w:rsidRPr="00CD1CF2" w14:paraId="49FEF462" w14:textId="77777777" w:rsidTr="004605F7">
        <w:trPr>
          <w:trHeight w:val="371"/>
        </w:trPr>
        <w:tc>
          <w:tcPr>
            <w:tcW w:w="6180" w:type="dxa"/>
          </w:tcPr>
          <w:p w14:paraId="1738D13C"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Институт</w:t>
            </w:r>
            <w:proofErr w:type="spellEnd"/>
          </w:p>
        </w:tc>
        <w:tc>
          <w:tcPr>
            <w:tcW w:w="3142" w:type="dxa"/>
            <w:tcBorders>
              <w:bottom w:val="single" w:sz="4" w:space="0" w:color="auto"/>
            </w:tcBorders>
          </w:tcPr>
          <w:p w14:paraId="79BFB13A" w14:textId="77777777" w:rsidR="00CD1CF2" w:rsidRPr="00CD1CF2" w:rsidRDefault="00CD1CF2" w:rsidP="004605F7">
            <w:pPr>
              <w:spacing w:line="240" w:lineRule="auto"/>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ИнЭИ</w:t>
            </w:r>
            <w:proofErr w:type="spellEnd"/>
          </w:p>
        </w:tc>
      </w:tr>
      <w:tr w:rsidR="00CD1CF2" w:rsidRPr="00CD1CF2" w14:paraId="156DF219" w14:textId="77777777" w:rsidTr="004605F7">
        <w:trPr>
          <w:trHeight w:val="303"/>
        </w:trPr>
        <w:tc>
          <w:tcPr>
            <w:tcW w:w="6180" w:type="dxa"/>
          </w:tcPr>
          <w:p w14:paraId="54F2263F"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Кафедра</w:t>
            </w:r>
            <w:proofErr w:type="spellEnd"/>
          </w:p>
        </w:tc>
        <w:tc>
          <w:tcPr>
            <w:tcW w:w="3142" w:type="dxa"/>
            <w:tcBorders>
              <w:top w:val="single" w:sz="4" w:space="0" w:color="auto"/>
              <w:bottom w:val="single" w:sz="4" w:space="0" w:color="auto"/>
            </w:tcBorders>
          </w:tcPr>
          <w:p w14:paraId="68B22623"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ЭЭП</w:t>
            </w:r>
          </w:p>
        </w:tc>
      </w:tr>
    </w:tbl>
    <w:p w14:paraId="35ED5358"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p>
    <w:p w14:paraId="6CA31B87"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r>
        <w:rPr>
          <w:rFonts w:ascii="Times New Roman" w:eastAsia="Times New Roman" w:hAnsi="Times New Roman" w:cs="Times New Roman"/>
          <w:b/>
          <w:caps/>
          <w:sz w:val="26"/>
          <w:szCs w:val="26"/>
        </w:rPr>
        <w:t>ВЫПУСКНАЯ КВАЛИФИКАЦИОННАЯ РАБОТА</w:t>
      </w:r>
    </w:p>
    <w:p w14:paraId="4863EB99" w14:textId="77777777" w:rsidR="00CD1CF2" w:rsidRPr="00CD1CF2" w:rsidRDefault="00CD1CF2" w:rsidP="00CD1CF2">
      <w:pPr>
        <w:spacing w:after="120" w:line="240" w:lineRule="auto"/>
        <w:jc w:val="center"/>
        <w:rPr>
          <w:rFonts w:ascii="Times New Roman" w:eastAsia="Times New Roman" w:hAnsi="Times New Roman" w:cs="Times New Roman"/>
          <w:b/>
          <w:caps/>
          <w:sz w:val="26"/>
          <w:szCs w:val="26"/>
        </w:rPr>
      </w:pPr>
      <w:r>
        <w:rPr>
          <w:rFonts w:ascii="Times New Roman" w:eastAsia="Times New Roman" w:hAnsi="Times New Roman" w:cs="Times New Roman"/>
          <w:b/>
          <w:caps/>
          <w:sz w:val="26"/>
          <w:szCs w:val="26"/>
        </w:rPr>
        <w:t>(бакалаврская работа)</w:t>
      </w: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17"/>
        <w:gridCol w:w="47"/>
      </w:tblGrid>
      <w:tr w:rsidR="00CD1CF2" w:rsidRPr="00CD1CF2" w14:paraId="65B057AE" w14:textId="77777777" w:rsidTr="00BA7AD7">
        <w:trPr>
          <w:trHeight w:val="292"/>
        </w:trPr>
        <w:tc>
          <w:tcPr>
            <w:tcW w:w="1943" w:type="dxa"/>
            <w:gridSpan w:val="4"/>
            <w:tcBorders>
              <w:bottom w:val="single" w:sz="4" w:space="0" w:color="auto"/>
            </w:tcBorders>
            <w:vAlign w:val="bottom"/>
          </w:tcPr>
          <w:p w14:paraId="3C52399A"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Направление</w:t>
            </w:r>
            <w:proofErr w:type="spellEnd"/>
          </w:p>
        </w:tc>
        <w:tc>
          <w:tcPr>
            <w:tcW w:w="7426" w:type="dxa"/>
            <w:gridSpan w:val="13"/>
            <w:tcBorders>
              <w:bottom w:val="single" w:sz="4" w:space="0" w:color="auto"/>
            </w:tcBorders>
            <w:vAlign w:val="bottom"/>
          </w:tcPr>
          <w:p w14:paraId="3978ADCD"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t>38.03.01 Экономика</w:t>
            </w:r>
          </w:p>
        </w:tc>
      </w:tr>
      <w:tr w:rsidR="00CD1CF2" w:rsidRPr="0048431F" w14:paraId="794BBF09" w14:textId="77777777" w:rsidTr="00BA7AD7">
        <w:trPr>
          <w:trHeight w:val="283"/>
        </w:trPr>
        <w:tc>
          <w:tcPr>
            <w:tcW w:w="1972" w:type="dxa"/>
            <w:gridSpan w:val="5"/>
            <w:tcBorders>
              <w:top w:val="single" w:sz="4" w:space="0" w:color="auto"/>
            </w:tcBorders>
            <w:vAlign w:val="bottom"/>
          </w:tcPr>
          <w:p w14:paraId="39208F9E" w14:textId="77777777" w:rsidR="00CD1CF2" w:rsidRPr="0048431F" w:rsidRDefault="00CD1CF2" w:rsidP="004605F7">
            <w:pPr>
              <w:spacing w:line="240" w:lineRule="auto"/>
              <w:rPr>
                <w:rFonts w:ascii="Times New Roman" w:eastAsia="Times New Roman" w:hAnsi="Times New Roman" w:cs="Times New Roman"/>
                <w:strike/>
                <w:sz w:val="20"/>
                <w:szCs w:val="20"/>
              </w:rPr>
            </w:pPr>
          </w:p>
        </w:tc>
        <w:tc>
          <w:tcPr>
            <w:tcW w:w="7397" w:type="dxa"/>
            <w:gridSpan w:val="12"/>
            <w:tcBorders>
              <w:top w:val="single" w:sz="4" w:space="0" w:color="auto"/>
            </w:tcBorders>
          </w:tcPr>
          <w:p w14:paraId="31327F55" w14:textId="77777777" w:rsidR="00CD1CF2" w:rsidRPr="0048431F" w:rsidRDefault="00CD1CF2" w:rsidP="004605F7">
            <w:pPr>
              <w:spacing w:line="240" w:lineRule="auto"/>
              <w:jc w:val="center"/>
              <w:rPr>
                <w:rFonts w:ascii="Times New Roman" w:eastAsia="Times New Roman" w:hAnsi="Times New Roman" w:cs="Times New Roman"/>
                <w:strike/>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код</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наименование</w:t>
            </w:r>
            <w:proofErr w:type="spellEnd"/>
            <w:r>
              <w:rPr>
                <w:rFonts w:ascii="Times New Roman" w:eastAsia="Times New Roman" w:hAnsi="Times New Roman" w:cs="Times New Roman"/>
                <w:sz w:val="20"/>
                <w:szCs w:val="20"/>
              </w:rPr>
              <w:t>)</w:t>
            </w:r>
          </w:p>
        </w:tc>
      </w:tr>
      <w:tr w:rsidR="00CD1CF2" w:rsidRPr="0048431F" w14:paraId="7A94BA75" w14:textId="77777777" w:rsidTr="00BA7AD7">
        <w:trPr>
          <w:trHeight w:val="331"/>
        </w:trPr>
        <w:tc>
          <w:tcPr>
            <w:tcW w:w="3404" w:type="dxa"/>
            <w:gridSpan w:val="10"/>
            <w:tcBorders>
              <w:bottom w:val="single" w:sz="4" w:space="0" w:color="auto"/>
            </w:tcBorders>
            <w:vAlign w:val="bottom"/>
          </w:tcPr>
          <w:p w14:paraId="69ECB05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Образовательная</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программа</w:t>
            </w:r>
            <w:proofErr w:type="spellEnd"/>
          </w:p>
        </w:tc>
        <w:tc>
          <w:tcPr>
            <w:tcW w:w="5965" w:type="dxa"/>
            <w:gridSpan w:val="7"/>
            <w:tcBorders>
              <w:bottom w:val="single" w:sz="4" w:space="0" w:color="auto"/>
            </w:tcBorders>
            <w:vAlign w:val="bottom"/>
          </w:tcPr>
          <w:p w14:paraId="383594A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t>Корпоративные финансы</w:t>
            </w:r>
          </w:p>
        </w:tc>
      </w:tr>
      <w:tr w:rsidR="00CD1CF2" w:rsidRPr="0048431F" w14:paraId="511AAD6B" w14:textId="77777777" w:rsidTr="00BA7AD7">
        <w:trPr>
          <w:trHeight w:val="510"/>
        </w:trPr>
        <w:tc>
          <w:tcPr>
            <w:tcW w:w="2397" w:type="dxa"/>
            <w:gridSpan w:val="9"/>
            <w:tcBorders>
              <w:top w:val="single" w:sz="4" w:space="0" w:color="auto"/>
              <w:bottom w:val="single" w:sz="4" w:space="0" w:color="auto"/>
            </w:tcBorders>
            <w:vAlign w:val="bottom"/>
          </w:tcPr>
          <w:p w14:paraId="36C21B02"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Форма</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обучения</w:t>
            </w:r>
            <w:proofErr w:type="spellEnd"/>
          </w:p>
        </w:tc>
        <w:tc>
          <w:tcPr>
            <w:tcW w:w="6972" w:type="dxa"/>
            <w:gridSpan w:val="8"/>
            <w:tcBorders>
              <w:top w:val="single" w:sz="4" w:space="0" w:color="auto"/>
              <w:bottom w:val="single" w:sz="4" w:space="0" w:color="auto"/>
            </w:tcBorders>
            <w:vAlign w:val="bottom"/>
          </w:tcPr>
          <w:p w14:paraId="4F92E2FC"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t>очная</w:t>
            </w:r>
          </w:p>
        </w:tc>
      </w:tr>
      <w:tr w:rsidR="00CD1CF2" w:rsidRPr="0048431F" w14:paraId="5EEB7D90" w14:textId="77777777" w:rsidTr="00BA7AD7">
        <w:trPr>
          <w:trHeight w:val="283"/>
        </w:trPr>
        <w:tc>
          <w:tcPr>
            <w:tcW w:w="2397" w:type="dxa"/>
            <w:gridSpan w:val="9"/>
            <w:tcBorders>
              <w:top w:val="single" w:sz="4" w:space="0" w:color="auto"/>
            </w:tcBorders>
          </w:tcPr>
          <w:p w14:paraId="077BD3D7" w14:textId="77777777" w:rsidR="00CD1CF2" w:rsidRPr="0048431F" w:rsidRDefault="00CD1CF2" w:rsidP="004605F7">
            <w:pPr>
              <w:spacing w:line="240" w:lineRule="auto"/>
              <w:rPr>
                <w:rFonts w:ascii="Times New Roman" w:eastAsia="Times New Roman" w:hAnsi="Times New Roman" w:cs="Times New Roman"/>
                <w:b/>
                <w:sz w:val="28"/>
                <w:szCs w:val="28"/>
              </w:rPr>
            </w:pPr>
          </w:p>
        </w:tc>
        <w:tc>
          <w:tcPr>
            <w:tcW w:w="6972" w:type="dxa"/>
            <w:gridSpan w:val="8"/>
            <w:tcBorders>
              <w:top w:val="single" w:sz="4" w:space="0" w:color="auto"/>
            </w:tcBorders>
          </w:tcPr>
          <w:p w14:paraId="347A9D2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очная</w:t>
            </w:r>
            <w:proofErr w:type="spellEnd"/>
            <w:r>
              <w:rPr>
                <w:rFonts w:ascii="Times New Roman" w:eastAsia="Times New Roman" w:hAnsi="Times New Roman" w:cs="Times New Roman"/>
                <w:sz w:val="20"/>
                <w:szCs w:val="20"/>
                <w:lang w:val="en-US"/>
              </w:rPr>
              <w:t>/</w:t>
            </w:r>
            <w:proofErr w:type="spellStart"/>
            <w:r>
              <w:rPr>
                <w:rFonts w:ascii="Times New Roman" w:eastAsia="Times New Roman" w:hAnsi="Times New Roman" w:cs="Times New Roman"/>
                <w:sz w:val="20"/>
                <w:szCs w:val="20"/>
              </w:rPr>
              <w:t>очно-заочная</w:t>
            </w:r>
            <w:proofErr w:type="spellEnd"/>
            <w:r>
              <w:rPr>
                <w:rFonts w:ascii="Times New Roman" w:eastAsia="Times New Roman" w:hAnsi="Times New Roman" w:cs="Times New Roman"/>
                <w:sz w:val="20"/>
                <w:szCs w:val="20"/>
                <w:lang w:val="en-US"/>
              </w:rPr>
              <w:t>/</w:t>
            </w:r>
            <w:proofErr w:type="spellStart"/>
            <w:r>
              <w:rPr>
                <w:rFonts w:ascii="Times New Roman" w:eastAsia="Times New Roman" w:hAnsi="Times New Roman" w:cs="Times New Roman"/>
                <w:sz w:val="20"/>
                <w:szCs w:val="20"/>
              </w:rPr>
              <w:t>заочная</w:t>
            </w:r>
            <w:proofErr w:type="spellEnd"/>
            <w:r>
              <w:rPr>
                <w:rFonts w:ascii="Times New Roman" w:eastAsia="Times New Roman" w:hAnsi="Times New Roman" w:cs="Times New Roman"/>
                <w:sz w:val="20"/>
                <w:szCs w:val="20"/>
              </w:rPr>
              <w:t>)</w:t>
            </w:r>
          </w:p>
        </w:tc>
      </w:tr>
      <w:tr w:rsidR="00CD1CF2" w:rsidRPr="00BA7AD7" w14:paraId="05168C60" w14:textId="77777777" w:rsidTr="00BA7AD7">
        <w:trPr>
          <w:trHeight w:val="283"/>
        </w:trPr>
        <w:tc>
          <w:tcPr>
            <w:tcW w:w="984" w:type="dxa"/>
            <w:tcBorders>
              <w:bottom w:val="single" w:sz="4" w:space="0" w:color="auto"/>
            </w:tcBorders>
            <w:vAlign w:val="bottom"/>
          </w:tcPr>
          <w:p w14:paraId="0B3CF77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Тема</w:t>
            </w:r>
            <w:proofErr w:type="spellEnd"/>
            <w:r>
              <w:rPr>
                <w:rFonts w:ascii="Times New Roman" w:eastAsia="Times New Roman" w:hAnsi="Times New Roman" w:cs="Times New Roman"/>
                <w:b/>
                <w:sz w:val="26"/>
                <w:szCs w:val="26"/>
              </w:rPr>
              <w:t>:</w:t>
            </w:r>
          </w:p>
        </w:tc>
        <w:tc>
          <w:tcPr>
            <w:tcW w:w="8385" w:type="dxa"/>
            <w:gridSpan w:val="16"/>
            <w:tcBorders>
              <w:bottom w:val="single" w:sz="4" w:space="0" w:color="auto"/>
            </w:tcBorders>
            <w:vAlign w:val="bottom"/>
          </w:tcPr>
          <w:p w14:paraId="3CEDAD1A" w14:textId="50E11923" w:rsidR="00CD1CF2" w:rsidRPr="00D2601B" w:rsidRDefault="00D2601B" w:rsidP="00D2601B">
            <w:pPr>
              <w:spacing w:line="240" w:lineRule="auto"/>
              <w:jc w:val="center"/>
              <w:rPr>
                <w:rFonts w:ascii="Times New Roman" w:hAnsi="Times New Roman" w:cs="Times New Roman"/>
                <w:b/>
                <w:sz w:val="26"/>
                <w:szCs w:val="26"/>
                <w:lang w:val="ru-RU"/>
              </w:rPr>
            </w:pPr>
            <w:r w:rsidRPr="00D2601B">
              <w:rPr>
                <w:rFonts w:ascii="Times New Roman" w:hAnsi="Times New Roman" w:cs="Times New Roman"/>
                <w:noProof/>
                <w:sz w:val="26"/>
                <w:szCs w:val="26"/>
                <w:lang w:val="ru-RU"/>
              </w:rPr>
              <w:t>Оценка состава и качества инвестиционного портфеля ОПИФ РФИ "ВИМ - Металлургия" и разработка рекомендаций по его оптимизации</w:t>
            </w:r>
          </w:p>
        </w:tc>
      </w:tr>
      <w:tr w:rsidR="00CD1CF2" w:rsidRPr="0048431F" w14:paraId="3E36FE77" w14:textId="77777777" w:rsidTr="00BA7AD7">
        <w:trPr>
          <w:trHeight w:val="624"/>
        </w:trPr>
        <w:tc>
          <w:tcPr>
            <w:tcW w:w="1293" w:type="dxa"/>
            <w:gridSpan w:val="3"/>
            <w:tcBorders>
              <w:top w:val="single" w:sz="4" w:space="0" w:color="auto"/>
              <w:bottom w:val="single" w:sz="4" w:space="0" w:color="auto"/>
            </w:tcBorders>
            <w:vAlign w:val="bottom"/>
          </w:tcPr>
          <w:p w14:paraId="4D13EEC1"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Студент</w:t>
            </w:r>
            <w:proofErr w:type="spellEnd"/>
          </w:p>
        </w:tc>
        <w:tc>
          <w:tcPr>
            <w:tcW w:w="2238" w:type="dxa"/>
            <w:gridSpan w:val="8"/>
            <w:tcBorders>
              <w:top w:val="single" w:sz="4" w:space="0" w:color="auto"/>
              <w:bottom w:val="single" w:sz="4" w:space="0" w:color="auto"/>
            </w:tcBorders>
            <w:vAlign w:val="bottom"/>
          </w:tcPr>
          <w:p w14:paraId="10BB3E94"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
        </w:tc>
        <w:tc>
          <w:tcPr>
            <w:tcW w:w="2140" w:type="dxa"/>
            <w:gridSpan w:val="3"/>
            <w:tcBorders>
              <w:top w:val="single" w:sz="4" w:space="0" w:color="auto"/>
              <w:bottom w:val="single" w:sz="4" w:space="0" w:color="auto"/>
            </w:tcBorders>
            <w:vAlign w:val="bottom"/>
          </w:tcPr>
          <w:p w14:paraId="7A5C6CC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p>
        </w:tc>
        <w:tc>
          <w:tcPr>
            <w:tcW w:w="3698" w:type="dxa"/>
            <w:gridSpan w:val="3"/>
            <w:tcBorders>
              <w:top w:val="single" w:sz="4" w:space="0" w:color="auto"/>
              <w:bottom w:val="single" w:sz="4" w:space="0" w:color="auto"/>
            </w:tcBorders>
            <w:vAlign w:val="bottom"/>
          </w:tcPr>
          <w:p w14:paraId="46C63DA0" w14:textId="77777777" w:rsidR="00CD1CF2" w:rsidRPr="00CD1CF2" w:rsidRDefault="00CD1CF2" w:rsidP="004605F7">
            <w:pPr>
              <w:spacing w:line="240" w:lineRule="auto"/>
              <w:jc w:val="center"/>
              <w:rPr>
                <w:rFonts w:ascii="Times New Roman" w:eastAsia="Times New Roman" w:hAnsi="Times New Roman" w:cs="Times New Roman"/>
                <w:sz w:val="26"/>
                <w:szCs w:val="26"/>
                <w:lang w:val="ru-RU"/>
              </w:rPr>
            </w:pPr>
          </w:p>
        </w:tc>
      </w:tr>
      <w:tr w:rsidR="00CD1CF2" w:rsidRPr="0048431F" w14:paraId="26E8C3CE" w14:textId="77777777" w:rsidTr="00BA7AD7">
        <w:trPr>
          <w:trHeight w:val="283"/>
        </w:trPr>
        <w:tc>
          <w:tcPr>
            <w:tcW w:w="1263" w:type="dxa"/>
            <w:gridSpan w:val="2"/>
            <w:tcBorders>
              <w:top w:val="single" w:sz="4" w:space="0" w:color="auto"/>
            </w:tcBorders>
          </w:tcPr>
          <w:p w14:paraId="5ECCDED0"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2268" w:type="dxa"/>
            <w:gridSpan w:val="9"/>
            <w:tcBorders>
              <w:top w:val="single" w:sz="4" w:space="0" w:color="auto"/>
            </w:tcBorders>
          </w:tcPr>
          <w:p w14:paraId="748CCB9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группа</w:t>
            </w:r>
            <w:proofErr w:type="spellEnd"/>
          </w:p>
        </w:tc>
        <w:tc>
          <w:tcPr>
            <w:tcW w:w="2140" w:type="dxa"/>
            <w:gridSpan w:val="3"/>
            <w:tcBorders>
              <w:top w:val="single" w:sz="4" w:space="0" w:color="auto"/>
            </w:tcBorders>
          </w:tcPr>
          <w:p w14:paraId="586C687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3698" w:type="dxa"/>
            <w:gridSpan w:val="3"/>
            <w:tcBorders>
              <w:top w:val="single" w:sz="4" w:space="0" w:color="auto"/>
            </w:tcBorders>
          </w:tcPr>
          <w:p w14:paraId="51F108B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3171A266" w14:textId="77777777" w:rsidTr="00BA7AD7">
        <w:trPr>
          <w:trHeight w:val="624"/>
        </w:trPr>
        <w:tc>
          <w:tcPr>
            <w:tcW w:w="2125" w:type="dxa"/>
            <w:gridSpan w:val="8"/>
            <w:tcBorders>
              <w:bottom w:val="single" w:sz="4" w:space="0" w:color="auto"/>
            </w:tcBorders>
            <w:vAlign w:val="bottom"/>
          </w:tcPr>
          <w:p w14:paraId="4AAC6F7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Руководитель</w:t>
            </w:r>
            <w:proofErr w:type="spellEnd"/>
            <w:r>
              <w:rPr>
                <w:rFonts w:ascii="Times New Roman" w:eastAsia="Times New Roman" w:hAnsi="Times New Roman" w:cs="Times New Roman"/>
                <w:b/>
                <w:sz w:val="26"/>
                <w:szCs w:val="26"/>
              </w:rPr>
              <w:t xml:space="preserve"> ВКР</w:t>
            </w:r>
          </w:p>
        </w:tc>
        <w:tc>
          <w:tcPr>
            <w:tcW w:w="1279" w:type="dxa"/>
            <w:gridSpan w:val="2"/>
            <w:tcBorders>
              <w:bottom w:val="single" w:sz="4" w:space="0" w:color="auto"/>
            </w:tcBorders>
            <w:vAlign w:val="bottom"/>
          </w:tcPr>
          <w:p w14:paraId="543CA921" w14:textId="7F4A2AFB" w:rsidR="00CD1CF2" w:rsidRPr="00D2601B" w:rsidRDefault="00D2601B"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к. э. н.</w:t>
            </w:r>
          </w:p>
        </w:tc>
        <w:tc>
          <w:tcPr>
            <w:tcW w:w="2267" w:type="dxa"/>
            <w:gridSpan w:val="4"/>
            <w:tcBorders>
              <w:bottom w:val="single" w:sz="4" w:space="0" w:color="auto"/>
            </w:tcBorders>
            <w:vAlign w:val="bottom"/>
          </w:tcPr>
          <w:p w14:paraId="363137B9"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t>старший преподаватель</w:t>
            </w:r>
          </w:p>
        </w:tc>
        <w:tc>
          <w:tcPr>
            <w:tcW w:w="1134" w:type="dxa"/>
            <w:tcBorders>
              <w:bottom w:val="single" w:sz="4" w:space="0" w:color="auto"/>
            </w:tcBorders>
            <w:vAlign w:val="bottom"/>
          </w:tcPr>
          <w:p w14:paraId="19337ACB"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564" w:type="dxa"/>
            <w:gridSpan w:val="2"/>
            <w:tcBorders>
              <w:bottom w:val="single" w:sz="4" w:space="0" w:color="auto"/>
            </w:tcBorders>
            <w:vAlign w:val="bottom"/>
          </w:tcPr>
          <w:p w14:paraId="66FA7544" w14:textId="2560C24E" w:rsidR="00CD1CF2" w:rsidRPr="00CD1CF2" w:rsidRDefault="00D2601B"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Ларина И. Е.</w:t>
            </w:r>
          </w:p>
        </w:tc>
      </w:tr>
      <w:tr w:rsidR="00CD1CF2" w:rsidRPr="0048431F" w14:paraId="2ED8E814" w14:textId="77777777" w:rsidTr="00BA7AD7">
        <w:trPr>
          <w:trHeight w:val="283"/>
        </w:trPr>
        <w:tc>
          <w:tcPr>
            <w:tcW w:w="2125" w:type="dxa"/>
            <w:gridSpan w:val="8"/>
            <w:tcBorders>
              <w:top w:val="single" w:sz="4" w:space="0" w:color="auto"/>
            </w:tcBorders>
          </w:tcPr>
          <w:p w14:paraId="6F6FDDB9"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79" w:type="dxa"/>
            <w:gridSpan w:val="2"/>
            <w:tcBorders>
              <w:top w:val="single" w:sz="4" w:space="0" w:color="auto"/>
            </w:tcBorders>
          </w:tcPr>
          <w:p w14:paraId="3199E4AA"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77E61B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51B27F7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47D0C315"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75A5DE55" w14:textId="77777777" w:rsidTr="00BA7AD7">
        <w:trPr>
          <w:trHeight w:val="624"/>
        </w:trPr>
        <w:tc>
          <w:tcPr>
            <w:tcW w:w="2118" w:type="dxa"/>
            <w:gridSpan w:val="7"/>
            <w:tcBorders>
              <w:bottom w:val="single" w:sz="4" w:space="0" w:color="auto"/>
            </w:tcBorders>
            <w:vAlign w:val="bottom"/>
          </w:tcPr>
          <w:p w14:paraId="524C0CE0" w14:textId="77777777" w:rsidR="00CD1CF2" w:rsidRPr="00CD1CF2" w:rsidRDefault="00CD1CF2" w:rsidP="004605F7">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4A96BD66"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13ECCB99"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7E4B626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gridSpan w:val="2"/>
            <w:tcBorders>
              <w:bottom w:val="single" w:sz="4" w:space="0" w:color="auto"/>
            </w:tcBorders>
            <w:vAlign w:val="bottom"/>
          </w:tcPr>
          <w:p w14:paraId="2D0A0D1D"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1C56B9F3" w14:textId="77777777" w:rsidTr="00BA7AD7">
        <w:trPr>
          <w:trHeight w:val="283"/>
        </w:trPr>
        <w:tc>
          <w:tcPr>
            <w:tcW w:w="2118" w:type="dxa"/>
            <w:gridSpan w:val="7"/>
            <w:tcBorders>
              <w:top w:val="single" w:sz="4" w:space="0" w:color="auto"/>
            </w:tcBorders>
          </w:tcPr>
          <w:p w14:paraId="774F6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1286" w:type="dxa"/>
            <w:gridSpan w:val="3"/>
            <w:tcBorders>
              <w:top w:val="single" w:sz="4" w:space="0" w:color="auto"/>
            </w:tcBorders>
          </w:tcPr>
          <w:p w14:paraId="3CA442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048F51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092D95B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34D64D0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4F10FB5E" w14:textId="77777777" w:rsidTr="00BA7AD7">
        <w:trPr>
          <w:trHeight w:val="624"/>
        </w:trPr>
        <w:tc>
          <w:tcPr>
            <w:tcW w:w="2118" w:type="dxa"/>
            <w:gridSpan w:val="7"/>
            <w:tcBorders>
              <w:bottom w:val="single" w:sz="4" w:space="0" w:color="auto"/>
            </w:tcBorders>
            <w:vAlign w:val="bottom"/>
          </w:tcPr>
          <w:p w14:paraId="46286B08"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Внешний</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179EDDE3"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44B307FC"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2346231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gridSpan w:val="2"/>
            <w:tcBorders>
              <w:bottom w:val="single" w:sz="4" w:space="0" w:color="auto"/>
            </w:tcBorders>
            <w:vAlign w:val="bottom"/>
          </w:tcPr>
          <w:p w14:paraId="54BC18D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2EE61F43" w14:textId="77777777" w:rsidTr="00BA7AD7">
        <w:trPr>
          <w:trHeight w:val="283"/>
        </w:trPr>
        <w:tc>
          <w:tcPr>
            <w:tcW w:w="2118" w:type="dxa"/>
            <w:gridSpan w:val="7"/>
            <w:tcBorders>
              <w:top w:val="single" w:sz="4" w:space="0" w:color="auto"/>
            </w:tcBorders>
          </w:tcPr>
          <w:p w14:paraId="59881F2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p w14:paraId="561F615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86" w:type="dxa"/>
            <w:gridSpan w:val="3"/>
            <w:tcBorders>
              <w:top w:val="single" w:sz="4" w:space="0" w:color="auto"/>
            </w:tcBorders>
          </w:tcPr>
          <w:p w14:paraId="0CE57E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5B2B1EF2"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204F14F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14E4F70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307A8522" w14:textId="77777777" w:rsidTr="00BA7AD7">
        <w:trPr>
          <w:trHeight w:val="80"/>
        </w:trPr>
        <w:tc>
          <w:tcPr>
            <w:tcW w:w="9369" w:type="dxa"/>
            <w:gridSpan w:val="17"/>
            <w:tcBorders>
              <w:bottom w:val="single" w:sz="4" w:space="0" w:color="auto"/>
            </w:tcBorders>
            <w:vAlign w:val="bottom"/>
          </w:tcPr>
          <w:p w14:paraId="4D4A2501"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
        </w:tc>
      </w:tr>
      <w:tr w:rsidR="00CD1CF2" w:rsidRPr="0048431F" w14:paraId="5A80D99E" w14:textId="77777777" w:rsidTr="00BA7AD7">
        <w:trPr>
          <w:trHeight w:val="283"/>
        </w:trPr>
        <w:tc>
          <w:tcPr>
            <w:tcW w:w="9369" w:type="dxa"/>
            <w:gridSpan w:val="17"/>
            <w:tcBorders>
              <w:top w:val="single" w:sz="4" w:space="0" w:color="auto"/>
            </w:tcBorders>
            <w:vAlign w:val="center"/>
          </w:tcPr>
          <w:p w14:paraId="67524729"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roofErr w:type="spellStart"/>
            <w:r>
              <w:rPr>
                <w:rFonts w:ascii="Times New Roman" w:eastAsia="Times New Roman" w:hAnsi="Times New Roman" w:cs="Times New Roman"/>
                <w:sz w:val="20"/>
                <w:szCs w:val="20"/>
              </w:rPr>
              <w:t>организация</w:t>
            </w:r>
            <w:proofErr w:type="spellEnd"/>
          </w:p>
        </w:tc>
      </w:tr>
      <w:tr w:rsidR="00CD1CF2" w:rsidRPr="0048431F" w14:paraId="7B766E4D" w14:textId="77777777" w:rsidTr="00BA7AD7">
        <w:trPr>
          <w:trHeight w:val="340"/>
        </w:trPr>
        <w:tc>
          <w:tcPr>
            <w:tcW w:w="9369" w:type="dxa"/>
            <w:gridSpan w:val="17"/>
            <w:tcBorders>
              <w:bottom w:val="single" w:sz="4" w:space="0" w:color="auto"/>
            </w:tcBorders>
            <w:vAlign w:val="bottom"/>
          </w:tcPr>
          <w:p w14:paraId="1C29678E" w14:textId="77777777" w:rsidR="00CD1CF2" w:rsidRPr="00CD1CF2" w:rsidRDefault="00CD1CF2" w:rsidP="004605F7">
            <w:pPr>
              <w:spacing w:line="240" w:lineRule="auto"/>
              <w:rPr>
                <w:rFonts w:ascii="Times New Roman" w:eastAsia="Times New Roman" w:hAnsi="Times New Roman" w:cs="Times New Roman"/>
                <w:noProof/>
                <w:sz w:val="26"/>
                <w:szCs w:val="26"/>
                <w:lang w:val="en-US"/>
              </w:rPr>
            </w:pPr>
            <w:r>
              <w:rPr>
                <w:rFonts w:ascii="Times New Roman" w:eastAsia="Times New Roman" w:hAnsi="Times New Roman" w:cs="Times New Roman"/>
                <w:b/>
                <w:sz w:val="26"/>
                <w:szCs w:val="26"/>
              </w:rPr>
              <w:t>«</w:t>
            </w:r>
            <w:proofErr w:type="spellStart"/>
            <w:r>
              <w:rPr>
                <w:rFonts w:ascii="Times New Roman" w:eastAsia="Times New Roman" w:hAnsi="Times New Roman" w:cs="Times New Roman"/>
                <w:b/>
                <w:sz w:val="26"/>
                <w:szCs w:val="26"/>
              </w:rPr>
              <w:t>Работа</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допущена</w:t>
            </w:r>
            <w:proofErr w:type="spellEnd"/>
            <w:r>
              <w:rPr>
                <w:rFonts w:ascii="Times New Roman" w:eastAsia="Times New Roman" w:hAnsi="Times New Roman" w:cs="Times New Roman"/>
                <w:b/>
                <w:sz w:val="26"/>
                <w:szCs w:val="26"/>
              </w:rPr>
              <w:t xml:space="preserve"> к </w:t>
            </w:r>
            <w:proofErr w:type="spellStart"/>
            <w:r>
              <w:rPr>
                <w:rFonts w:ascii="Times New Roman" w:eastAsia="Times New Roman" w:hAnsi="Times New Roman" w:cs="Times New Roman"/>
                <w:b/>
                <w:sz w:val="26"/>
                <w:szCs w:val="26"/>
              </w:rPr>
              <w:t>защите</w:t>
            </w:r>
            <w:proofErr w:type="spellEnd"/>
            <w:r>
              <w:rPr>
                <w:rFonts w:ascii="Times New Roman" w:eastAsia="Times New Roman" w:hAnsi="Times New Roman" w:cs="Times New Roman"/>
                <w:b/>
                <w:sz w:val="26"/>
                <w:szCs w:val="26"/>
              </w:rPr>
              <w:t>»</w:t>
            </w:r>
          </w:p>
        </w:tc>
      </w:tr>
      <w:tr w:rsidR="00CD1CF2" w:rsidRPr="0048431F" w14:paraId="168A90CD" w14:textId="77777777" w:rsidTr="00BA7AD7">
        <w:trPr>
          <w:trHeight w:val="624"/>
        </w:trPr>
        <w:tc>
          <w:tcPr>
            <w:tcW w:w="1972" w:type="dxa"/>
            <w:gridSpan w:val="5"/>
            <w:tcBorders>
              <w:bottom w:val="single" w:sz="4" w:space="0" w:color="auto"/>
            </w:tcBorders>
            <w:vAlign w:val="bottom"/>
          </w:tcPr>
          <w:p w14:paraId="0972774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Заведующий</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кафедрой</w:t>
            </w:r>
            <w:proofErr w:type="spellEnd"/>
          </w:p>
        </w:tc>
        <w:tc>
          <w:tcPr>
            <w:tcW w:w="1701" w:type="dxa"/>
            <w:gridSpan w:val="7"/>
            <w:tcBorders>
              <w:bottom w:val="single" w:sz="4" w:space="0" w:color="auto"/>
            </w:tcBorders>
            <w:vAlign w:val="bottom"/>
          </w:tcPr>
          <w:p w14:paraId="0755FF6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к.э.н.</w:t>
            </w:r>
          </w:p>
        </w:tc>
        <w:tc>
          <w:tcPr>
            <w:tcW w:w="1415" w:type="dxa"/>
            <w:tcBorders>
              <w:bottom w:val="single" w:sz="4" w:space="0" w:color="auto"/>
            </w:tcBorders>
            <w:vAlign w:val="bottom"/>
          </w:tcPr>
          <w:p w14:paraId="09343038"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доцент</w:t>
            </w:r>
          </w:p>
        </w:tc>
        <w:tc>
          <w:tcPr>
            <w:tcW w:w="1717" w:type="dxa"/>
            <w:gridSpan w:val="2"/>
            <w:tcBorders>
              <w:bottom w:val="single" w:sz="4" w:space="0" w:color="auto"/>
            </w:tcBorders>
            <w:vAlign w:val="bottom"/>
          </w:tcPr>
          <w:p w14:paraId="322A9C5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2564" w:type="dxa"/>
            <w:gridSpan w:val="2"/>
            <w:tcBorders>
              <w:bottom w:val="single" w:sz="4" w:space="0" w:color="auto"/>
            </w:tcBorders>
            <w:vAlign w:val="bottom"/>
          </w:tcPr>
          <w:p w14:paraId="27BCF187"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Крыленко Е.Е.</w:t>
            </w:r>
          </w:p>
        </w:tc>
      </w:tr>
      <w:tr w:rsidR="00CD1CF2" w:rsidRPr="0048431F" w14:paraId="16D3541A" w14:textId="77777777" w:rsidTr="00BA7AD7">
        <w:trPr>
          <w:trHeight w:val="354"/>
        </w:trPr>
        <w:tc>
          <w:tcPr>
            <w:tcW w:w="1972" w:type="dxa"/>
            <w:gridSpan w:val="5"/>
            <w:tcBorders>
              <w:top w:val="single" w:sz="4" w:space="0" w:color="auto"/>
            </w:tcBorders>
          </w:tcPr>
          <w:p w14:paraId="5CE1CA42" w14:textId="77777777" w:rsidR="00CD1CF2" w:rsidRPr="0048431F" w:rsidRDefault="00CD1CF2" w:rsidP="004605F7">
            <w:pPr>
              <w:rPr>
                <w:rFonts w:ascii="Times New Roman" w:eastAsia="Times New Roman" w:hAnsi="Times New Roman" w:cs="Times New Roman"/>
                <w:b/>
                <w:sz w:val="28"/>
                <w:szCs w:val="28"/>
                <w:lang w:val="en-US"/>
              </w:rPr>
            </w:pPr>
          </w:p>
        </w:tc>
        <w:tc>
          <w:tcPr>
            <w:tcW w:w="1701" w:type="dxa"/>
            <w:gridSpan w:val="7"/>
            <w:tcBorders>
              <w:top w:val="single" w:sz="4" w:space="0" w:color="auto"/>
            </w:tcBorders>
          </w:tcPr>
          <w:p w14:paraId="5D19323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1415" w:type="dxa"/>
            <w:tcBorders>
              <w:top w:val="single" w:sz="4" w:space="0" w:color="auto"/>
            </w:tcBorders>
          </w:tcPr>
          <w:p w14:paraId="2AA986C9"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звание</w:t>
            </w:r>
            <w:proofErr w:type="spellEnd"/>
          </w:p>
        </w:tc>
        <w:tc>
          <w:tcPr>
            <w:tcW w:w="1717" w:type="dxa"/>
            <w:gridSpan w:val="2"/>
            <w:tcBorders>
              <w:top w:val="single" w:sz="4" w:space="0" w:color="auto"/>
            </w:tcBorders>
          </w:tcPr>
          <w:p w14:paraId="44A49613"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791E348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78EA4155" w14:textId="77777777" w:rsidTr="00BA7AD7">
        <w:trPr>
          <w:trHeight w:val="427"/>
        </w:trPr>
        <w:tc>
          <w:tcPr>
            <w:tcW w:w="5088" w:type="dxa"/>
            <w:gridSpan w:val="13"/>
          </w:tcPr>
          <w:p w14:paraId="444E308D"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c>
          <w:tcPr>
            <w:tcW w:w="1717" w:type="dxa"/>
            <w:gridSpan w:val="2"/>
            <w:tcBorders>
              <w:bottom w:val="single" w:sz="4" w:space="0" w:color="auto"/>
            </w:tcBorders>
            <w:vAlign w:val="bottom"/>
          </w:tcPr>
          <w:p w14:paraId="06A97987" w14:textId="77777777" w:rsidR="00CD1CF2" w:rsidRPr="00CD1CF2" w:rsidRDefault="00CD1CF2" w:rsidP="004605F7">
            <w:pPr>
              <w:tabs>
                <w:tab w:val="left" w:pos="990"/>
              </w:tabs>
              <w:spacing w:line="240" w:lineRule="auto"/>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Дата</w:t>
            </w:r>
            <w:proofErr w:type="spellEnd"/>
          </w:p>
        </w:tc>
        <w:tc>
          <w:tcPr>
            <w:tcW w:w="2564" w:type="dxa"/>
            <w:gridSpan w:val="2"/>
            <w:tcBorders>
              <w:bottom w:val="single" w:sz="4" w:space="0" w:color="auto"/>
            </w:tcBorders>
          </w:tcPr>
          <w:p w14:paraId="2EA7DD87"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r>
      <w:tr w:rsidR="00CD1CF2" w:rsidRPr="0048431F" w14:paraId="1196C483" w14:textId="77777777" w:rsidTr="00BA7AD7">
        <w:trPr>
          <w:trHeight w:val="579"/>
        </w:trPr>
        <w:tc>
          <w:tcPr>
            <w:tcW w:w="1981" w:type="dxa"/>
            <w:gridSpan w:val="6"/>
            <w:vAlign w:val="bottom"/>
          </w:tcPr>
          <w:p w14:paraId="4DD94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4824" w:type="dxa"/>
            <w:gridSpan w:val="9"/>
            <w:vAlign w:val="bottom"/>
          </w:tcPr>
          <w:p w14:paraId="23FA850E"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roofErr w:type="spellStart"/>
            <w:r>
              <w:rPr>
                <w:rFonts w:ascii="Times New Roman" w:eastAsia="Times New Roman" w:hAnsi="Times New Roman" w:cs="Times New Roman"/>
                <w:b/>
                <w:sz w:val="26"/>
                <w:szCs w:val="26"/>
              </w:rPr>
              <w:t>Москва</w:t>
            </w:r>
            <w:proofErr w:type="spellEnd"/>
            <w:r>
              <w:rPr>
                <w:rFonts w:ascii="Times New Roman" w:eastAsia="Times New Roman" w:hAnsi="Times New Roman" w:cs="Times New Roman"/>
                <w:b/>
                <w:sz w:val="26"/>
                <w:szCs w:val="26"/>
              </w:rPr>
              <w:t>, 202</w:t>
            </w:r>
            <w:r>
              <w:rPr>
                <w:rFonts w:ascii="Times New Roman" w:eastAsia="Times New Roman" w:hAnsi="Times New Roman" w:cs="Times New Roman"/>
                <w:b/>
                <w:sz w:val="26"/>
                <w:szCs w:val="26"/>
                <w:lang w:val="ru-RU"/>
              </w:rPr>
              <w:t>6</w:t>
            </w:r>
          </w:p>
        </w:tc>
        <w:tc>
          <w:tcPr>
            <w:tcW w:w="2564" w:type="dxa"/>
            <w:gridSpan w:val="2"/>
            <w:vAlign w:val="bottom"/>
          </w:tcPr>
          <w:p w14:paraId="5CCF23A1"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r>
      <w:tr w:rsidR="00BA7AD7" w:rsidRPr="00BA7AD7" w14:paraId="7428E6D6" w14:textId="77777777" w:rsidTr="00BA7AD7">
        <w:tblPrEx>
          <w:tblBorders>
            <w:bottom w:val="single" w:sz="18" w:space="0" w:color="auto"/>
          </w:tblBorders>
        </w:tblPrEx>
        <w:trPr>
          <w:gridAfter w:val="1"/>
          <w:wAfter w:w="47" w:type="dxa"/>
          <w:trHeight w:val="1361"/>
        </w:trPr>
        <w:tc>
          <w:tcPr>
            <w:tcW w:w="9322" w:type="dxa"/>
            <w:gridSpan w:val="16"/>
            <w:tcBorders>
              <w:top w:val="nil"/>
              <w:left w:val="nil"/>
              <w:bottom w:val="single" w:sz="12" w:space="0" w:color="auto"/>
              <w:right w:val="nil"/>
            </w:tcBorders>
            <w:vAlign w:val="center"/>
          </w:tcPr>
          <w:p w14:paraId="572F0D53" w14:textId="7CAD081F"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lastRenderedPageBreak/>
              <w:drawing>
                <wp:anchor distT="0" distB="0" distL="114300" distR="114300" simplePos="0" relativeHeight="251658240" behindDoc="1" locked="0" layoutInCell="1" allowOverlap="1" wp14:anchorId="4A526D11" wp14:editId="3E55AD34">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0" y="3898"/>
                      <wp:lineTo x="0" y="16565"/>
                      <wp:lineTo x="3231" y="20950"/>
                      <wp:lineTo x="4154" y="20950"/>
                      <wp:lineTo x="17077" y="20950"/>
                      <wp:lineTo x="18000" y="20950"/>
                      <wp:lineTo x="21231" y="16565"/>
                      <wp:lineTo x="21231" y="5847"/>
                      <wp:lineTo x="18000" y="1949"/>
                      <wp:lineTo x="14769" y="0"/>
                      <wp:lineTo x="6462" y="0"/>
                    </wp:wrapPolygon>
                  </wp:wrapTight>
                  <wp:docPr id="52868010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pic:spPr>
                      </pic:pic>
                    </a:graphicData>
                  </a:graphic>
                  <wp14:sizeRelH relativeFrom="page">
                    <wp14:pctWidth>0</wp14:pctWidth>
                  </wp14:sizeRelH>
                  <wp14:sizeRelV relativeFrom="page">
                    <wp14:pctHeight>0</wp14:pctHeight>
                  </wp14:sizeRelV>
                </wp:anchor>
              </w:drawing>
            </w:r>
            <w:r w:rsidRPr="00BA7AD7">
              <w:rPr>
                <w:rFonts w:ascii="Times New Roman" w:hAnsi="Times New Roman" w:cs="Times New Roman"/>
                <w:b/>
                <w:sz w:val="28"/>
                <w:szCs w:val="28"/>
                <w:lang w:val="ru-RU"/>
              </w:rPr>
              <w:t>МИНОБРНАУКИ РОССИИ</w:t>
            </w:r>
          </w:p>
          <w:p w14:paraId="431F156D" w14:textId="77777777" w:rsidR="00BA7AD7" w:rsidRPr="00BA7AD7" w:rsidRDefault="00BA7AD7" w:rsidP="00407C66">
            <w:pPr>
              <w:spacing w:line="240" w:lineRule="auto"/>
              <w:jc w:val="center"/>
              <w:rPr>
                <w:rFonts w:ascii="Times New Roman" w:hAnsi="Times New Roman" w:cs="Times New Roman"/>
                <w:bCs/>
                <w:sz w:val="28"/>
                <w:szCs w:val="28"/>
                <w:lang w:val="ru-RU"/>
              </w:rPr>
            </w:pPr>
            <w:r w:rsidRPr="00BA7AD7">
              <w:rPr>
                <w:rFonts w:ascii="Times New Roman" w:hAnsi="Times New Roman" w:cs="Times New Roman"/>
                <w:bCs/>
                <w:sz w:val="28"/>
                <w:szCs w:val="28"/>
                <w:lang w:val="ru-RU"/>
              </w:rPr>
              <w:t>федеральное государственное бюджетное образовательное</w:t>
            </w:r>
          </w:p>
          <w:p w14:paraId="1A85BC22"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учреждение высшего образования</w:t>
            </w:r>
          </w:p>
          <w:p w14:paraId="6ACDCC70" w14:textId="13AB82A2"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«Национальный исследовательский университет «МЭИ»</w:t>
            </w:r>
          </w:p>
        </w:tc>
      </w:tr>
    </w:tbl>
    <w:p w14:paraId="21B44920" w14:textId="77777777" w:rsidR="00407C66" w:rsidRDefault="00407C66"/>
    <w:tbl>
      <w:tblPr>
        <w:tblW w:w="9322" w:type="dxa"/>
        <w:tblLook w:val="04A0" w:firstRow="1" w:lastRow="0" w:firstColumn="1" w:lastColumn="0" w:noHBand="0" w:noVBand="1"/>
      </w:tblPr>
      <w:tblGrid>
        <w:gridCol w:w="6180"/>
        <w:gridCol w:w="3142"/>
      </w:tblGrid>
      <w:tr w:rsidR="00BA7AD7" w:rsidRPr="00BA7AD7" w14:paraId="76378286" w14:textId="77777777">
        <w:trPr>
          <w:trHeight w:val="371"/>
        </w:trPr>
        <w:tc>
          <w:tcPr>
            <w:tcW w:w="6180" w:type="dxa"/>
            <w:hideMark/>
          </w:tcPr>
          <w:p w14:paraId="283238FE" w14:textId="77777777" w:rsidR="00BA7AD7" w:rsidRPr="00BA7AD7" w:rsidRDefault="00BA7AD7" w:rsidP="00407C66">
            <w:pPr>
              <w:spacing w:line="240" w:lineRule="auto"/>
              <w:jc w:val="right"/>
              <w:rPr>
                <w:rFonts w:ascii="Times New Roman" w:hAnsi="Times New Roman" w:cs="Times New Roman"/>
                <w:b/>
                <w:sz w:val="28"/>
                <w:szCs w:val="28"/>
                <w:lang w:val="ru-RU"/>
              </w:rPr>
            </w:pPr>
            <w:r w:rsidRPr="00BA7AD7">
              <w:rPr>
                <w:rFonts w:ascii="Times New Roman" w:hAnsi="Times New Roman" w:cs="Times New Roman"/>
                <w:b/>
                <w:sz w:val="28"/>
                <w:szCs w:val="28"/>
                <w:lang w:val="ru-RU"/>
              </w:rPr>
              <w:t>Институт</w:t>
            </w:r>
          </w:p>
        </w:tc>
        <w:tc>
          <w:tcPr>
            <w:tcW w:w="3142" w:type="dxa"/>
            <w:tcBorders>
              <w:top w:val="nil"/>
              <w:left w:val="nil"/>
              <w:bottom w:val="single" w:sz="4" w:space="0" w:color="auto"/>
              <w:right w:val="nil"/>
            </w:tcBorders>
            <w:hideMark/>
          </w:tcPr>
          <w:p w14:paraId="29C14317" w14:textId="77777777" w:rsidR="00BA7AD7" w:rsidRPr="00BA7AD7" w:rsidRDefault="00BA7AD7" w:rsidP="00407C66">
            <w:pPr>
              <w:spacing w:line="240" w:lineRule="auto"/>
              <w:jc w:val="center"/>
              <w:rPr>
                <w:rFonts w:ascii="Times New Roman" w:hAnsi="Times New Roman" w:cs="Times New Roman"/>
                <w:sz w:val="28"/>
                <w:szCs w:val="28"/>
                <w:lang w:val="ru-RU"/>
              </w:rPr>
            </w:pPr>
            <w:proofErr w:type="spellStart"/>
            <w:r w:rsidRPr="00BA7AD7">
              <w:rPr>
                <w:rFonts w:ascii="Times New Roman" w:hAnsi="Times New Roman" w:cs="Times New Roman"/>
                <w:sz w:val="28"/>
                <w:szCs w:val="28"/>
                <w:lang w:val="ru-RU"/>
              </w:rPr>
              <w:t>ИнЭИ</w:t>
            </w:r>
            <w:proofErr w:type="spellEnd"/>
          </w:p>
        </w:tc>
      </w:tr>
      <w:tr w:rsidR="00BA7AD7" w:rsidRPr="00BA7AD7" w14:paraId="5905A2E9" w14:textId="77777777">
        <w:trPr>
          <w:trHeight w:val="303"/>
        </w:trPr>
        <w:tc>
          <w:tcPr>
            <w:tcW w:w="6180" w:type="dxa"/>
            <w:hideMark/>
          </w:tcPr>
          <w:p w14:paraId="4A973F39" w14:textId="77777777" w:rsidR="00BA7AD7" w:rsidRPr="00BA7AD7" w:rsidRDefault="00BA7AD7" w:rsidP="00407C66">
            <w:pPr>
              <w:spacing w:line="240" w:lineRule="auto"/>
              <w:jc w:val="right"/>
              <w:rPr>
                <w:rFonts w:ascii="Times New Roman" w:hAnsi="Times New Roman" w:cs="Times New Roman"/>
                <w:b/>
                <w:sz w:val="28"/>
                <w:szCs w:val="28"/>
                <w:lang w:val="ru-RU"/>
              </w:rPr>
            </w:pPr>
            <w:r w:rsidRPr="00BA7AD7">
              <w:rPr>
                <w:rFonts w:ascii="Times New Roman" w:hAnsi="Times New Roman" w:cs="Times New Roman"/>
                <w:b/>
                <w:sz w:val="28"/>
                <w:szCs w:val="28"/>
                <w:lang w:val="ru-RU"/>
              </w:rPr>
              <w:t>Кафедра</w:t>
            </w:r>
          </w:p>
        </w:tc>
        <w:tc>
          <w:tcPr>
            <w:tcW w:w="3142" w:type="dxa"/>
            <w:tcBorders>
              <w:top w:val="single" w:sz="4" w:space="0" w:color="auto"/>
              <w:left w:val="nil"/>
              <w:bottom w:val="single" w:sz="4" w:space="0" w:color="auto"/>
              <w:right w:val="nil"/>
            </w:tcBorders>
            <w:hideMark/>
          </w:tcPr>
          <w:p w14:paraId="276140F4"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ЭЭП</w:t>
            </w:r>
          </w:p>
        </w:tc>
      </w:tr>
    </w:tbl>
    <w:p w14:paraId="01216F7F" w14:textId="1C6625D2" w:rsidR="00BA7AD7" w:rsidRPr="00BA7AD7" w:rsidRDefault="00BA7AD7" w:rsidP="00407C66">
      <w:pPr>
        <w:spacing w:before="60" w:after="60"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ЗАДАНИЕ НА ВЫПУСКНУЮ</w:t>
      </w:r>
    </w:p>
    <w:p w14:paraId="7CF29B59" w14:textId="023EB1FA" w:rsidR="00407C66" w:rsidRPr="00BA7AD7" w:rsidRDefault="00BA7AD7" w:rsidP="00407C66">
      <w:pPr>
        <w:spacing w:before="60" w:after="60"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КВАЛИФИКАЦИОННУЮ РАБОТУ БАКАЛАВРА</w:t>
      </w:r>
    </w:p>
    <w:tbl>
      <w:tblPr>
        <w:tblW w:w="9375" w:type="dxa"/>
        <w:tblLayout w:type="fixed"/>
        <w:tblCellMar>
          <w:left w:w="57" w:type="dxa"/>
          <w:right w:w="57" w:type="dxa"/>
        </w:tblCellMar>
        <w:tblLook w:val="04A0" w:firstRow="1" w:lastRow="0" w:firstColumn="1" w:lastColumn="0" w:noHBand="0" w:noVBand="1"/>
      </w:tblPr>
      <w:tblGrid>
        <w:gridCol w:w="988"/>
        <w:gridCol w:w="282"/>
        <w:gridCol w:w="30"/>
        <w:gridCol w:w="650"/>
        <w:gridCol w:w="29"/>
        <w:gridCol w:w="142"/>
        <w:gridCol w:w="7"/>
        <w:gridCol w:w="276"/>
        <w:gridCol w:w="1000"/>
        <w:gridCol w:w="135"/>
        <w:gridCol w:w="142"/>
        <w:gridCol w:w="1417"/>
        <w:gridCol w:w="575"/>
        <w:gridCol w:w="1135"/>
        <w:gridCol w:w="2567"/>
      </w:tblGrid>
      <w:tr w:rsidR="00BA7AD7" w:rsidRPr="00BA7AD7" w14:paraId="10AF9894" w14:textId="77777777" w:rsidTr="00407C66">
        <w:trPr>
          <w:trHeight w:val="292"/>
        </w:trPr>
        <w:tc>
          <w:tcPr>
            <w:tcW w:w="1950" w:type="dxa"/>
            <w:gridSpan w:val="4"/>
            <w:tcBorders>
              <w:top w:val="nil"/>
              <w:left w:val="nil"/>
              <w:bottom w:val="single" w:sz="4" w:space="0" w:color="auto"/>
              <w:right w:val="nil"/>
            </w:tcBorders>
            <w:vAlign w:val="bottom"/>
            <w:hideMark/>
          </w:tcPr>
          <w:p w14:paraId="7B0EC2DC"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Направление</w:t>
            </w:r>
          </w:p>
        </w:tc>
        <w:tc>
          <w:tcPr>
            <w:tcW w:w="7425" w:type="dxa"/>
            <w:gridSpan w:val="11"/>
            <w:tcBorders>
              <w:top w:val="nil"/>
              <w:left w:val="nil"/>
              <w:bottom w:val="single" w:sz="4" w:space="0" w:color="auto"/>
              <w:right w:val="nil"/>
            </w:tcBorders>
            <w:vAlign w:val="bottom"/>
            <w:hideMark/>
          </w:tcPr>
          <w:p w14:paraId="00567ABF"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38.03.01 Экономика</w:t>
            </w:r>
          </w:p>
        </w:tc>
      </w:tr>
      <w:tr w:rsidR="00BA7AD7" w:rsidRPr="00BA7AD7" w14:paraId="05D2E9E3" w14:textId="77777777" w:rsidTr="00407C66">
        <w:trPr>
          <w:trHeight w:val="283"/>
        </w:trPr>
        <w:tc>
          <w:tcPr>
            <w:tcW w:w="1979" w:type="dxa"/>
            <w:gridSpan w:val="5"/>
            <w:tcBorders>
              <w:top w:val="single" w:sz="4" w:space="0" w:color="auto"/>
              <w:left w:val="nil"/>
              <w:bottom w:val="nil"/>
              <w:right w:val="nil"/>
            </w:tcBorders>
            <w:vAlign w:val="bottom"/>
          </w:tcPr>
          <w:p w14:paraId="3B7D192B" w14:textId="77777777" w:rsidR="00BA7AD7" w:rsidRPr="00BA7AD7" w:rsidRDefault="00BA7AD7" w:rsidP="00407C66">
            <w:pPr>
              <w:spacing w:line="240" w:lineRule="auto"/>
              <w:rPr>
                <w:rFonts w:ascii="Times New Roman" w:hAnsi="Times New Roman" w:cs="Times New Roman"/>
                <w:sz w:val="28"/>
                <w:szCs w:val="28"/>
                <w:lang w:val="ru-RU"/>
              </w:rPr>
            </w:pPr>
          </w:p>
        </w:tc>
        <w:tc>
          <w:tcPr>
            <w:tcW w:w="7396" w:type="dxa"/>
            <w:gridSpan w:val="10"/>
            <w:tcBorders>
              <w:top w:val="single" w:sz="4" w:space="0" w:color="auto"/>
              <w:left w:val="nil"/>
              <w:bottom w:val="nil"/>
              <w:right w:val="nil"/>
            </w:tcBorders>
            <w:hideMark/>
          </w:tcPr>
          <w:p w14:paraId="493B5FB1" w14:textId="77777777" w:rsidR="00BA7AD7" w:rsidRPr="00407C66" w:rsidRDefault="00BA7AD7"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(код и наименование)</w:t>
            </w:r>
          </w:p>
        </w:tc>
      </w:tr>
      <w:tr w:rsidR="00BA7AD7" w:rsidRPr="00BA7AD7" w14:paraId="443FFD8D" w14:textId="77777777" w:rsidTr="00407C66">
        <w:trPr>
          <w:trHeight w:val="331"/>
        </w:trPr>
        <w:tc>
          <w:tcPr>
            <w:tcW w:w="3404" w:type="dxa"/>
            <w:gridSpan w:val="9"/>
            <w:tcBorders>
              <w:top w:val="nil"/>
              <w:left w:val="nil"/>
              <w:bottom w:val="single" w:sz="4" w:space="0" w:color="auto"/>
              <w:right w:val="nil"/>
            </w:tcBorders>
            <w:vAlign w:val="bottom"/>
            <w:hideMark/>
          </w:tcPr>
          <w:p w14:paraId="0763621D"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Образовательная программа</w:t>
            </w:r>
          </w:p>
        </w:tc>
        <w:tc>
          <w:tcPr>
            <w:tcW w:w="5971" w:type="dxa"/>
            <w:gridSpan w:val="6"/>
            <w:tcBorders>
              <w:top w:val="nil"/>
              <w:left w:val="nil"/>
              <w:bottom w:val="single" w:sz="4" w:space="0" w:color="auto"/>
              <w:right w:val="nil"/>
            </w:tcBorders>
            <w:vAlign w:val="bottom"/>
            <w:hideMark/>
          </w:tcPr>
          <w:p w14:paraId="0AB7B24D" w14:textId="77777777"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Корпоративные финансы</w:t>
            </w:r>
          </w:p>
        </w:tc>
      </w:tr>
      <w:tr w:rsidR="00BA7AD7" w:rsidRPr="00BA7AD7" w14:paraId="0CF804AA" w14:textId="77777777" w:rsidTr="00407C66">
        <w:trPr>
          <w:trHeight w:val="510"/>
        </w:trPr>
        <w:tc>
          <w:tcPr>
            <w:tcW w:w="2404" w:type="dxa"/>
            <w:gridSpan w:val="8"/>
            <w:tcBorders>
              <w:top w:val="single" w:sz="4" w:space="0" w:color="auto"/>
              <w:left w:val="nil"/>
              <w:bottom w:val="single" w:sz="4" w:space="0" w:color="auto"/>
              <w:right w:val="nil"/>
            </w:tcBorders>
            <w:vAlign w:val="bottom"/>
            <w:hideMark/>
          </w:tcPr>
          <w:p w14:paraId="65EEF24C"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Форма обучения</w:t>
            </w:r>
          </w:p>
        </w:tc>
        <w:tc>
          <w:tcPr>
            <w:tcW w:w="6971" w:type="dxa"/>
            <w:gridSpan w:val="7"/>
            <w:tcBorders>
              <w:top w:val="single" w:sz="4" w:space="0" w:color="auto"/>
              <w:left w:val="nil"/>
              <w:bottom w:val="single" w:sz="4" w:space="0" w:color="auto"/>
              <w:right w:val="nil"/>
            </w:tcBorders>
            <w:vAlign w:val="bottom"/>
            <w:hideMark/>
          </w:tcPr>
          <w:p w14:paraId="1AD232EA" w14:textId="77777777"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очная</w:t>
            </w:r>
          </w:p>
        </w:tc>
      </w:tr>
      <w:tr w:rsidR="00BA7AD7" w:rsidRPr="00BA7AD7" w14:paraId="79C6800A" w14:textId="77777777" w:rsidTr="00407C66">
        <w:trPr>
          <w:trHeight w:val="283"/>
        </w:trPr>
        <w:tc>
          <w:tcPr>
            <w:tcW w:w="2404" w:type="dxa"/>
            <w:gridSpan w:val="8"/>
            <w:tcBorders>
              <w:top w:val="single" w:sz="4" w:space="0" w:color="auto"/>
              <w:left w:val="nil"/>
              <w:bottom w:val="nil"/>
              <w:right w:val="nil"/>
            </w:tcBorders>
          </w:tcPr>
          <w:p w14:paraId="21D7B671" w14:textId="77777777" w:rsidR="00BA7AD7" w:rsidRPr="00BA7AD7" w:rsidRDefault="00BA7AD7" w:rsidP="00407C66">
            <w:pPr>
              <w:spacing w:line="240" w:lineRule="auto"/>
              <w:rPr>
                <w:rFonts w:ascii="Times New Roman" w:hAnsi="Times New Roman" w:cs="Times New Roman"/>
                <w:b/>
                <w:sz w:val="28"/>
                <w:szCs w:val="28"/>
                <w:lang w:val="ru-RU"/>
              </w:rPr>
            </w:pPr>
          </w:p>
        </w:tc>
        <w:tc>
          <w:tcPr>
            <w:tcW w:w="6971" w:type="dxa"/>
            <w:gridSpan w:val="7"/>
            <w:tcBorders>
              <w:top w:val="single" w:sz="4" w:space="0" w:color="auto"/>
              <w:left w:val="nil"/>
              <w:bottom w:val="nil"/>
              <w:right w:val="nil"/>
            </w:tcBorders>
            <w:hideMark/>
          </w:tcPr>
          <w:p w14:paraId="6B7EC7DE" w14:textId="77777777" w:rsidR="00BA7AD7" w:rsidRPr="00407C66" w:rsidRDefault="00BA7AD7"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(очная</w:t>
            </w:r>
            <w:r w:rsidRPr="00407C66">
              <w:rPr>
                <w:rFonts w:ascii="Times New Roman" w:hAnsi="Times New Roman" w:cs="Times New Roman"/>
                <w:sz w:val="20"/>
                <w:szCs w:val="20"/>
                <w:lang w:val="en-US"/>
              </w:rPr>
              <w:t>/</w:t>
            </w:r>
            <w:r w:rsidRPr="00407C66">
              <w:rPr>
                <w:rFonts w:ascii="Times New Roman" w:hAnsi="Times New Roman" w:cs="Times New Roman"/>
                <w:sz w:val="20"/>
                <w:szCs w:val="20"/>
                <w:lang w:val="ru-RU"/>
              </w:rPr>
              <w:t>очно-заочная</w:t>
            </w:r>
            <w:r w:rsidRPr="00407C66">
              <w:rPr>
                <w:rFonts w:ascii="Times New Roman" w:hAnsi="Times New Roman" w:cs="Times New Roman"/>
                <w:sz w:val="20"/>
                <w:szCs w:val="20"/>
                <w:lang w:val="en-US"/>
              </w:rPr>
              <w:t>/</w:t>
            </w:r>
            <w:r w:rsidRPr="00407C66">
              <w:rPr>
                <w:rFonts w:ascii="Times New Roman" w:hAnsi="Times New Roman" w:cs="Times New Roman"/>
                <w:sz w:val="20"/>
                <w:szCs w:val="20"/>
                <w:lang w:val="ru-RU"/>
              </w:rPr>
              <w:t>заочная)</w:t>
            </w:r>
          </w:p>
        </w:tc>
      </w:tr>
      <w:tr w:rsidR="00407C66" w:rsidRPr="00BA7AD7" w14:paraId="683B1FF1" w14:textId="77777777" w:rsidTr="00407C66">
        <w:trPr>
          <w:trHeight w:val="283"/>
        </w:trPr>
        <w:tc>
          <w:tcPr>
            <w:tcW w:w="988" w:type="dxa"/>
            <w:tcBorders>
              <w:top w:val="nil"/>
              <w:left w:val="nil"/>
              <w:bottom w:val="single" w:sz="4" w:space="0" w:color="auto"/>
              <w:right w:val="nil"/>
            </w:tcBorders>
            <w:vAlign w:val="bottom"/>
            <w:hideMark/>
          </w:tcPr>
          <w:p w14:paraId="4F2AEB2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Тема:</w:t>
            </w:r>
          </w:p>
        </w:tc>
        <w:tc>
          <w:tcPr>
            <w:tcW w:w="8387" w:type="dxa"/>
            <w:gridSpan w:val="14"/>
            <w:tcBorders>
              <w:top w:val="nil"/>
              <w:left w:val="nil"/>
              <w:bottom w:val="single" w:sz="4" w:space="0" w:color="auto"/>
              <w:right w:val="nil"/>
            </w:tcBorders>
            <w:vAlign w:val="bottom"/>
          </w:tcPr>
          <w:p w14:paraId="3C8C2A2F" w14:textId="167F9D08" w:rsidR="00407C66" w:rsidRPr="00BA7AD7" w:rsidRDefault="00407C66" w:rsidP="00407C66">
            <w:pPr>
              <w:spacing w:line="240" w:lineRule="auto"/>
              <w:jc w:val="center"/>
              <w:rPr>
                <w:rFonts w:ascii="Times New Roman" w:hAnsi="Times New Roman" w:cs="Times New Roman"/>
                <w:b/>
                <w:sz w:val="28"/>
                <w:szCs w:val="28"/>
                <w:lang w:val="ru-RU"/>
              </w:rPr>
            </w:pPr>
            <w:r>
              <w:rPr>
                <w:rFonts w:ascii="Times New Roman" w:eastAsia="Times New Roman" w:hAnsi="Times New Roman" w:cs="Times New Roman"/>
                <w:noProof/>
                <w:sz w:val="26"/>
                <w:szCs w:val="26"/>
                <w:lang w:val="ru-RU"/>
              </w:rPr>
              <w:t>Оценка состава инвестиционного портфеля ОПИФ РФИ "ВИМ - Металлургия" и разработка рекомендаций по его оптимизации</w:t>
            </w:r>
          </w:p>
        </w:tc>
      </w:tr>
      <w:tr w:rsidR="00407C66" w:rsidRPr="00BA7AD7" w14:paraId="5C98857D" w14:textId="77777777" w:rsidTr="00407C66">
        <w:trPr>
          <w:trHeight w:val="814"/>
        </w:trPr>
        <w:tc>
          <w:tcPr>
            <w:tcW w:w="1300" w:type="dxa"/>
            <w:gridSpan w:val="3"/>
            <w:tcBorders>
              <w:top w:val="single" w:sz="4" w:space="0" w:color="auto"/>
              <w:left w:val="nil"/>
              <w:bottom w:val="single" w:sz="4" w:space="0" w:color="auto"/>
              <w:right w:val="nil"/>
            </w:tcBorders>
            <w:vAlign w:val="bottom"/>
            <w:hideMark/>
          </w:tcPr>
          <w:p w14:paraId="3F455CB5"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Студент</w:t>
            </w:r>
          </w:p>
        </w:tc>
        <w:tc>
          <w:tcPr>
            <w:tcW w:w="2239" w:type="dxa"/>
            <w:gridSpan w:val="7"/>
            <w:tcBorders>
              <w:top w:val="single" w:sz="4" w:space="0" w:color="auto"/>
              <w:left w:val="nil"/>
              <w:bottom w:val="single" w:sz="4" w:space="0" w:color="auto"/>
              <w:right w:val="nil"/>
            </w:tcBorders>
            <w:vAlign w:val="bottom"/>
            <w:hideMark/>
          </w:tcPr>
          <w:p w14:paraId="630264C4" w14:textId="77777777" w:rsidR="00407C66" w:rsidRPr="00BA7AD7" w:rsidRDefault="00407C66"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ИЭ-22а-22</w:t>
            </w:r>
          </w:p>
        </w:tc>
        <w:tc>
          <w:tcPr>
            <w:tcW w:w="2134" w:type="dxa"/>
            <w:gridSpan w:val="3"/>
            <w:tcBorders>
              <w:top w:val="single" w:sz="4" w:space="0" w:color="auto"/>
              <w:left w:val="nil"/>
              <w:bottom w:val="single" w:sz="4" w:space="0" w:color="auto"/>
              <w:right w:val="nil"/>
            </w:tcBorders>
            <w:vAlign w:val="bottom"/>
          </w:tcPr>
          <w:p w14:paraId="6DE0AB50" w14:textId="77777777" w:rsidR="00407C66" w:rsidRPr="00BA7AD7" w:rsidRDefault="00407C66" w:rsidP="00407C66">
            <w:pPr>
              <w:spacing w:line="240" w:lineRule="auto"/>
              <w:rPr>
                <w:rFonts w:ascii="Times New Roman" w:hAnsi="Times New Roman" w:cs="Times New Roman"/>
                <w:b/>
                <w:sz w:val="28"/>
                <w:szCs w:val="28"/>
                <w:lang w:val="ru-RU"/>
              </w:rPr>
            </w:pPr>
          </w:p>
        </w:tc>
        <w:tc>
          <w:tcPr>
            <w:tcW w:w="3702" w:type="dxa"/>
            <w:gridSpan w:val="2"/>
            <w:tcBorders>
              <w:top w:val="single" w:sz="4" w:space="0" w:color="auto"/>
              <w:left w:val="nil"/>
              <w:bottom w:val="single" w:sz="4" w:space="0" w:color="auto"/>
              <w:right w:val="nil"/>
            </w:tcBorders>
            <w:vAlign w:val="bottom"/>
          </w:tcPr>
          <w:p w14:paraId="5F18FC6B" w14:textId="15177AB9"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76EB8F20" w14:textId="77777777" w:rsidTr="00407C66">
        <w:trPr>
          <w:trHeight w:val="283"/>
        </w:trPr>
        <w:tc>
          <w:tcPr>
            <w:tcW w:w="1270" w:type="dxa"/>
            <w:gridSpan w:val="2"/>
            <w:tcBorders>
              <w:top w:val="single" w:sz="4" w:space="0" w:color="auto"/>
              <w:left w:val="nil"/>
              <w:bottom w:val="nil"/>
              <w:right w:val="nil"/>
            </w:tcBorders>
          </w:tcPr>
          <w:p w14:paraId="6245E679"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8"/>
            <w:tcBorders>
              <w:top w:val="single" w:sz="4" w:space="0" w:color="auto"/>
              <w:left w:val="nil"/>
              <w:bottom w:val="nil"/>
              <w:right w:val="nil"/>
            </w:tcBorders>
            <w:hideMark/>
          </w:tcPr>
          <w:p w14:paraId="2EA79689"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группа</w:t>
            </w:r>
          </w:p>
        </w:tc>
        <w:tc>
          <w:tcPr>
            <w:tcW w:w="2134" w:type="dxa"/>
            <w:gridSpan w:val="3"/>
            <w:tcBorders>
              <w:top w:val="single" w:sz="4" w:space="0" w:color="auto"/>
              <w:left w:val="nil"/>
              <w:bottom w:val="nil"/>
              <w:right w:val="nil"/>
            </w:tcBorders>
            <w:hideMark/>
          </w:tcPr>
          <w:p w14:paraId="6E46D2CB"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3702" w:type="dxa"/>
            <w:gridSpan w:val="2"/>
            <w:tcBorders>
              <w:top w:val="single" w:sz="4" w:space="0" w:color="auto"/>
              <w:left w:val="nil"/>
              <w:bottom w:val="nil"/>
              <w:right w:val="nil"/>
            </w:tcBorders>
            <w:hideMark/>
          </w:tcPr>
          <w:p w14:paraId="2E11AB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78CDF4FF" w14:textId="77777777" w:rsidTr="00407C66">
        <w:trPr>
          <w:trHeight w:val="850"/>
        </w:trPr>
        <w:tc>
          <w:tcPr>
            <w:tcW w:w="2128" w:type="dxa"/>
            <w:gridSpan w:val="7"/>
            <w:tcBorders>
              <w:top w:val="nil"/>
              <w:left w:val="nil"/>
              <w:bottom w:val="single" w:sz="4" w:space="0" w:color="auto"/>
              <w:right w:val="nil"/>
            </w:tcBorders>
            <w:vAlign w:val="bottom"/>
            <w:hideMark/>
          </w:tcPr>
          <w:p w14:paraId="45DEC6D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Руководитель ВКР</w:t>
            </w:r>
          </w:p>
        </w:tc>
        <w:tc>
          <w:tcPr>
            <w:tcW w:w="1276" w:type="dxa"/>
            <w:gridSpan w:val="2"/>
            <w:tcBorders>
              <w:top w:val="nil"/>
              <w:left w:val="nil"/>
              <w:bottom w:val="single" w:sz="4" w:space="0" w:color="auto"/>
              <w:right w:val="nil"/>
            </w:tcBorders>
            <w:vAlign w:val="bottom"/>
            <w:hideMark/>
          </w:tcPr>
          <w:p w14:paraId="0E7F2F01" w14:textId="77777777" w:rsidR="00407C66" w:rsidRPr="00BA7AD7" w:rsidRDefault="00407C66"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к.э.н.</w:t>
            </w:r>
          </w:p>
        </w:tc>
        <w:tc>
          <w:tcPr>
            <w:tcW w:w="2269" w:type="dxa"/>
            <w:gridSpan w:val="4"/>
            <w:tcBorders>
              <w:top w:val="nil"/>
              <w:left w:val="nil"/>
              <w:bottom w:val="single" w:sz="4" w:space="0" w:color="auto"/>
              <w:right w:val="nil"/>
            </w:tcBorders>
            <w:vAlign w:val="bottom"/>
            <w:hideMark/>
          </w:tcPr>
          <w:p w14:paraId="403AE75F" w14:textId="77777777" w:rsidR="00407C66" w:rsidRPr="00BA7AD7" w:rsidRDefault="00407C66"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доцент</w:t>
            </w:r>
          </w:p>
        </w:tc>
        <w:tc>
          <w:tcPr>
            <w:tcW w:w="1135" w:type="dxa"/>
            <w:tcBorders>
              <w:top w:val="nil"/>
              <w:left w:val="nil"/>
              <w:bottom w:val="single" w:sz="4" w:space="0" w:color="auto"/>
              <w:right w:val="nil"/>
            </w:tcBorders>
            <w:vAlign w:val="bottom"/>
          </w:tcPr>
          <w:p w14:paraId="2ECAEF38"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3A480AAA" w14:textId="77777777"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089501B1" w14:textId="77777777" w:rsidTr="00D2601B">
        <w:trPr>
          <w:trHeight w:val="397"/>
        </w:trPr>
        <w:tc>
          <w:tcPr>
            <w:tcW w:w="2128" w:type="dxa"/>
            <w:gridSpan w:val="7"/>
            <w:tcBorders>
              <w:top w:val="single" w:sz="4" w:space="0" w:color="auto"/>
              <w:left w:val="nil"/>
              <w:bottom w:val="nil"/>
              <w:right w:val="nil"/>
            </w:tcBorders>
          </w:tcPr>
          <w:p w14:paraId="103CC14B" w14:textId="77777777" w:rsidR="00407C66" w:rsidRPr="00BA7AD7" w:rsidRDefault="00407C66" w:rsidP="00407C66">
            <w:pPr>
              <w:spacing w:line="240" w:lineRule="auto"/>
              <w:rPr>
                <w:rFonts w:ascii="Times New Roman" w:hAnsi="Times New Roman" w:cs="Times New Roman"/>
                <w:sz w:val="28"/>
                <w:szCs w:val="28"/>
                <w:lang w:val="ru-RU"/>
              </w:rPr>
            </w:pPr>
          </w:p>
        </w:tc>
        <w:tc>
          <w:tcPr>
            <w:tcW w:w="1276" w:type="dxa"/>
            <w:gridSpan w:val="2"/>
            <w:tcBorders>
              <w:top w:val="single" w:sz="4" w:space="0" w:color="auto"/>
              <w:left w:val="nil"/>
              <w:bottom w:val="nil"/>
              <w:right w:val="nil"/>
            </w:tcBorders>
            <w:hideMark/>
          </w:tcPr>
          <w:p w14:paraId="05D00808"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18D0CDB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1D707871"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7EC938C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45FF5D28" w14:textId="77777777" w:rsidTr="00407C66">
        <w:trPr>
          <w:trHeight w:val="624"/>
        </w:trPr>
        <w:tc>
          <w:tcPr>
            <w:tcW w:w="2121" w:type="dxa"/>
            <w:gridSpan w:val="6"/>
            <w:tcBorders>
              <w:top w:val="nil"/>
              <w:left w:val="nil"/>
              <w:bottom w:val="single" w:sz="4" w:space="0" w:color="auto"/>
              <w:right w:val="nil"/>
            </w:tcBorders>
            <w:vAlign w:val="bottom"/>
            <w:hideMark/>
          </w:tcPr>
          <w:p w14:paraId="576EA875" w14:textId="77777777" w:rsidR="00407C66" w:rsidRPr="00BA7AD7" w:rsidRDefault="00407C66" w:rsidP="00407C66">
            <w:pPr>
              <w:spacing w:line="240" w:lineRule="auto"/>
              <w:rPr>
                <w:rFonts w:ascii="Times New Roman" w:hAnsi="Times New Roman" w:cs="Times New Roman"/>
                <w:sz w:val="28"/>
                <w:szCs w:val="28"/>
                <w:lang w:val="ru-RU"/>
              </w:rPr>
            </w:pPr>
            <w:r w:rsidRPr="00BA7AD7">
              <w:rPr>
                <w:rFonts w:ascii="Times New Roman" w:hAnsi="Times New Roman" w:cs="Times New Roman"/>
                <w:b/>
                <w:sz w:val="28"/>
                <w:szCs w:val="28"/>
                <w:lang w:val="ru-RU"/>
              </w:rPr>
              <w:t>Консультант</w:t>
            </w:r>
          </w:p>
        </w:tc>
        <w:tc>
          <w:tcPr>
            <w:tcW w:w="1283" w:type="dxa"/>
            <w:gridSpan w:val="3"/>
            <w:tcBorders>
              <w:top w:val="nil"/>
              <w:left w:val="nil"/>
              <w:bottom w:val="single" w:sz="4" w:space="0" w:color="auto"/>
              <w:right w:val="nil"/>
            </w:tcBorders>
            <w:vAlign w:val="bottom"/>
          </w:tcPr>
          <w:p w14:paraId="4B418372"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4"/>
            <w:tcBorders>
              <w:top w:val="nil"/>
              <w:left w:val="nil"/>
              <w:bottom w:val="single" w:sz="4" w:space="0" w:color="auto"/>
              <w:right w:val="nil"/>
            </w:tcBorders>
            <w:vAlign w:val="bottom"/>
          </w:tcPr>
          <w:p w14:paraId="2B5C7851" w14:textId="77777777" w:rsidR="00407C66" w:rsidRPr="00BA7AD7" w:rsidRDefault="00407C66" w:rsidP="00407C66">
            <w:pPr>
              <w:spacing w:line="240" w:lineRule="auto"/>
              <w:rPr>
                <w:rFonts w:ascii="Times New Roman" w:hAnsi="Times New Roman" w:cs="Times New Roman"/>
                <w:sz w:val="28"/>
                <w:szCs w:val="28"/>
                <w:lang w:val="ru-RU"/>
              </w:rPr>
            </w:pPr>
          </w:p>
        </w:tc>
        <w:tc>
          <w:tcPr>
            <w:tcW w:w="1135" w:type="dxa"/>
            <w:tcBorders>
              <w:top w:val="nil"/>
              <w:left w:val="nil"/>
              <w:bottom w:val="single" w:sz="4" w:space="0" w:color="auto"/>
              <w:right w:val="nil"/>
            </w:tcBorders>
            <w:vAlign w:val="bottom"/>
          </w:tcPr>
          <w:p w14:paraId="15809558"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00EE0340" w14:textId="77777777"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2447F1A6" w14:textId="77777777" w:rsidTr="00D2601B">
        <w:trPr>
          <w:trHeight w:val="397"/>
        </w:trPr>
        <w:tc>
          <w:tcPr>
            <w:tcW w:w="2121" w:type="dxa"/>
            <w:gridSpan w:val="6"/>
            <w:tcBorders>
              <w:top w:val="single" w:sz="4" w:space="0" w:color="auto"/>
              <w:left w:val="nil"/>
              <w:bottom w:val="nil"/>
              <w:right w:val="nil"/>
            </w:tcBorders>
          </w:tcPr>
          <w:p w14:paraId="70A59621" w14:textId="77777777" w:rsidR="00407C66" w:rsidRPr="00BA7AD7" w:rsidRDefault="00407C66" w:rsidP="00407C66">
            <w:pPr>
              <w:spacing w:line="240" w:lineRule="auto"/>
              <w:rPr>
                <w:rFonts w:ascii="Times New Roman" w:hAnsi="Times New Roman" w:cs="Times New Roman"/>
                <w:b/>
                <w:sz w:val="28"/>
                <w:szCs w:val="28"/>
                <w:lang w:val="ru-RU"/>
              </w:rPr>
            </w:pPr>
          </w:p>
        </w:tc>
        <w:tc>
          <w:tcPr>
            <w:tcW w:w="1283" w:type="dxa"/>
            <w:gridSpan w:val="3"/>
            <w:tcBorders>
              <w:top w:val="single" w:sz="4" w:space="0" w:color="auto"/>
              <w:left w:val="nil"/>
              <w:bottom w:val="nil"/>
              <w:right w:val="nil"/>
            </w:tcBorders>
            <w:hideMark/>
          </w:tcPr>
          <w:p w14:paraId="1B7D6A0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355A2427"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5E29C52E"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037E6DD3"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5C5C85F2" w14:textId="77777777" w:rsidTr="00407C66">
        <w:trPr>
          <w:trHeight w:val="799"/>
        </w:trPr>
        <w:tc>
          <w:tcPr>
            <w:tcW w:w="2121" w:type="dxa"/>
            <w:gridSpan w:val="6"/>
            <w:tcBorders>
              <w:top w:val="nil"/>
              <w:left w:val="nil"/>
              <w:bottom w:val="single" w:sz="4" w:space="0" w:color="auto"/>
              <w:right w:val="nil"/>
            </w:tcBorders>
            <w:vAlign w:val="bottom"/>
            <w:hideMark/>
          </w:tcPr>
          <w:p w14:paraId="770E376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Внешний консультант</w:t>
            </w:r>
          </w:p>
        </w:tc>
        <w:tc>
          <w:tcPr>
            <w:tcW w:w="1283" w:type="dxa"/>
            <w:gridSpan w:val="3"/>
            <w:tcBorders>
              <w:top w:val="nil"/>
              <w:left w:val="nil"/>
              <w:bottom w:val="single" w:sz="4" w:space="0" w:color="auto"/>
              <w:right w:val="nil"/>
            </w:tcBorders>
            <w:vAlign w:val="bottom"/>
          </w:tcPr>
          <w:p w14:paraId="77708345"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4"/>
            <w:tcBorders>
              <w:top w:val="nil"/>
              <w:left w:val="nil"/>
              <w:bottom w:val="single" w:sz="4" w:space="0" w:color="auto"/>
              <w:right w:val="nil"/>
            </w:tcBorders>
            <w:vAlign w:val="bottom"/>
          </w:tcPr>
          <w:p w14:paraId="3268DCE3" w14:textId="77777777" w:rsidR="00407C66" w:rsidRPr="00BA7AD7" w:rsidRDefault="00407C66" w:rsidP="00407C66">
            <w:pPr>
              <w:spacing w:line="240" w:lineRule="auto"/>
              <w:rPr>
                <w:rFonts w:ascii="Times New Roman" w:hAnsi="Times New Roman" w:cs="Times New Roman"/>
                <w:sz w:val="28"/>
                <w:szCs w:val="28"/>
                <w:lang w:val="ru-RU"/>
              </w:rPr>
            </w:pPr>
          </w:p>
        </w:tc>
        <w:tc>
          <w:tcPr>
            <w:tcW w:w="1135" w:type="dxa"/>
            <w:tcBorders>
              <w:top w:val="nil"/>
              <w:left w:val="nil"/>
              <w:bottom w:val="single" w:sz="4" w:space="0" w:color="auto"/>
              <w:right w:val="nil"/>
            </w:tcBorders>
            <w:vAlign w:val="bottom"/>
          </w:tcPr>
          <w:p w14:paraId="7BEEBCD0"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10CE7B4A" w14:textId="77777777"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23430109" w14:textId="77777777" w:rsidTr="00D2601B">
        <w:trPr>
          <w:trHeight w:val="397"/>
        </w:trPr>
        <w:tc>
          <w:tcPr>
            <w:tcW w:w="2121" w:type="dxa"/>
            <w:gridSpan w:val="6"/>
            <w:tcBorders>
              <w:top w:val="single" w:sz="4" w:space="0" w:color="auto"/>
              <w:left w:val="nil"/>
              <w:bottom w:val="nil"/>
              <w:right w:val="nil"/>
            </w:tcBorders>
          </w:tcPr>
          <w:p w14:paraId="55E23FBD" w14:textId="77777777" w:rsidR="00407C66" w:rsidRPr="00BA7AD7" w:rsidRDefault="00407C66" w:rsidP="00407C66">
            <w:pPr>
              <w:spacing w:line="240" w:lineRule="auto"/>
              <w:rPr>
                <w:rFonts w:ascii="Times New Roman" w:hAnsi="Times New Roman" w:cs="Times New Roman"/>
                <w:sz w:val="28"/>
                <w:szCs w:val="28"/>
                <w:lang w:val="ru-RU"/>
              </w:rPr>
            </w:pPr>
          </w:p>
        </w:tc>
        <w:tc>
          <w:tcPr>
            <w:tcW w:w="1283" w:type="dxa"/>
            <w:gridSpan w:val="3"/>
            <w:tcBorders>
              <w:top w:val="single" w:sz="4" w:space="0" w:color="auto"/>
              <w:left w:val="nil"/>
              <w:bottom w:val="nil"/>
              <w:right w:val="nil"/>
            </w:tcBorders>
            <w:hideMark/>
          </w:tcPr>
          <w:p w14:paraId="63B41C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0FB4BCC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23BBC7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75DFBC2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6F866677" w14:textId="77777777" w:rsidTr="00407C66">
        <w:trPr>
          <w:trHeight w:val="80"/>
        </w:trPr>
        <w:tc>
          <w:tcPr>
            <w:tcW w:w="9375" w:type="dxa"/>
            <w:gridSpan w:val="15"/>
            <w:tcBorders>
              <w:top w:val="nil"/>
              <w:left w:val="nil"/>
              <w:bottom w:val="single" w:sz="4" w:space="0" w:color="auto"/>
              <w:right w:val="nil"/>
            </w:tcBorders>
            <w:vAlign w:val="bottom"/>
          </w:tcPr>
          <w:p w14:paraId="5C8B8551" w14:textId="77777777" w:rsidR="00407C66" w:rsidRPr="00BA7AD7" w:rsidRDefault="00407C66" w:rsidP="00407C66">
            <w:pPr>
              <w:spacing w:line="240" w:lineRule="auto"/>
              <w:rPr>
                <w:rFonts w:ascii="Times New Roman" w:hAnsi="Times New Roman" w:cs="Times New Roman"/>
                <w:sz w:val="28"/>
                <w:szCs w:val="28"/>
                <w:lang w:val="en-US"/>
              </w:rPr>
            </w:pPr>
          </w:p>
        </w:tc>
      </w:tr>
      <w:tr w:rsidR="00407C66" w:rsidRPr="00BA7AD7" w14:paraId="69A3CF05" w14:textId="77777777" w:rsidTr="00407C66">
        <w:trPr>
          <w:trHeight w:val="283"/>
        </w:trPr>
        <w:tc>
          <w:tcPr>
            <w:tcW w:w="9375" w:type="dxa"/>
            <w:gridSpan w:val="15"/>
            <w:tcBorders>
              <w:top w:val="single" w:sz="4" w:space="0" w:color="auto"/>
              <w:left w:val="nil"/>
              <w:bottom w:val="nil"/>
              <w:right w:val="nil"/>
            </w:tcBorders>
            <w:vAlign w:val="center"/>
            <w:hideMark/>
          </w:tcPr>
          <w:p w14:paraId="1215CE9B" w14:textId="77777777" w:rsidR="00407C66" w:rsidRPr="00407C66" w:rsidRDefault="00407C66" w:rsidP="00407C66">
            <w:pPr>
              <w:spacing w:line="240" w:lineRule="auto"/>
              <w:jc w:val="center"/>
              <w:rPr>
                <w:rFonts w:ascii="Times New Roman" w:hAnsi="Times New Roman" w:cs="Times New Roman"/>
                <w:sz w:val="20"/>
                <w:szCs w:val="20"/>
                <w:lang w:val="en-US"/>
              </w:rPr>
            </w:pPr>
            <w:r w:rsidRPr="00407C66">
              <w:rPr>
                <w:rFonts w:ascii="Times New Roman" w:hAnsi="Times New Roman" w:cs="Times New Roman"/>
                <w:sz w:val="20"/>
                <w:szCs w:val="20"/>
                <w:lang w:val="ru-RU"/>
              </w:rPr>
              <w:t>организация</w:t>
            </w:r>
          </w:p>
        </w:tc>
      </w:tr>
      <w:tr w:rsidR="00407C66" w:rsidRPr="00BA7AD7" w14:paraId="0D7A0E0C" w14:textId="77777777" w:rsidTr="00407C66">
        <w:trPr>
          <w:trHeight w:val="783"/>
        </w:trPr>
        <w:tc>
          <w:tcPr>
            <w:tcW w:w="1979" w:type="dxa"/>
            <w:gridSpan w:val="5"/>
            <w:tcBorders>
              <w:top w:val="nil"/>
              <w:left w:val="nil"/>
              <w:bottom w:val="single" w:sz="4" w:space="0" w:color="auto"/>
              <w:right w:val="nil"/>
            </w:tcBorders>
            <w:vAlign w:val="bottom"/>
            <w:hideMark/>
          </w:tcPr>
          <w:p w14:paraId="4C49F44B"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Заведующий кафедрой</w:t>
            </w:r>
          </w:p>
        </w:tc>
        <w:tc>
          <w:tcPr>
            <w:tcW w:w="1702" w:type="dxa"/>
            <w:gridSpan w:val="6"/>
            <w:tcBorders>
              <w:top w:val="nil"/>
              <w:left w:val="nil"/>
              <w:bottom w:val="single" w:sz="4" w:space="0" w:color="auto"/>
              <w:right w:val="nil"/>
            </w:tcBorders>
            <w:vAlign w:val="bottom"/>
            <w:hideMark/>
          </w:tcPr>
          <w:p w14:paraId="4C2DB64A" w14:textId="77777777" w:rsidR="00407C66" w:rsidRPr="00BA7AD7" w:rsidRDefault="00407C66" w:rsidP="00407C66">
            <w:pPr>
              <w:spacing w:line="240" w:lineRule="auto"/>
              <w:rPr>
                <w:rFonts w:ascii="Times New Roman" w:hAnsi="Times New Roman" w:cs="Times New Roman"/>
                <w:sz w:val="28"/>
                <w:szCs w:val="28"/>
                <w:lang w:val="en-US"/>
              </w:rPr>
            </w:pPr>
            <w:proofErr w:type="spellStart"/>
            <w:r w:rsidRPr="00BA7AD7">
              <w:rPr>
                <w:rFonts w:ascii="Times New Roman" w:hAnsi="Times New Roman" w:cs="Times New Roman"/>
                <w:sz w:val="28"/>
                <w:szCs w:val="28"/>
                <w:lang w:val="en-US"/>
              </w:rPr>
              <w:t>к.э.н</w:t>
            </w:r>
            <w:proofErr w:type="spellEnd"/>
            <w:r w:rsidRPr="00BA7AD7">
              <w:rPr>
                <w:rFonts w:ascii="Times New Roman" w:hAnsi="Times New Roman" w:cs="Times New Roman"/>
                <w:sz w:val="28"/>
                <w:szCs w:val="28"/>
                <w:lang w:val="en-US"/>
              </w:rPr>
              <w:t>.</w:t>
            </w:r>
          </w:p>
        </w:tc>
        <w:tc>
          <w:tcPr>
            <w:tcW w:w="1417" w:type="dxa"/>
            <w:tcBorders>
              <w:top w:val="nil"/>
              <w:left w:val="nil"/>
              <w:bottom w:val="single" w:sz="4" w:space="0" w:color="auto"/>
              <w:right w:val="nil"/>
            </w:tcBorders>
            <w:vAlign w:val="bottom"/>
            <w:hideMark/>
          </w:tcPr>
          <w:p w14:paraId="10B714F2" w14:textId="77777777" w:rsidR="00407C66" w:rsidRPr="00BA7AD7" w:rsidRDefault="00407C66" w:rsidP="00407C66">
            <w:pPr>
              <w:spacing w:line="240" w:lineRule="auto"/>
              <w:rPr>
                <w:rFonts w:ascii="Times New Roman" w:hAnsi="Times New Roman" w:cs="Times New Roman"/>
                <w:sz w:val="28"/>
                <w:szCs w:val="28"/>
                <w:lang w:val="en-US"/>
              </w:rPr>
            </w:pPr>
            <w:proofErr w:type="spellStart"/>
            <w:r w:rsidRPr="00BA7AD7">
              <w:rPr>
                <w:rFonts w:ascii="Times New Roman" w:hAnsi="Times New Roman" w:cs="Times New Roman"/>
                <w:sz w:val="28"/>
                <w:szCs w:val="28"/>
                <w:lang w:val="en-US"/>
              </w:rPr>
              <w:t>доцент</w:t>
            </w:r>
            <w:proofErr w:type="spellEnd"/>
          </w:p>
        </w:tc>
        <w:tc>
          <w:tcPr>
            <w:tcW w:w="1710" w:type="dxa"/>
            <w:gridSpan w:val="2"/>
            <w:tcBorders>
              <w:top w:val="nil"/>
              <w:left w:val="nil"/>
              <w:bottom w:val="single" w:sz="4" w:space="0" w:color="auto"/>
              <w:right w:val="nil"/>
            </w:tcBorders>
            <w:vAlign w:val="bottom"/>
          </w:tcPr>
          <w:p w14:paraId="5AAB3625" w14:textId="77777777" w:rsidR="00407C66" w:rsidRPr="00BA7AD7" w:rsidRDefault="00407C66" w:rsidP="00407C66">
            <w:pPr>
              <w:spacing w:line="240" w:lineRule="auto"/>
              <w:rPr>
                <w:rFonts w:ascii="Times New Roman" w:hAnsi="Times New Roman" w:cs="Times New Roman"/>
                <w:sz w:val="28"/>
                <w:szCs w:val="28"/>
                <w:lang w:val="en-US"/>
              </w:rPr>
            </w:pPr>
          </w:p>
        </w:tc>
        <w:tc>
          <w:tcPr>
            <w:tcW w:w="2567" w:type="dxa"/>
            <w:tcBorders>
              <w:top w:val="nil"/>
              <w:left w:val="nil"/>
              <w:bottom w:val="single" w:sz="4" w:space="0" w:color="auto"/>
              <w:right w:val="nil"/>
            </w:tcBorders>
            <w:vAlign w:val="bottom"/>
            <w:hideMark/>
          </w:tcPr>
          <w:p w14:paraId="7549060D" w14:textId="77777777" w:rsidR="00407C66" w:rsidRPr="00BA7AD7" w:rsidRDefault="00407C66" w:rsidP="00407C66">
            <w:pPr>
              <w:spacing w:line="240" w:lineRule="auto"/>
              <w:rPr>
                <w:rFonts w:ascii="Times New Roman" w:hAnsi="Times New Roman" w:cs="Times New Roman"/>
                <w:sz w:val="28"/>
                <w:szCs w:val="28"/>
                <w:lang w:val="en-US"/>
              </w:rPr>
            </w:pPr>
            <w:proofErr w:type="spellStart"/>
            <w:r w:rsidRPr="00BA7AD7">
              <w:rPr>
                <w:rFonts w:ascii="Times New Roman" w:hAnsi="Times New Roman" w:cs="Times New Roman"/>
                <w:sz w:val="28"/>
                <w:szCs w:val="28"/>
                <w:lang w:val="en-US"/>
              </w:rPr>
              <w:t>Крыленко</w:t>
            </w:r>
            <w:proofErr w:type="spellEnd"/>
            <w:r w:rsidRPr="00BA7AD7">
              <w:rPr>
                <w:rFonts w:ascii="Times New Roman" w:hAnsi="Times New Roman" w:cs="Times New Roman"/>
                <w:sz w:val="28"/>
                <w:szCs w:val="28"/>
                <w:lang w:val="en-US"/>
              </w:rPr>
              <w:t xml:space="preserve"> Е.Е.</w:t>
            </w:r>
          </w:p>
        </w:tc>
      </w:tr>
      <w:tr w:rsidR="00407C66" w:rsidRPr="00BA7AD7" w14:paraId="4E9AEB5F" w14:textId="77777777" w:rsidTr="00D2601B">
        <w:trPr>
          <w:trHeight w:val="397"/>
        </w:trPr>
        <w:tc>
          <w:tcPr>
            <w:tcW w:w="1979" w:type="dxa"/>
            <w:gridSpan w:val="5"/>
            <w:tcBorders>
              <w:top w:val="single" w:sz="4" w:space="0" w:color="auto"/>
              <w:left w:val="nil"/>
              <w:bottom w:val="nil"/>
              <w:right w:val="nil"/>
            </w:tcBorders>
          </w:tcPr>
          <w:p w14:paraId="1E799670" w14:textId="77777777" w:rsidR="00407C66" w:rsidRPr="00BA7AD7" w:rsidRDefault="00407C66" w:rsidP="00407C66">
            <w:pPr>
              <w:spacing w:line="240" w:lineRule="auto"/>
              <w:rPr>
                <w:rFonts w:ascii="Times New Roman" w:hAnsi="Times New Roman" w:cs="Times New Roman"/>
                <w:b/>
                <w:sz w:val="28"/>
                <w:szCs w:val="28"/>
                <w:lang w:val="en-US"/>
              </w:rPr>
            </w:pPr>
          </w:p>
        </w:tc>
        <w:tc>
          <w:tcPr>
            <w:tcW w:w="1702" w:type="dxa"/>
            <w:gridSpan w:val="6"/>
            <w:tcBorders>
              <w:top w:val="single" w:sz="4" w:space="0" w:color="auto"/>
              <w:left w:val="nil"/>
              <w:bottom w:val="nil"/>
              <w:right w:val="nil"/>
            </w:tcBorders>
            <w:hideMark/>
          </w:tcPr>
          <w:p w14:paraId="398D0361"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уч. степень</w:t>
            </w:r>
          </w:p>
        </w:tc>
        <w:tc>
          <w:tcPr>
            <w:tcW w:w="1417" w:type="dxa"/>
            <w:tcBorders>
              <w:top w:val="single" w:sz="4" w:space="0" w:color="auto"/>
              <w:left w:val="nil"/>
              <w:bottom w:val="nil"/>
              <w:right w:val="nil"/>
            </w:tcBorders>
            <w:hideMark/>
          </w:tcPr>
          <w:p w14:paraId="71C77F05"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звание</w:t>
            </w:r>
          </w:p>
        </w:tc>
        <w:tc>
          <w:tcPr>
            <w:tcW w:w="1710" w:type="dxa"/>
            <w:gridSpan w:val="2"/>
            <w:tcBorders>
              <w:top w:val="single" w:sz="4" w:space="0" w:color="auto"/>
              <w:left w:val="nil"/>
              <w:bottom w:val="nil"/>
              <w:right w:val="nil"/>
            </w:tcBorders>
            <w:hideMark/>
          </w:tcPr>
          <w:p w14:paraId="0D60DA68"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57A7775C"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733BBE64" w14:textId="77777777" w:rsidTr="00407C66">
        <w:trPr>
          <w:trHeight w:val="347"/>
        </w:trPr>
        <w:tc>
          <w:tcPr>
            <w:tcW w:w="3681" w:type="dxa"/>
            <w:gridSpan w:val="11"/>
            <w:tcBorders>
              <w:top w:val="nil"/>
              <w:left w:val="nil"/>
              <w:bottom w:val="single" w:sz="4" w:space="0" w:color="auto"/>
              <w:right w:val="nil"/>
            </w:tcBorders>
            <w:vAlign w:val="bottom"/>
            <w:hideMark/>
          </w:tcPr>
          <w:p w14:paraId="28448B62"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Место выполнения работы</w:t>
            </w:r>
          </w:p>
        </w:tc>
        <w:tc>
          <w:tcPr>
            <w:tcW w:w="5694" w:type="dxa"/>
            <w:gridSpan w:val="4"/>
            <w:tcBorders>
              <w:top w:val="nil"/>
              <w:left w:val="nil"/>
              <w:bottom w:val="single" w:sz="4" w:space="0" w:color="auto"/>
              <w:right w:val="nil"/>
            </w:tcBorders>
            <w:vAlign w:val="bottom"/>
            <w:hideMark/>
          </w:tcPr>
          <w:p w14:paraId="68A3E958" w14:textId="77777777" w:rsidR="00407C66" w:rsidRPr="00BA7AD7" w:rsidRDefault="00407C66"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ФГБОУ ВО «НИУ «МЭИ»</w:t>
            </w:r>
          </w:p>
        </w:tc>
      </w:tr>
    </w:tbl>
    <w:p w14:paraId="19638B55"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lastRenderedPageBreak/>
        <w:t>Содержание разделов задания и исходные данные</w:t>
      </w:r>
    </w:p>
    <w:p w14:paraId="4BA5DC76"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 xml:space="preserve">Глава 1. Теоретические аспекты формирования и оценки качества инвестиционного портфеля </w:t>
      </w:r>
    </w:p>
    <w:p w14:paraId="35077A54"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1.1 Понятие, экономическая сущность, принципы и методы формирования инвестиционного портфеля</w:t>
      </w:r>
    </w:p>
    <w:p w14:paraId="7AECABB9"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1.2 Методики оценки эффективности и качества инвестиционного портфеля</w:t>
      </w:r>
    </w:p>
    <w:p w14:paraId="30AC8B0B"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Глава 2. Анализ инвестиционного портфеля ОПИФ РФИ «ВИМ-Металлургия»</w:t>
      </w:r>
    </w:p>
    <w:p w14:paraId="665EF65E"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2.1. Структура и состав инвестиционного портфеля ОПИФ РФИ «ВИМ-Металлургия»</w:t>
      </w:r>
    </w:p>
    <w:p w14:paraId="6DA3EBE5" w14:textId="641E580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2.2. Характеристика крупнейших объектов инвестирования</w:t>
      </w:r>
    </w:p>
    <w:p w14:paraId="36469798"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Глава 3. Разработка рекомендация по повышению качества инвестиционного портфеля ОПИФ РФИ «ВИМ-Металлургия»</w:t>
      </w:r>
    </w:p>
    <w:p w14:paraId="4D3268BA"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3.1. Рекомендации по повышению качества портфеля</w:t>
      </w:r>
    </w:p>
    <w:p w14:paraId="4949FB9D" w14:textId="21E87E7D"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3.2. Обоснование эффективности предложенных решений</w:t>
      </w:r>
    </w:p>
    <w:p w14:paraId="31F2890F" w14:textId="4893D222" w:rsidR="00BA7AD7" w:rsidRPr="00F34C03" w:rsidRDefault="00BA7AD7" w:rsidP="00BA7AD7">
      <w:pPr>
        <w:rPr>
          <w:rFonts w:ascii="Times New Roman" w:hAnsi="Times New Roman" w:cs="Times New Roman"/>
          <w:sz w:val="24"/>
          <w:szCs w:val="24"/>
          <w:lang w:val="ru-RU"/>
        </w:rPr>
      </w:pPr>
      <w:r w:rsidRPr="00F34C03">
        <w:rPr>
          <w:rFonts w:ascii="Times New Roman" w:hAnsi="Times New Roman" w:cs="Times New Roman"/>
          <w:sz w:val="24"/>
          <w:szCs w:val="24"/>
          <w:lang w:val="ru-RU"/>
        </w:rPr>
        <w:t xml:space="preserve">Исходные данные: биржевые котировки Московской биржи по акциям и фьючерсам ПАО «Корпоративный центр ИКС 5», ПАО «Магнит» и «Лента»; </w:t>
      </w:r>
      <w:r w:rsidR="00306918" w:rsidRPr="00F34C03">
        <w:rPr>
          <w:rFonts w:ascii="Times New Roman" w:hAnsi="Times New Roman" w:cs="Times New Roman"/>
          <w:sz w:val="24"/>
          <w:szCs w:val="24"/>
          <w:lang w:val="ru-RU"/>
        </w:rPr>
        <w:t>годовая бухгалтерская</w:t>
      </w:r>
      <w:r w:rsidRPr="00F34C03">
        <w:rPr>
          <w:rFonts w:ascii="Times New Roman" w:hAnsi="Times New Roman" w:cs="Times New Roman"/>
          <w:sz w:val="24"/>
          <w:szCs w:val="24"/>
          <w:lang w:val="ru-RU"/>
        </w:rPr>
        <w:t xml:space="preserve"> </w:t>
      </w:r>
      <w:r w:rsidR="00306918" w:rsidRPr="00F34C03">
        <w:rPr>
          <w:rFonts w:ascii="Times New Roman" w:hAnsi="Times New Roman" w:cs="Times New Roman"/>
          <w:sz w:val="24"/>
          <w:szCs w:val="24"/>
          <w:lang w:val="ru-RU"/>
        </w:rPr>
        <w:t>(</w:t>
      </w:r>
      <w:r w:rsidRPr="00F34C03">
        <w:rPr>
          <w:rFonts w:ascii="Times New Roman" w:hAnsi="Times New Roman" w:cs="Times New Roman"/>
          <w:sz w:val="24"/>
          <w:szCs w:val="24"/>
          <w:lang w:val="ru-RU"/>
        </w:rPr>
        <w:t>финансовая</w:t>
      </w:r>
      <w:r w:rsidR="00306918" w:rsidRPr="00F34C03">
        <w:rPr>
          <w:rFonts w:ascii="Times New Roman" w:hAnsi="Times New Roman" w:cs="Times New Roman"/>
          <w:sz w:val="24"/>
          <w:szCs w:val="24"/>
          <w:lang w:val="ru-RU"/>
        </w:rPr>
        <w:t>)</w:t>
      </w:r>
      <w:r w:rsidRPr="00F34C03">
        <w:rPr>
          <w:rFonts w:ascii="Times New Roman" w:hAnsi="Times New Roman" w:cs="Times New Roman"/>
          <w:sz w:val="24"/>
          <w:szCs w:val="24"/>
          <w:lang w:val="ru-RU"/>
        </w:rPr>
        <w:t xml:space="preserve"> отчётность по </w:t>
      </w:r>
      <w:r w:rsidR="00306918" w:rsidRPr="00F34C03">
        <w:rPr>
          <w:rFonts w:ascii="Times New Roman" w:hAnsi="Times New Roman" w:cs="Times New Roman"/>
          <w:sz w:val="24"/>
          <w:szCs w:val="24"/>
          <w:lang w:val="ru-RU"/>
        </w:rPr>
        <w:t>РСБУ</w:t>
      </w:r>
      <w:r w:rsidRPr="00F34C03">
        <w:rPr>
          <w:rFonts w:ascii="Times New Roman" w:hAnsi="Times New Roman" w:cs="Times New Roman"/>
          <w:sz w:val="24"/>
          <w:szCs w:val="24"/>
          <w:lang w:val="ru-RU"/>
        </w:rPr>
        <w:t xml:space="preserve"> </w:t>
      </w:r>
      <w:r w:rsidR="00306918" w:rsidRPr="00F34C03">
        <w:rPr>
          <w:rFonts w:ascii="Times New Roman" w:hAnsi="Times New Roman" w:cs="Times New Roman"/>
          <w:sz w:val="24"/>
          <w:szCs w:val="24"/>
          <w:lang w:val="ru-RU"/>
        </w:rPr>
        <w:t>ПАО «Северсталь», ПАО «ММК», ПАО «ГМК Норникель», ПАО «ЭН+ ГРУП», ПАО «ВСМПО-АВИСМА»</w:t>
      </w:r>
      <w:r w:rsidR="00306918" w:rsidRPr="00F34C03">
        <w:rPr>
          <w:rFonts w:ascii="Times New Roman" w:hAnsi="Times New Roman" w:cs="Times New Roman"/>
          <w:sz w:val="24"/>
          <w:szCs w:val="24"/>
          <w:lang w:val="ru-RU"/>
        </w:rPr>
        <w:t>.</w:t>
      </w:r>
    </w:p>
    <w:p w14:paraId="5CE7FB1E" w14:textId="77777777" w:rsidR="00F34C03" w:rsidRDefault="00F34C03" w:rsidP="00F34C03">
      <w:pPr>
        <w:ind w:left="786"/>
        <w:rPr>
          <w:rFonts w:ascii="Times New Roman" w:hAnsi="Times New Roman" w:cs="Times New Roman"/>
          <w:b/>
          <w:sz w:val="28"/>
          <w:szCs w:val="28"/>
          <w:lang w:val="ru-RU"/>
        </w:rPr>
      </w:pPr>
    </w:p>
    <w:p w14:paraId="4080D380" w14:textId="6466F593"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Объём графического материала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929"/>
        <w:gridCol w:w="3285"/>
      </w:tblGrid>
      <w:tr w:rsidR="00BA7AD7" w:rsidRPr="00BA7AD7" w14:paraId="46C069FA" w14:textId="77777777">
        <w:trPr>
          <w:trHeight w:val="260"/>
        </w:trPr>
        <w:tc>
          <w:tcPr>
            <w:tcW w:w="5929" w:type="dxa"/>
            <w:tcBorders>
              <w:top w:val="nil"/>
              <w:left w:val="nil"/>
              <w:bottom w:val="nil"/>
              <w:right w:val="nil"/>
            </w:tcBorders>
            <w:hideMark/>
          </w:tcPr>
          <w:p w14:paraId="62BA26B8"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Количество листов</w:t>
            </w:r>
          </w:p>
        </w:tc>
        <w:tc>
          <w:tcPr>
            <w:tcW w:w="3285" w:type="dxa"/>
            <w:tcBorders>
              <w:top w:val="nil"/>
              <w:left w:val="nil"/>
              <w:bottom w:val="single" w:sz="4" w:space="0" w:color="auto"/>
              <w:right w:val="nil"/>
            </w:tcBorders>
          </w:tcPr>
          <w:p w14:paraId="1A6C45DA" w14:textId="77777777" w:rsidR="00BA7AD7" w:rsidRPr="00BA7AD7" w:rsidRDefault="00BA7AD7" w:rsidP="00BA7AD7">
            <w:pPr>
              <w:rPr>
                <w:rFonts w:ascii="Times New Roman" w:hAnsi="Times New Roman" w:cs="Times New Roman"/>
                <w:sz w:val="28"/>
                <w:szCs w:val="28"/>
                <w:lang w:val="ru-RU"/>
              </w:rPr>
            </w:pPr>
          </w:p>
        </w:tc>
      </w:tr>
      <w:tr w:rsidR="00BA7AD7" w:rsidRPr="00BA7AD7" w14:paraId="2F49FA8D" w14:textId="77777777" w:rsidTr="00F34C03">
        <w:trPr>
          <w:trHeight w:val="57"/>
        </w:trPr>
        <w:tc>
          <w:tcPr>
            <w:tcW w:w="5929" w:type="dxa"/>
            <w:tcBorders>
              <w:top w:val="nil"/>
              <w:left w:val="nil"/>
              <w:bottom w:val="nil"/>
              <w:right w:val="nil"/>
            </w:tcBorders>
          </w:tcPr>
          <w:p w14:paraId="5EAE74FC" w14:textId="77777777" w:rsidR="00BA7AD7" w:rsidRPr="00BA7AD7" w:rsidRDefault="00BA7AD7" w:rsidP="00BA7AD7">
            <w:pPr>
              <w:rPr>
                <w:rFonts w:ascii="Times New Roman" w:hAnsi="Times New Roman" w:cs="Times New Roman"/>
                <w:b/>
                <w:sz w:val="28"/>
                <w:szCs w:val="28"/>
                <w:lang w:val="ru-RU"/>
              </w:rPr>
            </w:pPr>
          </w:p>
        </w:tc>
        <w:tc>
          <w:tcPr>
            <w:tcW w:w="3285" w:type="dxa"/>
            <w:tcBorders>
              <w:top w:val="single" w:sz="4" w:space="0" w:color="auto"/>
              <w:left w:val="nil"/>
              <w:bottom w:val="nil"/>
              <w:right w:val="nil"/>
            </w:tcBorders>
          </w:tcPr>
          <w:p w14:paraId="65CAC73A" w14:textId="77777777" w:rsidR="00BA7AD7" w:rsidRPr="00BA7AD7" w:rsidRDefault="00BA7AD7" w:rsidP="00BA7AD7">
            <w:pPr>
              <w:rPr>
                <w:rFonts w:ascii="Times New Roman" w:hAnsi="Times New Roman" w:cs="Times New Roman"/>
                <w:sz w:val="28"/>
                <w:szCs w:val="28"/>
                <w:lang w:val="ru-RU"/>
              </w:rPr>
            </w:pPr>
          </w:p>
        </w:tc>
      </w:tr>
      <w:tr w:rsidR="00BA7AD7" w:rsidRPr="00BA7AD7" w14:paraId="798CA44D" w14:textId="77777777">
        <w:trPr>
          <w:trHeight w:val="249"/>
        </w:trPr>
        <w:tc>
          <w:tcPr>
            <w:tcW w:w="5929" w:type="dxa"/>
            <w:tcBorders>
              <w:top w:val="nil"/>
              <w:left w:val="nil"/>
              <w:bottom w:val="nil"/>
              <w:right w:val="nil"/>
            </w:tcBorders>
            <w:hideMark/>
          </w:tcPr>
          <w:p w14:paraId="441DBE13"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Количество слайдов в презентации</w:t>
            </w:r>
          </w:p>
        </w:tc>
        <w:tc>
          <w:tcPr>
            <w:tcW w:w="3285" w:type="dxa"/>
            <w:tcBorders>
              <w:top w:val="nil"/>
              <w:left w:val="nil"/>
              <w:bottom w:val="single" w:sz="4" w:space="0" w:color="auto"/>
              <w:right w:val="nil"/>
            </w:tcBorders>
          </w:tcPr>
          <w:p w14:paraId="4411CA59" w14:textId="77777777" w:rsidR="00BA7AD7" w:rsidRPr="00BA7AD7" w:rsidRDefault="00BA7AD7" w:rsidP="00BA7AD7">
            <w:pPr>
              <w:rPr>
                <w:rFonts w:ascii="Times New Roman" w:hAnsi="Times New Roman" w:cs="Times New Roman"/>
                <w:sz w:val="28"/>
                <w:szCs w:val="28"/>
                <w:lang w:val="ru-RU"/>
              </w:rPr>
            </w:pPr>
          </w:p>
        </w:tc>
      </w:tr>
      <w:tr w:rsidR="00BA7AD7" w:rsidRPr="00BA7AD7" w14:paraId="2A72EFEB" w14:textId="77777777">
        <w:trPr>
          <w:trHeight w:val="189"/>
        </w:trPr>
        <w:tc>
          <w:tcPr>
            <w:tcW w:w="5929" w:type="dxa"/>
            <w:tcBorders>
              <w:top w:val="nil"/>
              <w:left w:val="nil"/>
              <w:bottom w:val="nil"/>
              <w:right w:val="nil"/>
            </w:tcBorders>
          </w:tcPr>
          <w:p w14:paraId="3681E6F6" w14:textId="77777777" w:rsidR="00BA7AD7" w:rsidRPr="00BA7AD7" w:rsidRDefault="00BA7AD7" w:rsidP="00BA7AD7">
            <w:pPr>
              <w:rPr>
                <w:rFonts w:ascii="Times New Roman" w:hAnsi="Times New Roman" w:cs="Times New Roman"/>
                <w:sz w:val="28"/>
                <w:szCs w:val="28"/>
                <w:lang w:val="ru-RU"/>
              </w:rPr>
            </w:pPr>
          </w:p>
        </w:tc>
        <w:tc>
          <w:tcPr>
            <w:tcW w:w="3285" w:type="dxa"/>
            <w:tcBorders>
              <w:top w:val="single" w:sz="4" w:space="0" w:color="auto"/>
              <w:left w:val="nil"/>
              <w:bottom w:val="nil"/>
              <w:right w:val="nil"/>
            </w:tcBorders>
          </w:tcPr>
          <w:p w14:paraId="30864788" w14:textId="77777777" w:rsidR="00BA7AD7" w:rsidRPr="00BA7AD7" w:rsidRDefault="00BA7AD7" w:rsidP="00BA7AD7">
            <w:pPr>
              <w:rPr>
                <w:rFonts w:ascii="Times New Roman" w:hAnsi="Times New Roman" w:cs="Times New Roman"/>
                <w:sz w:val="28"/>
                <w:szCs w:val="28"/>
                <w:lang w:val="ru-RU"/>
              </w:rPr>
            </w:pPr>
          </w:p>
        </w:tc>
      </w:tr>
    </w:tbl>
    <w:p w14:paraId="166AD71A" w14:textId="77777777" w:rsidR="00BA7AD7" w:rsidRDefault="00BA7AD7" w:rsidP="00BA7AD7">
      <w:pPr>
        <w:rPr>
          <w:rFonts w:ascii="Times New Roman" w:hAnsi="Times New Roman" w:cs="Times New Roman"/>
          <w:b/>
          <w:sz w:val="28"/>
          <w:szCs w:val="28"/>
          <w:lang w:val="ru-RU"/>
        </w:rPr>
      </w:pPr>
    </w:p>
    <w:p w14:paraId="1BCAB3EC"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Рекомендуемая литература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214"/>
      </w:tblGrid>
      <w:tr w:rsidR="00BA7AD7" w:rsidRPr="00BA7AD7" w14:paraId="19371F36" w14:textId="77777777">
        <w:trPr>
          <w:trHeight w:val="260"/>
        </w:trPr>
        <w:tc>
          <w:tcPr>
            <w:tcW w:w="9214" w:type="dxa"/>
            <w:tcBorders>
              <w:top w:val="nil"/>
              <w:left w:val="nil"/>
              <w:bottom w:val="single" w:sz="4" w:space="0" w:color="auto"/>
              <w:right w:val="nil"/>
            </w:tcBorders>
            <w:hideMark/>
          </w:tcPr>
          <w:p w14:paraId="27E50D2C" w14:textId="1468A0D8" w:rsidR="00BA7AD7" w:rsidRPr="00F34C03" w:rsidRDefault="00306918" w:rsidP="00F34C03">
            <w:pPr>
              <w:spacing w:line="240" w:lineRule="auto"/>
              <w:rPr>
                <w:rFonts w:ascii="Times New Roman" w:hAnsi="Times New Roman" w:cs="Times New Roman"/>
                <w:sz w:val="24"/>
                <w:szCs w:val="24"/>
                <w:lang w:val="ru-RU"/>
              </w:rPr>
            </w:pPr>
            <w:r w:rsidRPr="00F34C03">
              <w:rPr>
                <w:rFonts w:ascii="Times New Roman" w:eastAsia="Times New Roman" w:hAnsi="Times New Roman" w:cs="Times New Roman"/>
                <w:sz w:val="24"/>
                <w:szCs w:val="24"/>
                <w:lang w:val="ru-RU"/>
              </w:rPr>
              <w:t xml:space="preserve">Об инвестиционных </w:t>
            </w:r>
            <w:proofErr w:type="gramStart"/>
            <w:r w:rsidRPr="00F34C03">
              <w:rPr>
                <w:rFonts w:ascii="Times New Roman" w:eastAsia="Times New Roman" w:hAnsi="Times New Roman" w:cs="Times New Roman"/>
                <w:sz w:val="24"/>
                <w:szCs w:val="24"/>
                <w:lang w:val="ru-RU"/>
              </w:rPr>
              <w:t>фондах :</w:t>
            </w:r>
            <w:proofErr w:type="gramEnd"/>
            <w:r w:rsidRPr="00F34C03">
              <w:rPr>
                <w:rFonts w:ascii="Times New Roman" w:eastAsia="Times New Roman" w:hAnsi="Times New Roman" w:cs="Times New Roman"/>
                <w:sz w:val="24"/>
                <w:szCs w:val="24"/>
                <w:lang w:val="ru-RU"/>
              </w:rPr>
              <w:t xml:space="preserve"> </w:t>
            </w:r>
            <w:proofErr w:type="spellStart"/>
            <w:r w:rsidRPr="00F34C03">
              <w:rPr>
                <w:rFonts w:ascii="Times New Roman" w:eastAsia="Times New Roman" w:hAnsi="Times New Roman" w:cs="Times New Roman"/>
                <w:sz w:val="24"/>
                <w:szCs w:val="24"/>
                <w:lang w:val="ru-RU"/>
              </w:rPr>
              <w:t>федер</w:t>
            </w:r>
            <w:proofErr w:type="spellEnd"/>
            <w:r w:rsidRPr="00F34C03">
              <w:rPr>
                <w:rFonts w:ascii="Times New Roman" w:eastAsia="Times New Roman" w:hAnsi="Times New Roman" w:cs="Times New Roman"/>
                <w:sz w:val="24"/>
                <w:szCs w:val="24"/>
                <w:lang w:val="ru-RU"/>
              </w:rPr>
              <w:t>. закон от 29.11.2001 № 156-ФЗ (актуальная редакция 2026 г.).</w:t>
            </w:r>
          </w:p>
        </w:tc>
      </w:tr>
      <w:tr w:rsidR="00BA7AD7" w:rsidRPr="00BA7AD7" w14:paraId="2A8DD67E" w14:textId="77777777" w:rsidTr="00F34C03">
        <w:trPr>
          <w:trHeight w:val="276"/>
        </w:trPr>
        <w:tc>
          <w:tcPr>
            <w:tcW w:w="9214" w:type="dxa"/>
            <w:tcBorders>
              <w:top w:val="single" w:sz="4" w:space="0" w:color="auto"/>
              <w:left w:val="nil"/>
              <w:bottom w:val="single" w:sz="4" w:space="0" w:color="auto"/>
              <w:right w:val="nil"/>
            </w:tcBorders>
          </w:tcPr>
          <w:p w14:paraId="72B5265E" w14:textId="7BA5C396" w:rsidR="00BA7AD7" w:rsidRPr="00F34C03" w:rsidRDefault="00F34C03" w:rsidP="00F34C03">
            <w:pPr>
              <w:spacing w:line="240" w:lineRule="auto"/>
              <w:rPr>
                <w:rFonts w:ascii="Times New Roman" w:hAnsi="Times New Roman" w:cs="Times New Roman"/>
                <w:sz w:val="24"/>
                <w:szCs w:val="24"/>
                <w:lang w:val="ru-RU"/>
              </w:rPr>
            </w:pPr>
            <w:proofErr w:type="spellStart"/>
            <w:r w:rsidRPr="00F34C03">
              <w:rPr>
                <w:rFonts w:ascii="Times New Roman" w:eastAsia="Times New Roman" w:hAnsi="Times New Roman" w:cs="Times New Roman"/>
                <w:sz w:val="24"/>
                <w:szCs w:val="24"/>
                <w:lang w:val="ru-RU"/>
              </w:rPr>
              <w:t>Аскинадзи</w:t>
            </w:r>
            <w:proofErr w:type="spellEnd"/>
            <w:r w:rsidRPr="00F34C03">
              <w:rPr>
                <w:rFonts w:ascii="Times New Roman" w:eastAsia="Times New Roman" w:hAnsi="Times New Roman" w:cs="Times New Roman"/>
                <w:sz w:val="24"/>
                <w:szCs w:val="24"/>
                <w:lang w:val="ru-RU"/>
              </w:rPr>
              <w:t xml:space="preserve">, В. М. Инвестиции : учебник для бакалавров / В. М. </w:t>
            </w:r>
            <w:proofErr w:type="spellStart"/>
            <w:r w:rsidRPr="00F34C03">
              <w:rPr>
                <w:rFonts w:ascii="Times New Roman" w:eastAsia="Times New Roman" w:hAnsi="Times New Roman" w:cs="Times New Roman"/>
                <w:sz w:val="24"/>
                <w:szCs w:val="24"/>
                <w:lang w:val="ru-RU"/>
              </w:rPr>
              <w:t>Аскинадзи</w:t>
            </w:r>
            <w:proofErr w:type="spellEnd"/>
            <w:r w:rsidRPr="00F34C03">
              <w:rPr>
                <w:rFonts w:ascii="Times New Roman" w:eastAsia="Times New Roman" w:hAnsi="Times New Roman" w:cs="Times New Roman"/>
                <w:sz w:val="24"/>
                <w:szCs w:val="24"/>
                <w:lang w:val="ru-RU"/>
              </w:rPr>
              <w:t xml:space="preserve">, В. Ф. Максимова. – Переиздание. – Москва : Издательство </w:t>
            </w:r>
            <w:proofErr w:type="spellStart"/>
            <w:r w:rsidRPr="00F34C03">
              <w:rPr>
                <w:rFonts w:ascii="Times New Roman" w:eastAsia="Times New Roman" w:hAnsi="Times New Roman" w:cs="Times New Roman"/>
                <w:sz w:val="24"/>
                <w:szCs w:val="24"/>
                <w:lang w:val="ru-RU"/>
              </w:rPr>
              <w:t>Юрайт</w:t>
            </w:r>
            <w:proofErr w:type="spellEnd"/>
            <w:r w:rsidRPr="00F34C03">
              <w:rPr>
                <w:rFonts w:ascii="Times New Roman" w:eastAsia="Times New Roman" w:hAnsi="Times New Roman" w:cs="Times New Roman"/>
                <w:sz w:val="24"/>
                <w:szCs w:val="24"/>
                <w:lang w:val="ru-RU"/>
              </w:rPr>
              <w:t>, 2024. – 422 с.</w:t>
            </w:r>
          </w:p>
        </w:tc>
      </w:tr>
      <w:tr w:rsidR="00BA7AD7" w:rsidRPr="00BA7AD7" w14:paraId="711C8381" w14:textId="77777777" w:rsidTr="00F34C03">
        <w:trPr>
          <w:trHeight w:val="276"/>
        </w:trPr>
        <w:tc>
          <w:tcPr>
            <w:tcW w:w="9214" w:type="dxa"/>
            <w:tcBorders>
              <w:top w:val="single" w:sz="4" w:space="0" w:color="auto"/>
              <w:left w:val="nil"/>
              <w:bottom w:val="single" w:sz="4" w:space="0" w:color="auto"/>
              <w:right w:val="nil"/>
            </w:tcBorders>
          </w:tcPr>
          <w:p w14:paraId="1E6A5A72" w14:textId="4CF86BD4" w:rsidR="00BA7AD7" w:rsidRPr="00F34C03" w:rsidRDefault="00F34C03" w:rsidP="00F34C03">
            <w:pPr>
              <w:spacing w:line="240" w:lineRule="auto"/>
              <w:rPr>
                <w:rFonts w:ascii="Times New Roman" w:hAnsi="Times New Roman" w:cs="Times New Roman"/>
                <w:sz w:val="24"/>
                <w:szCs w:val="24"/>
                <w:lang w:val="ru-RU"/>
              </w:rPr>
            </w:pPr>
            <w:proofErr w:type="spellStart"/>
            <w:r w:rsidRPr="00F34C03">
              <w:rPr>
                <w:rFonts w:ascii="Times New Roman" w:eastAsia="Times New Roman" w:hAnsi="Times New Roman" w:cs="Times New Roman"/>
                <w:sz w:val="24"/>
                <w:szCs w:val="24"/>
                <w:lang w:val="ru-RU"/>
              </w:rPr>
              <w:t>Брейли</w:t>
            </w:r>
            <w:proofErr w:type="spellEnd"/>
            <w:r w:rsidRPr="00F34C03">
              <w:rPr>
                <w:rFonts w:ascii="Times New Roman" w:eastAsia="Times New Roman" w:hAnsi="Times New Roman" w:cs="Times New Roman"/>
                <w:sz w:val="24"/>
                <w:szCs w:val="24"/>
                <w:lang w:val="ru-RU"/>
              </w:rPr>
              <w:t xml:space="preserve">, Р. Принципы корпоративных финансов / Р. </w:t>
            </w:r>
            <w:proofErr w:type="spellStart"/>
            <w:r w:rsidRPr="00F34C03">
              <w:rPr>
                <w:rFonts w:ascii="Times New Roman" w:eastAsia="Times New Roman" w:hAnsi="Times New Roman" w:cs="Times New Roman"/>
                <w:sz w:val="24"/>
                <w:szCs w:val="24"/>
                <w:lang w:val="ru-RU"/>
              </w:rPr>
              <w:t>Брейли</w:t>
            </w:r>
            <w:proofErr w:type="spellEnd"/>
            <w:r w:rsidRPr="00F34C03">
              <w:rPr>
                <w:rFonts w:ascii="Times New Roman" w:eastAsia="Times New Roman" w:hAnsi="Times New Roman" w:cs="Times New Roman"/>
                <w:sz w:val="24"/>
                <w:szCs w:val="24"/>
                <w:lang w:val="ru-RU"/>
              </w:rPr>
              <w:t xml:space="preserve">, С. Майерс ; пер. с англ. – Переиздание. – </w:t>
            </w:r>
            <w:proofErr w:type="gramStart"/>
            <w:r w:rsidRPr="00F34C03">
              <w:rPr>
                <w:rFonts w:ascii="Times New Roman" w:eastAsia="Times New Roman" w:hAnsi="Times New Roman" w:cs="Times New Roman"/>
                <w:sz w:val="24"/>
                <w:szCs w:val="24"/>
                <w:lang w:val="ru-RU"/>
              </w:rPr>
              <w:t>Москва :</w:t>
            </w:r>
            <w:proofErr w:type="gramEnd"/>
            <w:r w:rsidRPr="00F34C03">
              <w:rPr>
                <w:rFonts w:ascii="Times New Roman" w:eastAsia="Times New Roman" w:hAnsi="Times New Roman" w:cs="Times New Roman"/>
                <w:sz w:val="24"/>
                <w:szCs w:val="24"/>
                <w:lang w:val="ru-RU"/>
              </w:rPr>
              <w:t xml:space="preserve"> Олимп-Бизнес, 2024. – 1120 с.</w:t>
            </w:r>
          </w:p>
        </w:tc>
      </w:tr>
      <w:tr w:rsidR="00BA7AD7" w:rsidRPr="00F34C03" w14:paraId="59A8EF64" w14:textId="77777777" w:rsidTr="00F34C03">
        <w:trPr>
          <w:trHeight w:val="276"/>
        </w:trPr>
        <w:tc>
          <w:tcPr>
            <w:tcW w:w="9214" w:type="dxa"/>
            <w:tcBorders>
              <w:top w:val="single" w:sz="4" w:space="0" w:color="auto"/>
              <w:left w:val="nil"/>
              <w:bottom w:val="single" w:sz="4" w:space="0" w:color="auto"/>
              <w:right w:val="nil"/>
            </w:tcBorders>
          </w:tcPr>
          <w:p w14:paraId="6DEDDFA0" w14:textId="151BC744" w:rsidR="00BA7AD7" w:rsidRPr="00F34C03" w:rsidRDefault="00F34C03" w:rsidP="00F34C03">
            <w:pPr>
              <w:spacing w:line="240" w:lineRule="auto"/>
              <w:rPr>
                <w:rFonts w:ascii="Times New Roman" w:hAnsi="Times New Roman" w:cs="Times New Roman"/>
                <w:sz w:val="24"/>
                <w:szCs w:val="24"/>
                <w:lang w:val="ru-RU"/>
              </w:rPr>
            </w:pPr>
            <w:r w:rsidRPr="00F34C03">
              <w:rPr>
                <w:rFonts w:ascii="Times New Roman" w:eastAsia="Times New Roman" w:hAnsi="Times New Roman" w:cs="Times New Roman"/>
                <w:sz w:val="24"/>
                <w:szCs w:val="24"/>
                <w:lang w:val="ru-RU"/>
              </w:rPr>
              <w:t xml:space="preserve">Теплова, Т. В. Инвестиции : учебник и практикум для вузов / Т. В. Теплова. – 3-е изд., </w:t>
            </w:r>
            <w:proofErr w:type="spellStart"/>
            <w:r w:rsidRPr="00F34C03">
              <w:rPr>
                <w:rFonts w:ascii="Times New Roman" w:eastAsia="Times New Roman" w:hAnsi="Times New Roman" w:cs="Times New Roman"/>
                <w:sz w:val="24"/>
                <w:szCs w:val="24"/>
                <w:lang w:val="ru-RU"/>
              </w:rPr>
              <w:t>перераб</w:t>
            </w:r>
            <w:proofErr w:type="spellEnd"/>
            <w:r w:rsidRPr="00F34C03">
              <w:rPr>
                <w:rFonts w:ascii="Times New Roman" w:eastAsia="Times New Roman" w:hAnsi="Times New Roman" w:cs="Times New Roman"/>
                <w:sz w:val="24"/>
                <w:szCs w:val="24"/>
                <w:lang w:val="ru-RU"/>
              </w:rPr>
              <w:t xml:space="preserve">. и доп. – Москва : Издательство </w:t>
            </w:r>
            <w:proofErr w:type="spellStart"/>
            <w:r w:rsidRPr="00F34C03">
              <w:rPr>
                <w:rFonts w:ascii="Times New Roman" w:eastAsia="Times New Roman" w:hAnsi="Times New Roman" w:cs="Times New Roman"/>
                <w:sz w:val="24"/>
                <w:szCs w:val="24"/>
                <w:lang w:val="ru-RU"/>
              </w:rPr>
              <w:t>Юрайт</w:t>
            </w:r>
            <w:proofErr w:type="spellEnd"/>
            <w:r w:rsidRPr="00F34C03">
              <w:rPr>
                <w:rFonts w:ascii="Times New Roman" w:eastAsia="Times New Roman" w:hAnsi="Times New Roman" w:cs="Times New Roman"/>
                <w:sz w:val="24"/>
                <w:szCs w:val="24"/>
                <w:lang w:val="ru-RU"/>
              </w:rPr>
              <w:t>, 2026. – 781 с.</w:t>
            </w:r>
          </w:p>
        </w:tc>
      </w:tr>
      <w:tr w:rsidR="00BA7AD7" w:rsidRPr="00F34C03" w14:paraId="0510680A" w14:textId="77777777" w:rsidTr="00F34C03">
        <w:trPr>
          <w:trHeight w:val="276"/>
        </w:trPr>
        <w:tc>
          <w:tcPr>
            <w:tcW w:w="9214" w:type="dxa"/>
            <w:tcBorders>
              <w:top w:val="single" w:sz="4" w:space="0" w:color="auto"/>
              <w:left w:val="nil"/>
              <w:bottom w:val="single" w:sz="4" w:space="0" w:color="auto"/>
              <w:right w:val="nil"/>
            </w:tcBorders>
          </w:tcPr>
          <w:p w14:paraId="40F4A951" w14:textId="5CB07A09" w:rsidR="00BA7AD7" w:rsidRPr="00F34C03" w:rsidRDefault="00F34C03" w:rsidP="00F34C03">
            <w:pPr>
              <w:spacing w:line="240" w:lineRule="auto"/>
              <w:rPr>
                <w:rFonts w:ascii="Times New Roman" w:hAnsi="Times New Roman" w:cs="Times New Roman"/>
                <w:sz w:val="24"/>
                <w:szCs w:val="24"/>
                <w:lang w:val="en-US"/>
              </w:rPr>
            </w:pPr>
            <w:r w:rsidRPr="00F34C03">
              <w:rPr>
                <w:rFonts w:ascii="Times New Roman" w:eastAsia="Times New Roman" w:hAnsi="Times New Roman" w:cs="Times New Roman"/>
                <w:sz w:val="24"/>
                <w:szCs w:val="24"/>
                <w:lang w:val="en-US"/>
              </w:rPr>
              <w:t xml:space="preserve">Markowitz, H. M. Portfolio Selection: Efficient Diversification of Investments / H. M. Markowitz. – New </w:t>
            </w:r>
            <w:proofErr w:type="gramStart"/>
            <w:r w:rsidRPr="00F34C03">
              <w:rPr>
                <w:rFonts w:ascii="Times New Roman" w:eastAsia="Times New Roman" w:hAnsi="Times New Roman" w:cs="Times New Roman"/>
                <w:sz w:val="24"/>
                <w:szCs w:val="24"/>
                <w:lang w:val="en-US"/>
              </w:rPr>
              <w:t>York :</w:t>
            </w:r>
            <w:proofErr w:type="gramEnd"/>
            <w:r w:rsidRPr="00F34C03">
              <w:rPr>
                <w:rFonts w:ascii="Times New Roman" w:eastAsia="Times New Roman" w:hAnsi="Times New Roman" w:cs="Times New Roman"/>
                <w:sz w:val="24"/>
                <w:szCs w:val="24"/>
                <w:lang w:val="en-US"/>
              </w:rPr>
              <w:t xml:space="preserve"> Wiley, 2024 (Reprint). – 344 p.</w:t>
            </w:r>
          </w:p>
        </w:tc>
      </w:tr>
      <w:tr w:rsidR="00BA7AD7" w:rsidRPr="00F34C03" w14:paraId="6844668A" w14:textId="77777777" w:rsidTr="00F34C03">
        <w:trPr>
          <w:trHeight w:val="524"/>
        </w:trPr>
        <w:tc>
          <w:tcPr>
            <w:tcW w:w="9214" w:type="dxa"/>
            <w:tcBorders>
              <w:top w:val="single" w:sz="4" w:space="0" w:color="auto"/>
              <w:left w:val="nil"/>
              <w:bottom w:val="single" w:sz="4" w:space="0" w:color="auto"/>
              <w:right w:val="nil"/>
            </w:tcBorders>
          </w:tcPr>
          <w:p w14:paraId="3827C1D9" w14:textId="5997B2DD" w:rsidR="00BA7AD7" w:rsidRPr="00F34C03" w:rsidRDefault="00F34C03" w:rsidP="00F34C03">
            <w:pPr>
              <w:spacing w:line="240" w:lineRule="auto"/>
              <w:rPr>
                <w:rFonts w:ascii="Times New Roman" w:hAnsi="Times New Roman" w:cs="Times New Roman"/>
                <w:sz w:val="24"/>
                <w:szCs w:val="24"/>
                <w:lang w:val="en-US"/>
              </w:rPr>
            </w:pPr>
            <w:r w:rsidRPr="00F34C03">
              <w:rPr>
                <w:rFonts w:ascii="Times New Roman" w:eastAsia="Times New Roman" w:hAnsi="Times New Roman" w:cs="Times New Roman"/>
                <w:sz w:val="24"/>
                <w:szCs w:val="24"/>
                <w:lang w:val="en-US"/>
              </w:rPr>
              <w:t xml:space="preserve">Sharpe, W. F. Capital asset prices: a theory of market equilibrium under conditions of risk / W. F. Sharpe. – </w:t>
            </w:r>
            <w:proofErr w:type="gramStart"/>
            <w:r w:rsidRPr="00F34C03">
              <w:rPr>
                <w:rFonts w:ascii="Times New Roman" w:eastAsia="Times New Roman" w:hAnsi="Times New Roman" w:cs="Times New Roman"/>
                <w:sz w:val="24"/>
                <w:szCs w:val="24"/>
                <w:lang w:val="en-US"/>
              </w:rPr>
              <w:t>Text :</w:t>
            </w:r>
            <w:proofErr w:type="gramEnd"/>
            <w:r w:rsidRPr="00F34C03">
              <w:rPr>
                <w:rFonts w:ascii="Times New Roman" w:eastAsia="Times New Roman" w:hAnsi="Times New Roman" w:cs="Times New Roman"/>
                <w:sz w:val="24"/>
                <w:szCs w:val="24"/>
                <w:lang w:val="en-US"/>
              </w:rPr>
              <w:t xml:space="preserve"> unmediated // The Journal of Finance. – 2024 (Reprint). – Vol. 19, no. 3. – P. 425–442</w:t>
            </w:r>
          </w:p>
        </w:tc>
      </w:tr>
    </w:tbl>
    <w:p w14:paraId="231EABA1" w14:textId="77777777" w:rsidR="00BA7AD7" w:rsidRPr="00F34C03" w:rsidRDefault="00BA7AD7" w:rsidP="00BA7AD7">
      <w:pPr>
        <w:rPr>
          <w:rFonts w:ascii="Times New Roman" w:hAnsi="Times New Roman" w:cs="Times New Roman"/>
          <w:b/>
          <w:sz w:val="28"/>
          <w:szCs w:val="28"/>
          <w:lang w:val="en-US"/>
        </w:rPr>
      </w:pPr>
    </w:p>
    <w:p w14:paraId="6AAAFDC0" w14:textId="77777777" w:rsidR="00BA7AD7" w:rsidRPr="00F34C03" w:rsidRDefault="00BA7AD7" w:rsidP="00BA7AD7">
      <w:pPr>
        <w:rPr>
          <w:rFonts w:ascii="Times New Roman" w:hAnsi="Times New Roman" w:cs="Times New Roman"/>
          <w:b/>
          <w:sz w:val="28"/>
          <w:szCs w:val="28"/>
          <w:lang w:val="en-US"/>
        </w:rPr>
      </w:pPr>
    </w:p>
    <w:p w14:paraId="3CD5ACC8"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lastRenderedPageBreak/>
        <w:t>План выполнения выпускной квалификационной работы</w:t>
      </w:r>
    </w:p>
    <w:p w14:paraId="6C523C0F" w14:textId="77777777" w:rsidR="00BA7AD7" w:rsidRPr="00BA7AD7" w:rsidRDefault="00BA7AD7" w:rsidP="00BA7AD7">
      <w:pPr>
        <w:rPr>
          <w:rFonts w:ascii="Times New Roman" w:hAnsi="Times New Roman" w:cs="Times New Roman"/>
          <w:b/>
          <w:sz w:val="28"/>
          <w:szCs w:val="28"/>
          <w:lang w:val="ru-RU"/>
        </w:rPr>
      </w:pPr>
    </w:p>
    <w:tbl>
      <w:tblPr>
        <w:tblW w:w="94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4"/>
        <w:gridCol w:w="4254"/>
        <w:gridCol w:w="1842"/>
        <w:gridCol w:w="2205"/>
      </w:tblGrid>
      <w:tr w:rsidR="00BA7AD7" w:rsidRPr="00BA7AD7" w14:paraId="55AE3CA7" w14:textId="77777777">
        <w:trPr>
          <w:trHeight w:val="639"/>
        </w:trPr>
        <w:tc>
          <w:tcPr>
            <w:tcW w:w="1163" w:type="dxa"/>
            <w:tcBorders>
              <w:top w:val="single" w:sz="4" w:space="0" w:color="000000"/>
              <w:left w:val="single" w:sz="4" w:space="0" w:color="000000"/>
              <w:bottom w:val="single" w:sz="4" w:space="0" w:color="000000"/>
              <w:right w:val="single" w:sz="4" w:space="0" w:color="000000"/>
            </w:tcBorders>
            <w:hideMark/>
          </w:tcPr>
          <w:p w14:paraId="29D70FA0"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w:t>
            </w:r>
          </w:p>
          <w:p w14:paraId="3A7F307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п\п</w:t>
            </w:r>
          </w:p>
        </w:tc>
        <w:tc>
          <w:tcPr>
            <w:tcW w:w="4253" w:type="dxa"/>
            <w:tcBorders>
              <w:top w:val="single" w:sz="4" w:space="0" w:color="000000"/>
              <w:left w:val="single" w:sz="4" w:space="0" w:color="000000"/>
              <w:bottom w:val="single" w:sz="4" w:space="0" w:color="000000"/>
              <w:right w:val="single" w:sz="4" w:space="0" w:color="000000"/>
            </w:tcBorders>
            <w:hideMark/>
          </w:tcPr>
          <w:p w14:paraId="3C73EA33"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Содержание разделов</w:t>
            </w:r>
          </w:p>
        </w:tc>
        <w:tc>
          <w:tcPr>
            <w:tcW w:w="1842" w:type="dxa"/>
            <w:tcBorders>
              <w:top w:val="single" w:sz="4" w:space="0" w:color="000000"/>
              <w:left w:val="single" w:sz="4" w:space="0" w:color="000000"/>
              <w:bottom w:val="single" w:sz="4" w:space="0" w:color="000000"/>
              <w:right w:val="single" w:sz="4" w:space="0" w:color="000000"/>
            </w:tcBorders>
            <w:hideMark/>
          </w:tcPr>
          <w:p w14:paraId="45EC889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Срок</w:t>
            </w:r>
            <w:r w:rsidRPr="00BA7AD7">
              <w:rPr>
                <w:rFonts w:ascii="Times New Roman" w:hAnsi="Times New Roman" w:cs="Times New Roman"/>
                <w:b/>
                <w:sz w:val="28"/>
                <w:szCs w:val="28"/>
                <w:lang w:val="en-US"/>
              </w:rPr>
              <w:t xml:space="preserve"> </w:t>
            </w:r>
            <w:r w:rsidRPr="00BA7AD7">
              <w:rPr>
                <w:rFonts w:ascii="Times New Roman" w:hAnsi="Times New Roman" w:cs="Times New Roman"/>
                <w:b/>
                <w:sz w:val="28"/>
                <w:szCs w:val="28"/>
                <w:lang w:val="ru-RU"/>
              </w:rPr>
              <w:t>выполнения</w:t>
            </w:r>
          </w:p>
        </w:tc>
        <w:tc>
          <w:tcPr>
            <w:tcW w:w="2205" w:type="dxa"/>
            <w:tcBorders>
              <w:top w:val="single" w:sz="4" w:space="0" w:color="000000"/>
              <w:left w:val="single" w:sz="4" w:space="0" w:color="000000"/>
              <w:bottom w:val="single" w:sz="4" w:space="0" w:color="000000"/>
              <w:right w:val="single" w:sz="4" w:space="0" w:color="000000"/>
            </w:tcBorders>
            <w:hideMark/>
          </w:tcPr>
          <w:p w14:paraId="1E419999"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Трудоёмкость,</w:t>
            </w:r>
            <w:r w:rsidRPr="00BA7AD7">
              <w:rPr>
                <w:rFonts w:ascii="Times New Roman" w:hAnsi="Times New Roman" w:cs="Times New Roman"/>
                <w:b/>
                <w:sz w:val="28"/>
                <w:szCs w:val="28"/>
                <w:lang w:val="en-US"/>
              </w:rPr>
              <w:t xml:space="preserve"> </w:t>
            </w:r>
            <w:r w:rsidRPr="00BA7AD7">
              <w:rPr>
                <w:rFonts w:ascii="Times New Roman" w:hAnsi="Times New Roman" w:cs="Times New Roman"/>
                <w:b/>
                <w:sz w:val="28"/>
                <w:szCs w:val="28"/>
                <w:lang w:val="ru-RU"/>
              </w:rPr>
              <w:t>%</w:t>
            </w:r>
          </w:p>
        </w:tc>
      </w:tr>
      <w:tr w:rsidR="00BA7AD7" w:rsidRPr="00BA7AD7" w14:paraId="6995E852" w14:textId="77777777">
        <w:trPr>
          <w:trHeight w:val="3650"/>
        </w:trPr>
        <w:tc>
          <w:tcPr>
            <w:tcW w:w="1163" w:type="dxa"/>
            <w:tcBorders>
              <w:top w:val="single" w:sz="4" w:space="0" w:color="000000"/>
              <w:left w:val="single" w:sz="4" w:space="0" w:color="000000"/>
              <w:bottom w:val="single" w:sz="4" w:space="0" w:color="000000"/>
              <w:right w:val="single" w:sz="4" w:space="0" w:color="000000"/>
            </w:tcBorders>
            <w:hideMark/>
          </w:tcPr>
          <w:p w14:paraId="1859A3BE"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t>I</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hideMark/>
          </w:tcPr>
          <w:p w14:paraId="27C6E89D" w14:textId="3C88BD73" w:rsidR="00D2601B" w:rsidRPr="00D2601B" w:rsidRDefault="00D2601B"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D2601B">
              <w:rPr>
                <w:rFonts w:ascii="Times New Roman" w:hAnsi="Times New Roman" w:cs="Times New Roman"/>
                <w:sz w:val="28"/>
                <w:szCs w:val="28"/>
                <w:lang w:val="ru-RU"/>
              </w:rPr>
              <w:t xml:space="preserve"> 1. </w:t>
            </w:r>
            <w:r>
              <w:rPr>
                <w:rFonts w:ascii="Times New Roman" w:hAnsi="Times New Roman" w:cs="Times New Roman"/>
                <w:sz w:val="28"/>
                <w:szCs w:val="28"/>
                <w:lang w:val="ru-RU"/>
              </w:rPr>
              <w:t xml:space="preserve">Теоретические аспекты формирования и оценки качества инвестиционного портфеля </w:t>
            </w:r>
          </w:p>
          <w:p w14:paraId="14D6A79A" w14:textId="77777777" w:rsidR="00D2601B" w:rsidRPr="00D2601B"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1.1 Понятие, экономическая сущность, принципы и методы формирования инвестиционного портфеля</w:t>
            </w:r>
          </w:p>
          <w:p w14:paraId="09E88D40" w14:textId="77777777" w:rsidR="00D2601B" w:rsidRPr="00D2601B"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1.2 Методики оценки эффективности и качества инвестиционного портфеля</w:t>
            </w:r>
          </w:p>
          <w:p w14:paraId="0FB004AA" w14:textId="397F7C9C" w:rsidR="00BA7AD7" w:rsidRPr="00BA7AD7"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1.3 ПИФ как рыночный механизм коллективного инвестирования</w:t>
            </w:r>
          </w:p>
        </w:tc>
        <w:tc>
          <w:tcPr>
            <w:tcW w:w="1842" w:type="dxa"/>
            <w:tcBorders>
              <w:top w:val="single" w:sz="4" w:space="0" w:color="000000"/>
              <w:left w:val="single" w:sz="4" w:space="0" w:color="000000"/>
              <w:bottom w:val="single" w:sz="4" w:space="0" w:color="000000"/>
              <w:right w:val="single" w:sz="4" w:space="0" w:color="000000"/>
            </w:tcBorders>
            <w:hideMark/>
          </w:tcPr>
          <w:p w14:paraId="6EAF98CD"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11.02.2026</w:t>
            </w:r>
          </w:p>
        </w:tc>
        <w:tc>
          <w:tcPr>
            <w:tcW w:w="2205" w:type="dxa"/>
            <w:tcBorders>
              <w:top w:val="single" w:sz="4" w:space="0" w:color="000000"/>
              <w:left w:val="single" w:sz="4" w:space="0" w:color="000000"/>
              <w:bottom w:val="single" w:sz="4" w:space="0" w:color="000000"/>
              <w:right w:val="single" w:sz="4" w:space="0" w:color="000000"/>
            </w:tcBorders>
            <w:hideMark/>
          </w:tcPr>
          <w:p w14:paraId="6185EB04"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30%</w:t>
            </w:r>
          </w:p>
        </w:tc>
      </w:tr>
      <w:tr w:rsidR="00BA7AD7" w:rsidRPr="00BA7AD7" w14:paraId="54085F11" w14:textId="77777777">
        <w:trPr>
          <w:trHeight w:val="2618"/>
        </w:trPr>
        <w:tc>
          <w:tcPr>
            <w:tcW w:w="1163" w:type="dxa"/>
            <w:tcBorders>
              <w:top w:val="single" w:sz="4" w:space="0" w:color="000000"/>
              <w:left w:val="single" w:sz="4" w:space="0" w:color="000000"/>
              <w:bottom w:val="single" w:sz="4" w:space="0" w:color="000000"/>
              <w:right w:val="single" w:sz="4" w:space="0" w:color="000000"/>
            </w:tcBorders>
            <w:hideMark/>
          </w:tcPr>
          <w:p w14:paraId="36FE72E6"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t>II</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tcPr>
          <w:p w14:paraId="0D2CC0FC" w14:textId="0F4640FE" w:rsidR="00306918" w:rsidRPr="00306918" w:rsidRDefault="00306918"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306918">
              <w:rPr>
                <w:rFonts w:ascii="Times New Roman" w:hAnsi="Times New Roman" w:cs="Times New Roman"/>
                <w:sz w:val="28"/>
                <w:szCs w:val="28"/>
                <w:lang w:val="ru-RU"/>
              </w:rPr>
              <w:t xml:space="preserve"> 2. А</w:t>
            </w:r>
            <w:r>
              <w:rPr>
                <w:rFonts w:ascii="Times New Roman" w:hAnsi="Times New Roman" w:cs="Times New Roman"/>
                <w:sz w:val="28"/>
                <w:szCs w:val="28"/>
                <w:lang w:val="ru-RU"/>
              </w:rPr>
              <w:t>нализ инвестиционного портфеля ОПИФ РФИ «ВИМ-Металлургия»</w:t>
            </w:r>
          </w:p>
          <w:p w14:paraId="08F434B4" w14:textId="77777777" w:rsidR="00306918" w:rsidRPr="00306918"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2.1. Структура и состав инвестиционного портфеля ОПИФ РФИ «ВИМ-Металлургия»</w:t>
            </w:r>
          </w:p>
          <w:p w14:paraId="151D2EFC" w14:textId="1B9696DD" w:rsidR="00BA7AD7" w:rsidRPr="00BA7AD7"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2.2. Характеристика крупнейших объектов инвестирования</w:t>
            </w:r>
          </w:p>
        </w:tc>
        <w:tc>
          <w:tcPr>
            <w:tcW w:w="1842" w:type="dxa"/>
            <w:tcBorders>
              <w:top w:val="single" w:sz="4" w:space="0" w:color="000000"/>
              <w:left w:val="single" w:sz="4" w:space="0" w:color="000000"/>
              <w:bottom w:val="single" w:sz="4" w:space="0" w:color="000000"/>
              <w:right w:val="single" w:sz="4" w:space="0" w:color="000000"/>
            </w:tcBorders>
            <w:hideMark/>
          </w:tcPr>
          <w:p w14:paraId="1BA029F4"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15.03.2026</w:t>
            </w:r>
          </w:p>
        </w:tc>
        <w:tc>
          <w:tcPr>
            <w:tcW w:w="2205" w:type="dxa"/>
            <w:tcBorders>
              <w:top w:val="single" w:sz="4" w:space="0" w:color="000000"/>
              <w:left w:val="single" w:sz="4" w:space="0" w:color="000000"/>
              <w:bottom w:val="single" w:sz="4" w:space="0" w:color="000000"/>
              <w:right w:val="single" w:sz="4" w:space="0" w:color="000000"/>
            </w:tcBorders>
            <w:hideMark/>
          </w:tcPr>
          <w:p w14:paraId="6A763627"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25%</w:t>
            </w:r>
          </w:p>
        </w:tc>
      </w:tr>
      <w:tr w:rsidR="00BA7AD7" w:rsidRPr="00BA7AD7" w14:paraId="0D28AF96" w14:textId="77777777">
        <w:trPr>
          <w:trHeight w:val="90"/>
        </w:trPr>
        <w:tc>
          <w:tcPr>
            <w:tcW w:w="1163" w:type="dxa"/>
            <w:tcBorders>
              <w:top w:val="single" w:sz="4" w:space="0" w:color="000000"/>
              <w:left w:val="single" w:sz="4" w:space="0" w:color="000000"/>
              <w:bottom w:val="single" w:sz="4" w:space="0" w:color="000000"/>
              <w:right w:val="single" w:sz="4" w:space="0" w:color="000000"/>
            </w:tcBorders>
          </w:tcPr>
          <w:p w14:paraId="6033F467"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III</w:t>
            </w:r>
            <w:r w:rsidRPr="00BA7AD7">
              <w:rPr>
                <w:rFonts w:ascii="Times New Roman" w:hAnsi="Times New Roman" w:cs="Times New Roman"/>
                <w:sz w:val="28"/>
                <w:szCs w:val="28"/>
                <w:lang w:val="ru-RU"/>
              </w:rPr>
              <w:t>.</w:t>
            </w:r>
          </w:p>
          <w:p w14:paraId="4433FC78" w14:textId="77777777" w:rsidR="00BA7AD7" w:rsidRPr="00BA7AD7" w:rsidRDefault="00BA7AD7" w:rsidP="00BA7AD7">
            <w:pPr>
              <w:rPr>
                <w:rFonts w:ascii="Times New Roman" w:hAnsi="Times New Roman" w:cs="Times New Roman"/>
                <w:sz w:val="28"/>
                <w:szCs w:val="28"/>
                <w:lang w:val="en-US"/>
              </w:rPr>
            </w:pPr>
          </w:p>
          <w:p w14:paraId="19695466" w14:textId="77777777" w:rsidR="00BA7AD7" w:rsidRPr="00BA7AD7" w:rsidRDefault="00BA7AD7" w:rsidP="00BA7AD7">
            <w:pPr>
              <w:rPr>
                <w:rFonts w:ascii="Times New Roman" w:hAnsi="Times New Roman" w:cs="Times New Roman"/>
                <w:sz w:val="28"/>
                <w:szCs w:val="28"/>
                <w:lang w:val="ru-RU"/>
              </w:rPr>
            </w:pPr>
          </w:p>
        </w:tc>
        <w:tc>
          <w:tcPr>
            <w:tcW w:w="4253" w:type="dxa"/>
            <w:tcBorders>
              <w:top w:val="single" w:sz="4" w:space="0" w:color="000000"/>
              <w:left w:val="single" w:sz="4" w:space="0" w:color="000000"/>
              <w:bottom w:val="single" w:sz="4" w:space="0" w:color="000000"/>
              <w:right w:val="single" w:sz="4" w:space="0" w:color="000000"/>
            </w:tcBorders>
          </w:tcPr>
          <w:p w14:paraId="4A222274" w14:textId="5FEC7BA0" w:rsidR="00306918" w:rsidRPr="00306918" w:rsidRDefault="00306918"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306918">
              <w:rPr>
                <w:rFonts w:ascii="Times New Roman" w:hAnsi="Times New Roman" w:cs="Times New Roman"/>
                <w:sz w:val="28"/>
                <w:szCs w:val="28"/>
                <w:lang w:val="ru-RU"/>
              </w:rPr>
              <w:t xml:space="preserve"> 3. Р</w:t>
            </w:r>
            <w:r>
              <w:rPr>
                <w:rFonts w:ascii="Times New Roman" w:hAnsi="Times New Roman" w:cs="Times New Roman"/>
                <w:sz w:val="28"/>
                <w:szCs w:val="28"/>
                <w:lang w:val="ru-RU"/>
              </w:rPr>
              <w:t xml:space="preserve">азработка рекомендация по повышению качества инвестиционного портфеля </w:t>
            </w:r>
            <w:r w:rsidRPr="00306918">
              <w:rPr>
                <w:rFonts w:ascii="Times New Roman" w:hAnsi="Times New Roman" w:cs="Times New Roman"/>
                <w:sz w:val="28"/>
                <w:szCs w:val="28"/>
                <w:lang w:val="ru-RU"/>
              </w:rPr>
              <w:t>ОПИФ РФИ «ВИМ-Металлургия»</w:t>
            </w:r>
          </w:p>
          <w:p w14:paraId="1A9092AF" w14:textId="77777777" w:rsidR="00306918" w:rsidRPr="00306918"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3.1. Рекомендации по повышению качества портфеля</w:t>
            </w:r>
          </w:p>
          <w:p w14:paraId="226DBB2D" w14:textId="3758158C" w:rsidR="00BA7AD7" w:rsidRPr="00BA7AD7"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3.2. Обоснование эффективности предложенных решений</w:t>
            </w:r>
          </w:p>
        </w:tc>
        <w:tc>
          <w:tcPr>
            <w:tcW w:w="1842" w:type="dxa"/>
            <w:tcBorders>
              <w:top w:val="single" w:sz="4" w:space="0" w:color="000000"/>
              <w:left w:val="single" w:sz="4" w:space="0" w:color="000000"/>
              <w:bottom w:val="single" w:sz="4" w:space="0" w:color="000000"/>
              <w:right w:val="single" w:sz="4" w:space="0" w:color="000000"/>
            </w:tcBorders>
            <w:hideMark/>
          </w:tcPr>
          <w:p w14:paraId="66B2755A"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30.04.2026</w:t>
            </w:r>
          </w:p>
        </w:tc>
        <w:tc>
          <w:tcPr>
            <w:tcW w:w="2205" w:type="dxa"/>
            <w:tcBorders>
              <w:top w:val="single" w:sz="4" w:space="0" w:color="000000"/>
              <w:left w:val="single" w:sz="4" w:space="0" w:color="000000"/>
              <w:bottom w:val="single" w:sz="4" w:space="0" w:color="000000"/>
              <w:right w:val="single" w:sz="4" w:space="0" w:color="000000"/>
            </w:tcBorders>
            <w:hideMark/>
          </w:tcPr>
          <w:p w14:paraId="674CECE3"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35%</w:t>
            </w:r>
          </w:p>
        </w:tc>
      </w:tr>
      <w:tr w:rsidR="00BA7AD7" w:rsidRPr="00BA7AD7" w14:paraId="5300F5EE" w14:textId="77777777">
        <w:trPr>
          <w:trHeight w:val="426"/>
        </w:trPr>
        <w:tc>
          <w:tcPr>
            <w:tcW w:w="1163" w:type="dxa"/>
            <w:tcBorders>
              <w:top w:val="single" w:sz="4" w:space="0" w:color="000000"/>
              <w:left w:val="single" w:sz="4" w:space="0" w:color="000000"/>
              <w:bottom w:val="single" w:sz="4" w:space="0" w:color="000000"/>
              <w:right w:val="single" w:sz="4" w:space="0" w:color="000000"/>
            </w:tcBorders>
            <w:hideMark/>
          </w:tcPr>
          <w:p w14:paraId="6CE4CF47"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t>IV</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tcPr>
          <w:p w14:paraId="20F0C311" w14:textId="77777777" w:rsidR="00BA7AD7" w:rsidRPr="00BA7AD7" w:rsidRDefault="00BA7AD7" w:rsidP="00F34C03">
            <w:pPr>
              <w:spacing w:line="240" w:lineRule="auto"/>
              <w:rPr>
                <w:rFonts w:ascii="Times New Roman" w:hAnsi="Times New Roman" w:cs="Times New Roman"/>
                <w:sz w:val="28"/>
                <w:szCs w:val="28"/>
                <w:lang w:val="ru-RU"/>
              </w:rPr>
            </w:pPr>
            <w:r w:rsidRPr="00BA7AD7">
              <w:rPr>
                <w:rFonts w:ascii="Times New Roman" w:hAnsi="Times New Roman" w:cs="Times New Roman"/>
                <w:sz w:val="28"/>
                <w:szCs w:val="28"/>
                <w:lang w:val="ru-RU"/>
              </w:rPr>
              <w:t>Оформление ВКР</w:t>
            </w:r>
          </w:p>
          <w:p w14:paraId="4F7828C9" w14:textId="77777777" w:rsidR="00BA7AD7" w:rsidRPr="00BA7AD7" w:rsidRDefault="00BA7AD7" w:rsidP="00F34C03">
            <w:pPr>
              <w:spacing w:line="240" w:lineRule="auto"/>
              <w:rPr>
                <w:rFonts w:ascii="Times New Roman" w:hAnsi="Times New Roman" w:cs="Times New Roman"/>
                <w:sz w:val="28"/>
                <w:szCs w:val="28"/>
                <w:lang w:val="ru-RU"/>
              </w:rPr>
            </w:pPr>
          </w:p>
        </w:tc>
        <w:tc>
          <w:tcPr>
            <w:tcW w:w="1842" w:type="dxa"/>
            <w:tcBorders>
              <w:top w:val="single" w:sz="4" w:space="0" w:color="000000"/>
              <w:left w:val="single" w:sz="4" w:space="0" w:color="000000"/>
              <w:bottom w:val="single" w:sz="4" w:space="0" w:color="000000"/>
              <w:right w:val="single" w:sz="4" w:space="0" w:color="000000"/>
            </w:tcBorders>
            <w:hideMark/>
          </w:tcPr>
          <w:p w14:paraId="4FC1770B"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31.05.2026</w:t>
            </w:r>
          </w:p>
        </w:tc>
        <w:tc>
          <w:tcPr>
            <w:tcW w:w="2205" w:type="dxa"/>
            <w:tcBorders>
              <w:top w:val="single" w:sz="4" w:space="0" w:color="000000"/>
              <w:left w:val="single" w:sz="4" w:space="0" w:color="000000"/>
              <w:bottom w:val="single" w:sz="4" w:space="0" w:color="000000"/>
              <w:right w:val="single" w:sz="4" w:space="0" w:color="000000"/>
            </w:tcBorders>
            <w:hideMark/>
          </w:tcPr>
          <w:p w14:paraId="4C00BA89"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10%</w:t>
            </w:r>
          </w:p>
        </w:tc>
      </w:tr>
    </w:tbl>
    <w:p w14:paraId="66E79555" w14:textId="77777777" w:rsidR="00BA7AD7" w:rsidRPr="00BA7AD7" w:rsidRDefault="00BA7AD7" w:rsidP="00BA7AD7">
      <w:pPr>
        <w:rPr>
          <w:rFonts w:ascii="Times New Roman" w:hAnsi="Times New Roman" w:cs="Times New Roman"/>
          <w:b/>
          <w:sz w:val="28"/>
          <w:szCs w:val="28"/>
          <w:lang w:val="ru-RU"/>
        </w:rPr>
      </w:pPr>
    </w:p>
    <w:p w14:paraId="5D58D0F8"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lastRenderedPageBreak/>
        <w:t>Консультации по ВКР (консультант)</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7519097E" w14:textId="77777777">
        <w:trPr>
          <w:trHeight w:val="153"/>
        </w:trPr>
        <w:tc>
          <w:tcPr>
            <w:tcW w:w="9246" w:type="dxa"/>
            <w:gridSpan w:val="5"/>
            <w:tcBorders>
              <w:top w:val="nil"/>
              <w:left w:val="nil"/>
              <w:bottom w:val="nil"/>
              <w:right w:val="nil"/>
            </w:tcBorders>
            <w:hideMark/>
          </w:tcPr>
          <w:p w14:paraId="335593EF"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551A1DB0" w14:textId="77777777" w:rsidTr="00F34C03">
        <w:trPr>
          <w:trHeight w:val="850"/>
        </w:trPr>
        <w:tc>
          <w:tcPr>
            <w:tcW w:w="9246" w:type="dxa"/>
            <w:gridSpan w:val="5"/>
            <w:tcBorders>
              <w:top w:val="nil"/>
              <w:left w:val="nil"/>
              <w:bottom w:val="nil"/>
              <w:right w:val="nil"/>
            </w:tcBorders>
          </w:tcPr>
          <w:p w14:paraId="5468D758" w14:textId="77777777" w:rsidR="00BA7AD7" w:rsidRPr="00BA7AD7" w:rsidRDefault="00BA7AD7" w:rsidP="00BA7AD7">
            <w:pPr>
              <w:rPr>
                <w:rFonts w:ascii="Times New Roman" w:hAnsi="Times New Roman" w:cs="Times New Roman"/>
                <w:sz w:val="28"/>
                <w:szCs w:val="28"/>
                <w:lang w:val="ru-RU"/>
              </w:rPr>
            </w:pPr>
          </w:p>
        </w:tc>
      </w:tr>
      <w:tr w:rsidR="00BA7AD7" w:rsidRPr="00BA7AD7" w14:paraId="202081CA" w14:textId="77777777">
        <w:trPr>
          <w:trHeight w:val="63"/>
        </w:trPr>
        <w:tc>
          <w:tcPr>
            <w:tcW w:w="4712" w:type="dxa"/>
            <w:tcBorders>
              <w:top w:val="nil"/>
              <w:left w:val="nil"/>
              <w:bottom w:val="single" w:sz="4" w:space="0" w:color="auto"/>
              <w:right w:val="nil"/>
            </w:tcBorders>
          </w:tcPr>
          <w:p w14:paraId="65F1D728"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09D7FACB"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3DBCE861"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132BB8A4"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0F573888" w14:textId="77777777" w:rsidR="00BA7AD7" w:rsidRPr="00BA7AD7" w:rsidRDefault="00BA7AD7" w:rsidP="00BA7AD7">
            <w:pPr>
              <w:rPr>
                <w:rFonts w:ascii="Times New Roman" w:hAnsi="Times New Roman" w:cs="Times New Roman"/>
                <w:sz w:val="28"/>
                <w:szCs w:val="28"/>
                <w:lang w:val="ru-RU"/>
              </w:rPr>
            </w:pPr>
          </w:p>
        </w:tc>
      </w:tr>
      <w:tr w:rsidR="00BA7AD7" w:rsidRPr="00BA7AD7" w14:paraId="747CB568" w14:textId="77777777">
        <w:trPr>
          <w:trHeight w:val="190"/>
        </w:trPr>
        <w:tc>
          <w:tcPr>
            <w:tcW w:w="4712" w:type="dxa"/>
            <w:tcBorders>
              <w:top w:val="single" w:sz="4" w:space="0" w:color="auto"/>
              <w:left w:val="nil"/>
              <w:bottom w:val="nil"/>
              <w:right w:val="nil"/>
            </w:tcBorders>
            <w:hideMark/>
          </w:tcPr>
          <w:p w14:paraId="1A1FE7B2"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55084BD0"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3A515496"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5D26D927"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3665A52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F484F7D" w14:textId="77777777" w:rsidR="00BA7AD7" w:rsidRPr="00BA7AD7" w:rsidRDefault="00BA7AD7" w:rsidP="00BA7AD7">
      <w:pPr>
        <w:rPr>
          <w:rFonts w:ascii="Times New Roman" w:hAnsi="Times New Roman" w:cs="Times New Roman"/>
          <w:b/>
          <w:sz w:val="28"/>
          <w:szCs w:val="28"/>
          <w:lang w:val="ru-RU"/>
        </w:rPr>
      </w:pPr>
    </w:p>
    <w:p w14:paraId="441E603A"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Консультации по ВКР (консультант 2)</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2CB9C402" w14:textId="77777777">
        <w:trPr>
          <w:trHeight w:val="153"/>
        </w:trPr>
        <w:tc>
          <w:tcPr>
            <w:tcW w:w="9246" w:type="dxa"/>
            <w:gridSpan w:val="5"/>
            <w:tcBorders>
              <w:top w:val="nil"/>
              <w:left w:val="nil"/>
              <w:bottom w:val="nil"/>
              <w:right w:val="nil"/>
            </w:tcBorders>
            <w:hideMark/>
          </w:tcPr>
          <w:p w14:paraId="5C5E679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6078913A" w14:textId="77777777" w:rsidTr="00F34C03">
        <w:trPr>
          <w:trHeight w:val="567"/>
        </w:trPr>
        <w:tc>
          <w:tcPr>
            <w:tcW w:w="9246" w:type="dxa"/>
            <w:gridSpan w:val="5"/>
            <w:tcBorders>
              <w:top w:val="nil"/>
              <w:left w:val="nil"/>
              <w:bottom w:val="nil"/>
              <w:right w:val="nil"/>
            </w:tcBorders>
          </w:tcPr>
          <w:p w14:paraId="6DA14FA0" w14:textId="77777777" w:rsidR="00BA7AD7" w:rsidRPr="00BA7AD7" w:rsidRDefault="00BA7AD7" w:rsidP="00BA7AD7">
            <w:pPr>
              <w:rPr>
                <w:rFonts w:ascii="Times New Roman" w:hAnsi="Times New Roman" w:cs="Times New Roman"/>
                <w:sz w:val="28"/>
                <w:szCs w:val="28"/>
                <w:lang w:val="ru-RU"/>
              </w:rPr>
            </w:pPr>
          </w:p>
        </w:tc>
      </w:tr>
      <w:tr w:rsidR="00BA7AD7" w:rsidRPr="00BA7AD7" w14:paraId="55AEBB9A" w14:textId="77777777">
        <w:trPr>
          <w:trHeight w:val="82"/>
        </w:trPr>
        <w:tc>
          <w:tcPr>
            <w:tcW w:w="4712" w:type="dxa"/>
            <w:tcBorders>
              <w:top w:val="nil"/>
              <w:left w:val="nil"/>
              <w:bottom w:val="single" w:sz="4" w:space="0" w:color="auto"/>
              <w:right w:val="nil"/>
            </w:tcBorders>
          </w:tcPr>
          <w:p w14:paraId="0C6851B0"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19128AD5"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7764C233"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6F7B20E6"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61AA19DA" w14:textId="77777777" w:rsidR="00BA7AD7" w:rsidRPr="00BA7AD7" w:rsidRDefault="00BA7AD7" w:rsidP="00BA7AD7">
            <w:pPr>
              <w:rPr>
                <w:rFonts w:ascii="Times New Roman" w:hAnsi="Times New Roman" w:cs="Times New Roman"/>
                <w:sz w:val="28"/>
                <w:szCs w:val="28"/>
                <w:lang w:val="ru-RU"/>
              </w:rPr>
            </w:pPr>
          </w:p>
        </w:tc>
      </w:tr>
      <w:tr w:rsidR="00BA7AD7" w:rsidRPr="00BA7AD7" w14:paraId="7E04A851" w14:textId="77777777">
        <w:trPr>
          <w:trHeight w:val="190"/>
        </w:trPr>
        <w:tc>
          <w:tcPr>
            <w:tcW w:w="4712" w:type="dxa"/>
            <w:tcBorders>
              <w:top w:val="single" w:sz="4" w:space="0" w:color="auto"/>
              <w:left w:val="nil"/>
              <w:bottom w:val="nil"/>
              <w:right w:val="nil"/>
            </w:tcBorders>
            <w:hideMark/>
          </w:tcPr>
          <w:p w14:paraId="2B5FE30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189471F6"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11E4A09E"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0AF2945C"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1732416D"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9846182" w14:textId="77777777" w:rsidR="00BA7AD7" w:rsidRPr="00BA7AD7" w:rsidRDefault="00BA7AD7" w:rsidP="00BA7AD7">
      <w:pPr>
        <w:rPr>
          <w:rFonts w:ascii="Times New Roman" w:hAnsi="Times New Roman" w:cs="Times New Roman"/>
          <w:b/>
          <w:sz w:val="28"/>
          <w:szCs w:val="28"/>
          <w:lang w:val="ru-RU"/>
        </w:rPr>
      </w:pPr>
    </w:p>
    <w:p w14:paraId="169DB80F"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Консультации по ВКР (внешний консультант)</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21857FCA" w14:textId="77777777">
        <w:trPr>
          <w:trHeight w:val="153"/>
        </w:trPr>
        <w:tc>
          <w:tcPr>
            <w:tcW w:w="9246" w:type="dxa"/>
            <w:gridSpan w:val="5"/>
            <w:tcBorders>
              <w:top w:val="nil"/>
              <w:left w:val="nil"/>
              <w:bottom w:val="nil"/>
              <w:right w:val="nil"/>
            </w:tcBorders>
            <w:hideMark/>
          </w:tcPr>
          <w:p w14:paraId="3BAAC648"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7FE7EDA7" w14:textId="77777777" w:rsidTr="00F34C03">
        <w:trPr>
          <w:trHeight w:val="567"/>
        </w:trPr>
        <w:tc>
          <w:tcPr>
            <w:tcW w:w="9246" w:type="dxa"/>
            <w:gridSpan w:val="5"/>
            <w:tcBorders>
              <w:top w:val="nil"/>
              <w:left w:val="nil"/>
              <w:bottom w:val="nil"/>
              <w:right w:val="nil"/>
            </w:tcBorders>
          </w:tcPr>
          <w:p w14:paraId="198434BD" w14:textId="77777777" w:rsidR="00BA7AD7" w:rsidRPr="00BA7AD7" w:rsidRDefault="00BA7AD7" w:rsidP="00BA7AD7">
            <w:pPr>
              <w:rPr>
                <w:rFonts w:ascii="Times New Roman" w:hAnsi="Times New Roman" w:cs="Times New Roman"/>
                <w:sz w:val="28"/>
                <w:szCs w:val="28"/>
                <w:lang w:val="ru-RU"/>
              </w:rPr>
            </w:pPr>
          </w:p>
        </w:tc>
      </w:tr>
      <w:tr w:rsidR="00BA7AD7" w:rsidRPr="00BA7AD7" w14:paraId="42A0C47F" w14:textId="77777777">
        <w:trPr>
          <w:trHeight w:val="82"/>
        </w:trPr>
        <w:tc>
          <w:tcPr>
            <w:tcW w:w="4712" w:type="dxa"/>
            <w:tcBorders>
              <w:top w:val="nil"/>
              <w:left w:val="nil"/>
              <w:bottom w:val="single" w:sz="4" w:space="0" w:color="auto"/>
              <w:right w:val="nil"/>
            </w:tcBorders>
          </w:tcPr>
          <w:p w14:paraId="7F952C4E"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18D1AA4B"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3E7EBFC3"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1F8F5E61"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5A246E1A" w14:textId="77777777" w:rsidR="00BA7AD7" w:rsidRPr="00BA7AD7" w:rsidRDefault="00BA7AD7" w:rsidP="00BA7AD7">
            <w:pPr>
              <w:rPr>
                <w:rFonts w:ascii="Times New Roman" w:hAnsi="Times New Roman" w:cs="Times New Roman"/>
                <w:sz w:val="28"/>
                <w:szCs w:val="28"/>
                <w:lang w:val="ru-RU"/>
              </w:rPr>
            </w:pPr>
          </w:p>
        </w:tc>
      </w:tr>
      <w:tr w:rsidR="00BA7AD7" w:rsidRPr="00BA7AD7" w14:paraId="2377D59F" w14:textId="77777777">
        <w:trPr>
          <w:trHeight w:val="190"/>
        </w:trPr>
        <w:tc>
          <w:tcPr>
            <w:tcW w:w="4712" w:type="dxa"/>
            <w:tcBorders>
              <w:top w:val="single" w:sz="4" w:space="0" w:color="auto"/>
              <w:left w:val="nil"/>
              <w:bottom w:val="nil"/>
              <w:right w:val="nil"/>
            </w:tcBorders>
            <w:hideMark/>
          </w:tcPr>
          <w:p w14:paraId="2C9F08F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6C26BFFE"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25A0673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15A37648"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3AFD5377"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474B02FD"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Look w:val="04A0" w:firstRow="1" w:lastRow="0" w:firstColumn="1" w:lastColumn="0" w:noHBand="0" w:noVBand="1"/>
      </w:tblPr>
      <w:tblGrid>
        <w:gridCol w:w="7495"/>
        <w:gridCol w:w="281"/>
        <w:gridCol w:w="1476"/>
      </w:tblGrid>
      <w:tr w:rsidR="00BA7AD7" w:rsidRPr="00BA7AD7" w14:paraId="1458CA3C" w14:textId="77777777">
        <w:trPr>
          <w:trHeight w:val="153"/>
        </w:trPr>
        <w:tc>
          <w:tcPr>
            <w:tcW w:w="7689" w:type="dxa"/>
            <w:hideMark/>
          </w:tcPr>
          <w:p w14:paraId="23BE6FAA"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Дата выдачи задания:</w:t>
            </w:r>
          </w:p>
        </w:tc>
        <w:tc>
          <w:tcPr>
            <w:tcW w:w="283" w:type="dxa"/>
          </w:tcPr>
          <w:p w14:paraId="5BCE98BC" w14:textId="77777777" w:rsidR="00BA7AD7" w:rsidRPr="00BA7AD7" w:rsidRDefault="00BA7AD7" w:rsidP="00BA7AD7">
            <w:pPr>
              <w:rPr>
                <w:rFonts w:ascii="Times New Roman" w:hAnsi="Times New Roman" w:cs="Times New Roman"/>
                <w:b/>
                <w:sz w:val="28"/>
                <w:szCs w:val="28"/>
                <w:lang w:val="ru-RU"/>
              </w:rPr>
            </w:pPr>
          </w:p>
        </w:tc>
        <w:tc>
          <w:tcPr>
            <w:tcW w:w="1274" w:type="dxa"/>
            <w:tcBorders>
              <w:top w:val="nil"/>
              <w:left w:val="nil"/>
              <w:bottom w:val="single" w:sz="4" w:space="0" w:color="auto"/>
              <w:right w:val="nil"/>
            </w:tcBorders>
            <w:hideMark/>
          </w:tcPr>
          <w:p w14:paraId="1FC6452E"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11.02.2026</w:t>
            </w:r>
          </w:p>
        </w:tc>
      </w:tr>
      <w:tr w:rsidR="00BA7AD7" w:rsidRPr="00BA7AD7" w14:paraId="11DBC09E" w14:textId="77777777">
        <w:trPr>
          <w:trHeight w:val="153"/>
        </w:trPr>
        <w:tc>
          <w:tcPr>
            <w:tcW w:w="7689" w:type="dxa"/>
          </w:tcPr>
          <w:p w14:paraId="2D530F14" w14:textId="77777777" w:rsidR="00BA7AD7" w:rsidRPr="00BA7AD7" w:rsidRDefault="00BA7AD7" w:rsidP="00BA7AD7">
            <w:pPr>
              <w:rPr>
                <w:rFonts w:ascii="Times New Roman" w:hAnsi="Times New Roman" w:cs="Times New Roman"/>
                <w:b/>
                <w:sz w:val="28"/>
                <w:szCs w:val="28"/>
                <w:lang w:val="ru-RU"/>
              </w:rPr>
            </w:pPr>
          </w:p>
        </w:tc>
        <w:tc>
          <w:tcPr>
            <w:tcW w:w="283" w:type="dxa"/>
          </w:tcPr>
          <w:p w14:paraId="66763D57" w14:textId="77777777" w:rsidR="00BA7AD7" w:rsidRPr="00BA7AD7" w:rsidRDefault="00BA7AD7" w:rsidP="00BA7AD7">
            <w:pPr>
              <w:rPr>
                <w:rFonts w:ascii="Times New Roman" w:hAnsi="Times New Roman" w:cs="Times New Roman"/>
                <w:b/>
                <w:sz w:val="28"/>
                <w:szCs w:val="28"/>
                <w:lang w:val="ru-RU"/>
              </w:rPr>
            </w:pPr>
          </w:p>
        </w:tc>
        <w:tc>
          <w:tcPr>
            <w:tcW w:w="1274" w:type="dxa"/>
            <w:tcBorders>
              <w:top w:val="single" w:sz="4" w:space="0" w:color="auto"/>
              <w:left w:val="nil"/>
              <w:bottom w:val="nil"/>
              <w:right w:val="nil"/>
            </w:tcBorders>
            <w:hideMark/>
          </w:tcPr>
          <w:p w14:paraId="611C32F5"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дата</w:t>
            </w:r>
          </w:p>
        </w:tc>
      </w:tr>
    </w:tbl>
    <w:p w14:paraId="3679182F"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776CC16E" w14:textId="77777777">
        <w:trPr>
          <w:trHeight w:val="153"/>
        </w:trPr>
        <w:tc>
          <w:tcPr>
            <w:tcW w:w="9246" w:type="dxa"/>
            <w:gridSpan w:val="5"/>
            <w:tcBorders>
              <w:top w:val="nil"/>
              <w:left w:val="nil"/>
              <w:bottom w:val="nil"/>
              <w:right w:val="nil"/>
            </w:tcBorders>
            <w:hideMark/>
          </w:tcPr>
          <w:p w14:paraId="5EA1920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Студент:</w:t>
            </w:r>
          </w:p>
        </w:tc>
      </w:tr>
      <w:tr w:rsidR="00BA7AD7" w:rsidRPr="00BA7AD7" w14:paraId="67BD50C0" w14:textId="77777777">
        <w:trPr>
          <w:trHeight w:val="82"/>
        </w:trPr>
        <w:tc>
          <w:tcPr>
            <w:tcW w:w="4712" w:type="dxa"/>
            <w:tcBorders>
              <w:top w:val="nil"/>
              <w:left w:val="nil"/>
              <w:bottom w:val="single" w:sz="4" w:space="0" w:color="auto"/>
              <w:right w:val="nil"/>
            </w:tcBorders>
            <w:hideMark/>
          </w:tcPr>
          <w:p w14:paraId="22458875" w14:textId="49E1E2CB" w:rsidR="00BA7AD7" w:rsidRPr="00BA7AD7" w:rsidRDefault="00306918" w:rsidP="00BA7AD7">
            <w:pPr>
              <w:rPr>
                <w:rFonts w:ascii="Times New Roman" w:hAnsi="Times New Roman" w:cs="Times New Roman"/>
                <w:sz w:val="28"/>
                <w:szCs w:val="28"/>
                <w:lang w:val="ru-RU"/>
              </w:rPr>
            </w:pPr>
            <w:r>
              <w:rPr>
                <w:rFonts w:ascii="Times New Roman" w:hAnsi="Times New Roman" w:cs="Times New Roman"/>
                <w:sz w:val="28"/>
                <w:szCs w:val="28"/>
                <w:lang w:val="ru-RU"/>
              </w:rPr>
              <w:t>Колпаков Александр Павлович</w:t>
            </w:r>
          </w:p>
        </w:tc>
        <w:tc>
          <w:tcPr>
            <w:tcW w:w="306" w:type="dxa"/>
            <w:tcBorders>
              <w:top w:val="nil"/>
              <w:left w:val="nil"/>
              <w:bottom w:val="nil"/>
              <w:right w:val="nil"/>
            </w:tcBorders>
          </w:tcPr>
          <w:p w14:paraId="6090AEC5"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298D933C"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37562C34"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7FEAA4B3" w14:textId="77777777" w:rsidR="00BA7AD7" w:rsidRPr="00BA7AD7" w:rsidRDefault="00BA7AD7" w:rsidP="00BA7AD7">
            <w:pPr>
              <w:rPr>
                <w:rFonts w:ascii="Times New Roman" w:hAnsi="Times New Roman" w:cs="Times New Roman"/>
                <w:sz w:val="28"/>
                <w:szCs w:val="28"/>
                <w:lang w:val="ru-RU"/>
              </w:rPr>
            </w:pPr>
          </w:p>
        </w:tc>
      </w:tr>
      <w:tr w:rsidR="00BA7AD7" w:rsidRPr="00BA7AD7" w14:paraId="62EE2193" w14:textId="77777777">
        <w:trPr>
          <w:trHeight w:val="190"/>
        </w:trPr>
        <w:tc>
          <w:tcPr>
            <w:tcW w:w="4712" w:type="dxa"/>
            <w:tcBorders>
              <w:top w:val="single" w:sz="4" w:space="0" w:color="auto"/>
              <w:left w:val="nil"/>
              <w:bottom w:val="nil"/>
              <w:right w:val="nil"/>
            </w:tcBorders>
            <w:hideMark/>
          </w:tcPr>
          <w:p w14:paraId="64CFBAFA"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1044F1DF"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3FFFC4D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522E405E"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53684A1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48AF578"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5C770BA8" w14:textId="77777777">
        <w:trPr>
          <w:trHeight w:val="153"/>
        </w:trPr>
        <w:tc>
          <w:tcPr>
            <w:tcW w:w="9246" w:type="dxa"/>
            <w:gridSpan w:val="5"/>
            <w:tcBorders>
              <w:top w:val="nil"/>
              <w:left w:val="nil"/>
              <w:bottom w:val="nil"/>
              <w:right w:val="nil"/>
            </w:tcBorders>
            <w:hideMark/>
          </w:tcPr>
          <w:p w14:paraId="41F7DA1B"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Руководитель ВКР:</w:t>
            </w:r>
          </w:p>
        </w:tc>
      </w:tr>
      <w:tr w:rsidR="00BA7AD7" w:rsidRPr="00BA7AD7" w14:paraId="1AF11EBF" w14:textId="77777777">
        <w:trPr>
          <w:trHeight w:val="82"/>
        </w:trPr>
        <w:tc>
          <w:tcPr>
            <w:tcW w:w="4712" w:type="dxa"/>
            <w:tcBorders>
              <w:top w:val="nil"/>
              <w:left w:val="nil"/>
              <w:bottom w:val="single" w:sz="4" w:space="0" w:color="auto"/>
              <w:right w:val="nil"/>
            </w:tcBorders>
            <w:hideMark/>
          </w:tcPr>
          <w:p w14:paraId="5E0721AB"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Ларина Ирина Евгеньевна</w:t>
            </w:r>
          </w:p>
        </w:tc>
        <w:tc>
          <w:tcPr>
            <w:tcW w:w="306" w:type="dxa"/>
            <w:tcBorders>
              <w:top w:val="nil"/>
              <w:left w:val="nil"/>
              <w:bottom w:val="nil"/>
              <w:right w:val="nil"/>
            </w:tcBorders>
          </w:tcPr>
          <w:p w14:paraId="52A37DB4"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651A4166"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3B4BCC2F"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65E4F0A7" w14:textId="77777777" w:rsidR="00BA7AD7" w:rsidRPr="00BA7AD7" w:rsidRDefault="00BA7AD7" w:rsidP="00BA7AD7">
            <w:pPr>
              <w:rPr>
                <w:rFonts w:ascii="Times New Roman" w:hAnsi="Times New Roman" w:cs="Times New Roman"/>
                <w:sz w:val="28"/>
                <w:szCs w:val="28"/>
                <w:lang w:val="ru-RU"/>
              </w:rPr>
            </w:pPr>
          </w:p>
        </w:tc>
      </w:tr>
      <w:tr w:rsidR="00BA7AD7" w:rsidRPr="00BA7AD7" w14:paraId="2FB7E24A" w14:textId="77777777">
        <w:trPr>
          <w:trHeight w:val="190"/>
        </w:trPr>
        <w:tc>
          <w:tcPr>
            <w:tcW w:w="4712" w:type="dxa"/>
            <w:tcBorders>
              <w:top w:val="single" w:sz="4" w:space="0" w:color="auto"/>
              <w:left w:val="nil"/>
              <w:bottom w:val="nil"/>
              <w:right w:val="nil"/>
            </w:tcBorders>
            <w:hideMark/>
          </w:tcPr>
          <w:p w14:paraId="2F354454"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298B142C"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5791A4AA"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0966EEF2"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4CE95D94"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3C70FD76" w14:textId="77777777" w:rsidR="00BA7AD7" w:rsidRPr="00BA7AD7" w:rsidRDefault="00BA7AD7" w:rsidP="00BA7AD7">
      <w:pPr>
        <w:rPr>
          <w:rFonts w:ascii="Times New Roman" w:hAnsi="Times New Roman" w:cs="Times New Roman"/>
          <w:b/>
          <w:sz w:val="28"/>
          <w:szCs w:val="28"/>
          <w:lang w:val="ru-RU"/>
        </w:rPr>
      </w:pPr>
    </w:p>
    <w:p w14:paraId="55B863C5"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i/>
          <w:sz w:val="28"/>
          <w:szCs w:val="28"/>
          <w:lang w:val="ru-RU"/>
        </w:rPr>
        <w:t>Примечания:</w:t>
      </w:r>
    </w:p>
    <w:p w14:paraId="1DD8567C" w14:textId="77777777" w:rsidR="00BA7AD7" w:rsidRPr="00F34C03" w:rsidRDefault="00BA7AD7" w:rsidP="00BA7AD7">
      <w:pPr>
        <w:numPr>
          <w:ilvl w:val="0"/>
          <w:numId w:val="28"/>
        </w:numPr>
        <w:rPr>
          <w:rFonts w:ascii="Times New Roman" w:hAnsi="Times New Roman" w:cs="Times New Roman"/>
          <w:sz w:val="20"/>
          <w:szCs w:val="20"/>
          <w:lang w:val="ru-RU"/>
        </w:rPr>
      </w:pPr>
      <w:r w:rsidRPr="00F34C03">
        <w:rPr>
          <w:rFonts w:ascii="Times New Roman" w:hAnsi="Times New Roman" w:cs="Times New Roman"/>
          <w:sz w:val="20"/>
          <w:szCs w:val="20"/>
          <w:lang w:val="ru-RU"/>
        </w:rPr>
        <w:t>Задание брошюруется вместе с выпускной работой после титульного листа (страницы задания имеют номера 2, 3, 4, 5).</w:t>
      </w:r>
    </w:p>
    <w:p w14:paraId="0F7A8554" w14:textId="77777777" w:rsidR="00BA7AD7" w:rsidRPr="00F34C03" w:rsidRDefault="00BA7AD7" w:rsidP="00BA7AD7">
      <w:pPr>
        <w:numPr>
          <w:ilvl w:val="0"/>
          <w:numId w:val="28"/>
        </w:numPr>
        <w:rPr>
          <w:rFonts w:ascii="Times New Roman" w:hAnsi="Times New Roman" w:cs="Times New Roman"/>
          <w:sz w:val="20"/>
          <w:szCs w:val="20"/>
          <w:lang w:val="ru-RU"/>
        </w:rPr>
      </w:pPr>
      <w:r w:rsidRPr="00F34C03">
        <w:rPr>
          <w:rFonts w:ascii="Times New Roman" w:hAnsi="Times New Roman" w:cs="Times New Roman"/>
          <w:sz w:val="20"/>
          <w:szCs w:val="20"/>
          <w:lang w:val="ru-RU"/>
        </w:rPr>
        <w:t>Отзыв руководителя, рецензия(и), отчет о проверке на объем заимствований и согласие студента на размещение работы в открытом доступе вкладываются в конверт (файловую папку) под обложкой работы.</w:t>
      </w:r>
    </w:p>
    <w:p w14:paraId="0A000001" w14:textId="35E7490B" w:rsidR="00343600" w:rsidRPr="00F34C03" w:rsidRDefault="00BA7AD7" w:rsidP="00F34C03">
      <w:pPr>
        <w:jc w:val="center"/>
        <w:rPr>
          <w:rFonts w:ascii="Times New Roman" w:hAnsi="Times New Roman" w:cs="Times New Roman"/>
          <w:b/>
          <w:bCs/>
          <w:sz w:val="28"/>
          <w:szCs w:val="28"/>
          <w:lang w:val="ru-RU"/>
        </w:rPr>
      </w:pPr>
      <w:sdt>
        <w:sdtPr>
          <w:rPr>
            <w:rFonts w:ascii="Times New Roman" w:hAnsi="Times New Roman" w:cs="Times New Roman"/>
            <w:sz w:val="28"/>
            <w:szCs w:val="28"/>
            <w:lang w:val="ru-RU"/>
          </w:rPr>
          <w:id w:val="-174271183"/>
          <w:showingPlcHdr/>
          <w:docPartObj>
            <w:docPartGallery w:val="Table of Contents"/>
            <w:docPartUnique/>
          </w:docPartObj>
        </w:sdtPr>
        <w:sdtContent>
          <w:r w:rsidRPr="00BA7AD7">
            <w:rPr>
              <w:rFonts w:ascii="Times New Roman" w:hAnsi="Times New Roman" w:cs="Times New Roman"/>
              <w:sz w:val="28"/>
              <w:szCs w:val="28"/>
              <w:lang w:val="en-US"/>
            </w:rPr>
            <w:t xml:space="preserve">     </w:t>
          </w:r>
        </w:sdtContent>
      </w:sdt>
      <w:r w:rsidR="004D2295" w:rsidRPr="00F34C03">
        <w:rPr>
          <w:rFonts w:ascii="Times New Roman" w:hAnsi="Times New Roman" w:cs="Times New Roman"/>
          <w:b/>
          <w:bCs/>
          <w:sz w:val="28"/>
          <w:szCs w:val="28"/>
          <w:lang w:val="ru-RU"/>
        </w:rPr>
        <w:t>АННОТАЦИЯ</w:t>
      </w:r>
    </w:p>
    <w:p w14:paraId="3CE11B76" w14:textId="42A74DB6" w:rsidR="004D2295" w:rsidRPr="004D2295" w:rsidRDefault="004D2295" w:rsidP="004D2295">
      <w:pPr>
        <w:spacing w:line="360" w:lineRule="auto"/>
        <w:ind w:firstLine="709"/>
        <w:jc w:val="both"/>
        <w:rPr>
          <w:rFonts w:ascii="Times New Roman" w:hAnsi="Times New Roman" w:cs="Times New Roman"/>
          <w:sz w:val="28"/>
          <w:szCs w:val="28"/>
          <w:lang w:val="ru-RU"/>
        </w:rPr>
      </w:pPr>
      <w:r w:rsidRPr="004D2295">
        <w:rPr>
          <w:rFonts w:ascii="Times New Roman" w:hAnsi="Times New Roman" w:cs="Times New Roman"/>
          <w:sz w:val="28"/>
          <w:szCs w:val="28"/>
          <w:lang w:val="ru-RU"/>
        </w:rPr>
        <w:t>Выпускная квалификационная работа посвящена оценке состава инвестиционного портфеля ОПИФ РФИ «ВИМ‒Металлургия» и разработке рекомендаций по его оптимизации. Актуальность темы обусловлена макроэкономической нестабильностью, высокой цикличностью сырьевых рынков и санкционными ограничениями, влияющими на деятельность металлургического сектора.</w:t>
      </w:r>
    </w:p>
    <w:p w14:paraId="1EAB2D15" w14:textId="34FF5687" w:rsidR="004D2295" w:rsidRPr="004D2295" w:rsidRDefault="004D2295" w:rsidP="004D2295">
      <w:pPr>
        <w:spacing w:line="360" w:lineRule="auto"/>
        <w:ind w:firstLine="709"/>
        <w:jc w:val="both"/>
        <w:rPr>
          <w:rFonts w:ascii="Times New Roman" w:hAnsi="Times New Roman" w:cs="Times New Roman"/>
          <w:sz w:val="28"/>
          <w:szCs w:val="28"/>
          <w:lang w:val="ru-RU"/>
        </w:rPr>
      </w:pPr>
      <w:r w:rsidRPr="004D2295">
        <w:rPr>
          <w:rFonts w:ascii="Times New Roman" w:hAnsi="Times New Roman" w:cs="Times New Roman"/>
          <w:sz w:val="28"/>
          <w:szCs w:val="28"/>
          <w:lang w:val="ru-RU"/>
        </w:rPr>
        <w:t>Работа состоит из введения, трёх глав и заключения. В первой главе систематизированы теоретические аспекты формирования инвестиционного портфеля, раскрыты принципы портфельной теории (</w:t>
      </w:r>
      <w:proofErr w:type="spellStart"/>
      <w:r w:rsidRPr="004D2295">
        <w:rPr>
          <w:rFonts w:ascii="Times New Roman" w:hAnsi="Times New Roman" w:cs="Times New Roman"/>
          <w:sz w:val="28"/>
          <w:szCs w:val="28"/>
          <w:lang w:val="ru-RU"/>
        </w:rPr>
        <w:t>Марковиц</w:t>
      </w:r>
      <w:proofErr w:type="spellEnd"/>
      <w:r w:rsidRPr="004D2295">
        <w:rPr>
          <w:rFonts w:ascii="Times New Roman" w:hAnsi="Times New Roman" w:cs="Times New Roman"/>
          <w:sz w:val="28"/>
          <w:szCs w:val="28"/>
          <w:lang w:val="ru-RU"/>
        </w:rPr>
        <w:t xml:space="preserve">, Шарп), методики оценки качества портфеля и правовое регулирование паевых фондов в Российской Федерации. Во второй главе проведён комплексный анализ структуры инвестиционного портфеля ОПИФ РФИ «ВИМ‒Металлургия»: дана характеристика крупнейших объектов инвестирования (ПАО «Северсталь», ПАО «ММК», ПАО «НЛМК», ПАО «Челябинский цинковый завод»), рассчитаны основные коэффициенты ликвидности, финансовой устойчивости и рентабельности эмитентов, а также портфельные метрики качества (коэффициенты Шарпа, </w:t>
      </w:r>
      <w:proofErr w:type="spellStart"/>
      <w:r w:rsidRPr="004D2295">
        <w:rPr>
          <w:rFonts w:ascii="Times New Roman" w:hAnsi="Times New Roman" w:cs="Times New Roman"/>
          <w:sz w:val="28"/>
          <w:szCs w:val="28"/>
          <w:lang w:val="ru-RU"/>
        </w:rPr>
        <w:t>Сортино</w:t>
      </w:r>
      <w:proofErr w:type="spellEnd"/>
      <w:r w:rsidRPr="004D2295">
        <w:rPr>
          <w:rFonts w:ascii="Times New Roman" w:hAnsi="Times New Roman" w:cs="Times New Roman"/>
          <w:sz w:val="28"/>
          <w:szCs w:val="28"/>
          <w:lang w:val="ru-RU"/>
        </w:rPr>
        <w:t xml:space="preserve">, </w:t>
      </w:r>
      <w:proofErr w:type="spellStart"/>
      <w:r w:rsidRPr="004D2295">
        <w:rPr>
          <w:rFonts w:ascii="Times New Roman" w:hAnsi="Times New Roman" w:cs="Times New Roman"/>
          <w:sz w:val="28"/>
          <w:szCs w:val="28"/>
          <w:lang w:val="ru-RU"/>
        </w:rPr>
        <w:t>Трейнора</w:t>
      </w:r>
      <w:proofErr w:type="spellEnd"/>
      <w:r w:rsidRPr="004D2295">
        <w:rPr>
          <w:rFonts w:ascii="Times New Roman" w:hAnsi="Times New Roman" w:cs="Times New Roman"/>
          <w:sz w:val="28"/>
          <w:szCs w:val="28"/>
          <w:lang w:val="ru-RU"/>
        </w:rPr>
        <w:t xml:space="preserve">, альфа Дженсена, </w:t>
      </w:r>
      <w:proofErr w:type="spellStart"/>
      <w:r w:rsidRPr="004D2295">
        <w:rPr>
          <w:rFonts w:ascii="Times New Roman" w:hAnsi="Times New Roman" w:cs="Times New Roman"/>
          <w:sz w:val="28"/>
          <w:szCs w:val="28"/>
          <w:lang w:val="ru-RU"/>
        </w:rPr>
        <w:t>VaR</w:t>
      </w:r>
      <w:proofErr w:type="spellEnd"/>
      <w:r w:rsidRPr="004D2295">
        <w:rPr>
          <w:rFonts w:ascii="Times New Roman" w:hAnsi="Times New Roman" w:cs="Times New Roman"/>
          <w:sz w:val="28"/>
          <w:szCs w:val="28"/>
          <w:lang w:val="ru-RU"/>
        </w:rPr>
        <w:t>). Третья глава содержит обоснованные рекомендации по оптимизации структуры портфеля с учётом ESG-критериев, обоснование эффективности предложенных решений.</w:t>
      </w:r>
    </w:p>
    <w:p w14:paraId="56BB4D06" w14:textId="4FF2E9C7" w:rsidR="004D2295" w:rsidRPr="004D2295" w:rsidRDefault="004D2295" w:rsidP="004D2295">
      <w:pPr>
        <w:spacing w:line="360" w:lineRule="auto"/>
        <w:ind w:firstLine="709"/>
        <w:jc w:val="both"/>
        <w:rPr>
          <w:rFonts w:ascii="Times New Roman" w:hAnsi="Times New Roman" w:cs="Times New Roman"/>
          <w:sz w:val="28"/>
          <w:szCs w:val="28"/>
          <w:lang w:val="ru-RU"/>
        </w:rPr>
      </w:pPr>
      <w:r w:rsidRPr="004D2295">
        <w:rPr>
          <w:rFonts w:ascii="Times New Roman" w:hAnsi="Times New Roman" w:cs="Times New Roman"/>
          <w:sz w:val="28"/>
          <w:szCs w:val="28"/>
          <w:lang w:val="ru-RU"/>
        </w:rPr>
        <w:t>Использованы методы фундаментального и коэффициентного анализа, многофакторная модель Альтмана (Z-</w:t>
      </w:r>
      <w:proofErr w:type="spellStart"/>
      <w:r w:rsidRPr="004D2295">
        <w:rPr>
          <w:rFonts w:ascii="Times New Roman" w:hAnsi="Times New Roman" w:cs="Times New Roman"/>
          <w:sz w:val="28"/>
          <w:szCs w:val="28"/>
          <w:lang w:val="ru-RU"/>
        </w:rPr>
        <w:t>score</w:t>
      </w:r>
      <w:proofErr w:type="spellEnd"/>
      <w:r w:rsidRPr="004D2295">
        <w:rPr>
          <w:rFonts w:ascii="Times New Roman" w:hAnsi="Times New Roman" w:cs="Times New Roman"/>
          <w:sz w:val="28"/>
          <w:szCs w:val="28"/>
          <w:lang w:val="ru-RU"/>
        </w:rPr>
        <w:t xml:space="preserve">), расчёт </w:t>
      </w:r>
      <w:proofErr w:type="spellStart"/>
      <w:r w:rsidRPr="004D2295">
        <w:rPr>
          <w:rFonts w:ascii="Times New Roman" w:hAnsi="Times New Roman" w:cs="Times New Roman"/>
          <w:sz w:val="28"/>
          <w:szCs w:val="28"/>
          <w:lang w:val="ru-RU"/>
        </w:rPr>
        <w:t>VaR</w:t>
      </w:r>
      <w:proofErr w:type="spellEnd"/>
      <w:r w:rsidRPr="004D2295">
        <w:rPr>
          <w:rFonts w:ascii="Times New Roman" w:hAnsi="Times New Roman" w:cs="Times New Roman"/>
          <w:sz w:val="28"/>
          <w:szCs w:val="28"/>
          <w:lang w:val="ru-RU"/>
        </w:rPr>
        <w:t xml:space="preserve">, матрица корреляций активов и оптимизация по модели </w:t>
      </w:r>
      <w:proofErr w:type="spellStart"/>
      <w:r w:rsidRPr="004D2295">
        <w:rPr>
          <w:rFonts w:ascii="Times New Roman" w:hAnsi="Times New Roman" w:cs="Times New Roman"/>
          <w:sz w:val="28"/>
          <w:szCs w:val="28"/>
          <w:lang w:val="ru-RU"/>
        </w:rPr>
        <w:t>Марковица</w:t>
      </w:r>
      <w:proofErr w:type="spellEnd"/>
      <w:r w:rsidRPr="004D2295">
        <w:rPr>
          <w:rFonts w:ascii="Times New Roman" w:hAnsi="Times New Roman" w:cs="Times New Roman"/>
          <w:sz w:val="28"/>
          <w:szCs w:val="28"/>
          <w:lang w:val="ru-RU"/>
        </w:rPr>
        <w:t>. Сформулированы практические рекомендации по повышению качества управления инвестиционным портфелем ОПИФ РФИ «ВИМ‒Металлургия» в условиях санкционных ограничений и волатильности сырьевых рынков.</w:t>
      </w:r>
    </w:p>
    <w:p w14:paraId="0A000005" w14:textId="6A86C9A7" w:rsidR="00343600" w:rsidRPr="009A2D3C" w:rsidRDefault="004D2295" w:rsidP="004D2295">
      <w:pPr>
        <w:spacing w:line="360" w:lineRule="auto"/>
        <w:ind w:firstLine="709"/>
        <w:jc w:val="both"/>
        <w:rPr>
          <w:rFonts w:ascii="Times New Roman" w:hAnsi="Times New Roman" w:cs="Times New Roman"/>
          <w:sz w:val="28"/>
          <w:szCs w:val="28"/>
          <w:lang w:val="en-US"/>
        </w:rPr>
      </w:pPr>
      <w:r w:rsidRPr="004D2295">
        <w:rPr>
          <w:rFonts w:ascii="Times New Roman" w:hAnsi="Times New Roman" w:cs="Times New Roman"/>
          <w:sz w:val="28"/>
          <w:szCs w:val="28"/>
          <w:lang w:val="ru-RU"/>
        </w:rPr>
        <w:lastRenderedPageBreak/>
        <w:t>Объём</w:t>
      </w:r>
      <w:r w:rsidRPr="00BA7AD7">
        <w:rPr>
          <w:rFonts w:ascii="Times New Roman" w:hAnsi="Times New Roman" w:cs="Times New Roman"/>
          <w:sz w:val="28"/>
          <w:szCs w:val="28"/>
          <w:lang w:val="en-US"/>
        </w:rPr>
        <w:t xml:space="preserve"> </w:t>
      </w:r>
      <w:r w:rsidRPr="004D2295">
        <w:rPr>
          <w:rFonts w:ascii="Times New Roman" w:hAnsi="Times New Roman" w:cs="Times New Roman"/>
          <w:sz w:val="28"/>
          <w:szCs w:val="28"/>
          <w:lang w:val="ru-RU"/>
        </w:rPr>
        <w:t>работы</w:t>
      </w:r>
      <w:r w:rsidRPr="00BA7AD7">
        <w:rPr>
          <w:rFonts w:ascii="Times New Roman" w:hAnsi="Times New Roman" w:cs="Times New Roman"/>
          <w:sz w:val="28"/>
          <w:szCs w:val="28"/>
          <w:lang w:val="en-US"/>
        </w:rPr>
        <w:t xml:space="preserve"> — 66 </w:t>
      </w:r>
      <w:r w:rsidRPr="004D2295">
        <w:rPr>
          <w:rFonts w:ascii="Times New Roman" w:hAnsi="Times New Roman" w:cs="Times New Roman"/>
          <w:sz w:val="28"/>
          <w:szCs w:val="28"/>
          <w:lang w:val="ru-RU"/>
        </w:rPr>
        <w:t>страниц</w:t>
      </w:r>
      <w:r w:rsidRPr="00BA7AD7">
        <w:rPr>
          <w:rFonts w:ascii="Times New Roman" w:hAnsi="Times New Roman" w:cs="Times New Roman"/>
          <w:sz w:val="28"/>
          <w:szCs w:val="28"/>
          <w:lang w:val="en-US"/>
        </w:rPr>
        <w:t xml:space="preserve">, 33 </w:t>
      </w:r>
      <w:r w:rsidRPr="004D2295">
        <w:rPr>
          <w:rFonts w:ascii="Times New Roman" w:hAnsi="Times New Roman" w:cs="Times New Roman"/>
          <w:sz w:val="28"/>
          <w:szCs w:val="28"/>
          <w:lang w:val="ru-RU"/>
        </w:rPr>
        <w:t>источника</w:t>
      </w:r>
      <w:r w:rsidRPr="00BA7AD7">
        <w:rPr>
          <w:rFonts w:ascii="Times New Roman" w:hAnsi="Times New Roman" w:cs="Times New Roman"/>
          <w:sz w:val="28"/>
          <w:szCs w:val="28"/>
          <w:lang w:val="en-US"/>
        </w:rPr>
        <w:t>.</w:t>
      </w:r>
    </w:p>
    <w:p w14:paraId="0A000006" w14:textId="3FE3BD6E" w:rsidR="00343600" w:rsidRDefault="004D2295" w:rsidP="004D2295">
      <w:pPr>
        <w:spacing w:line="360" w:lineRule="auto"/>
        <w:ind w:firstLine="709"/>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ABSTRACT</w:t>
      </w:r>
    </w:p>
    <w:p w14:paraId="0A000007" w14:textId="77777777" w:rsidR="00343600" w:rsidRDefault="00000000" w:rsidP="004D2295">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This graduation thesis is devoted to the assessment of the investment portfolio composition of the Open-End Mutual Fund OPIF RFI “VIM–Metallurgy” and the development of recommendations for its </w:t>
      </w:r>
      <w:proofErr w:type="spellStart"/>
      <w:r>
        <w:rPr>
          <w:rFonts w:ascii="Times New Roman" w:hAnsi="Times New Roman" w:cs="Times New Roman"/>
          <w:sz w:val="28"/>
          <w:szCs w:val="28"/>
          <w:lang w:val="en-US"/>
        </w:rPr>
        <w:t>optimisation</w:t>
      </w:r>
      <w:proofErr w:type="spellEnd"/>
      <w:r>
        <w:rPr>
          <w:rFonts w:ascii="Times New Roman" w:hAnsi="Times New Roman" w:cs="Times New Roman"/>
          <w:sz w:val="28"/>
          <w:szCs w:val="28"/>
          <w:lang w:val="en-US"/>
        </w:rPr>
        <w:t>. The relevance of the topic is conditioned by macroeconomic instability, the high cyclicality of commodity markets and sanction-related restrictions affecting the Russian metallurgical sector.</w:t>
      </w:r>
    </w:p>
    <w:p w14:paraId="0A000008" w14:textId="77777777" w:rsidR="00343600" w:rsidRDefault="00000000" w:rsidP="004D2295">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thesis comprises an introduction, three chapters, and a conclusion. The first chapter </w:t>
      </w:r>
      <w:proofErr w:type="spellStart"/>
      <w:r>
        <w:rPr>
          <w:rFonts w:ascii="Times New Roman" w:hAnsi="Times New Roman" w:cs="Times New Roman"/>
          <w:sz w:val="28"/>
          <w:szCs w:val="28"/>
          <w:lang w:val="en-US"/>
        </w:rPr>
        <w:t>systematises</w:t>
      </w:r>
      <w:proofErr w:type="spellEnd"/>
      <w:r>
        <w:rPr>
          <w:rFonts w:ascii="Times New Roman" w:hAnsi="Times New Roman" w:cs="Times New Roman"/>
          <w:sz w:val="28"/>
          <w:szCs w:val="28"/>
          <w:lang w:val="en-US"/>
        </w:rPr>
        <w:t xml:space="preserve"> the theoretical foundations of portfolio formation and quality assessment. The second chapter provides a comprehensive analysis of the fund’s portfolio structure, covering the financial condition of major issuers (PJSC Severstal, PJSC MMK, PJSC NLMK, PJSC Chelyabinsk Zinc Plant) and key portfolio quality metrics (Sharpe ratio, Sortino ratio, Treynor ratio, Jensen’s alpha, </w:t>
      </w:r>
      <w:proofErr w:type="spellStart"/>
      <w:r>
        <w:rPr>
          <w:rFonts w:ascii="Times New Roman" w:hAnsi="Times New Roman" w:cs="Times New Roman"/>
          <w:sz w:val="28"/>
          <w:szCs w:val="28"/>
          <w:lang w:val="en-US"/>
        </w:rPr>
        <w:t>VaR</w:t>
      </w:r>
      <w:proofErr w:type="spellEnd"/>
      <w:r>
        <w:rPr>
          <w:rFonts w:ascii="Times New Roman" w:hAnsi="Times New Roman" w:cs="Times New Roman"/>
          <w:sz w:val="28"/>
          <w:szCs w:val="28"/>
          <w:lang w:val="en-US"/>
        </w:rPr>
        <w:t xml:space="preserve">). The third chapter presents substantiated recommendations for </w:t>
      </w:r>
      <w:proofErr w:type="spellStart"/>
      <w:r>
        <w:rPr>
          <w:rFonts w:ascii="Times New Roman" w:hAnsi="Times New Roman" w:cs="Times New Roman"/>
          <w:sz w:val="28"/>
          <w:szCs w:val="28"/>
          <w:lang w:val="en-US"/>
        </w:rPr>
        <w:t>optimising</w:t>
      </w:r>
      <w:proofErr w:type="spellEnd"/>
      <w:r>
        <w:rPr>
          <w:rFonts w:ascii="Times New Roman" w:hAnsi="Times New Roman" w:cs="Times New Roman"/>
          <w:sz w:val="28"/>
          <w:szCs w:val="28"/>
          <w:lang w:val="en-US"/>
        </w:rPr>
        <w:t xml:space="preserve"> the portfolio structure, including ESG criteria and the Markowitz </w:t>
      </w:r>
      <w:proofErr w:type="spellStart"/>
      <w:r>
        <w:rPr>
          <w:rFonts w:ascii="Times New Roman" w:hAnsi="Times New Roman" w:cs="Times New Roman"/>
          <w:sz w:val="28"/>
          <w:szCs w:val="28"/>
          <w:lang w:val="en-US"/>
        </w:rPr>
        <w:t>optimisation</w:t>
      </w:r>
      <w:proofErr w:type="spellEnd"/>
      <w:r>
        <w:rPr>
          <w:rFonts w:ascii="Times New Roman" w:hAnsi="Times New Roman" w:cs="Times New Roman"/>
          <w:sz w:val="28"/>
          <w:szCs w:val="28"/>
          <w:lang w:val="en-US"/>
        </w:rPr>
        <w:t xml:space="preserve"> model.</w:t>
      </w:r>
    </w:p>
    <w:p w14:paraId="0A000009" w14:textId="77777777" w:rsidR="00343600" w:rsidRDefault="00000000" w:rsidP="004D2295">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study employs fundamental and ratio analysis, the Altman Z-score model, </w:t>
      </w:r>
      <w:proofErr w:type="spellStart"/>
      <w:r>
        <w:rPr>
          <w:rFonts w:ascii="Times New Roman" w:hAnsi="Times New Roman" w:cs="Times New Roman"/>
          <w:sz w:val="28"/>
          <w:szCs w:val="28"/>
          <w:lang w:val="en-US"/>
        </w:rPr>
        <w:t>VaR</w:t>
      </w:r>
      <w:proofErr w:type="spellEnd"/>
      <w:r>
        <w:rPr>
          <w:rFonts w:ascii="Times New Roman" w:hAnsi="Times New Roman" w:cs="Times New Roman"/>
          <w:sz w:val="28"/>
          <w:szCs w:val="28"/>
          <w:lang w:val="en-US"/>
        </w:rPr>
        <w:t xml:space="preserve"> estimation, asset correlation matrix analysis, and Markowitz portfolio </w:t>
      </w:r>
      <w:proofErr w:type="spellStart"/>
      <w:r>
        <w:rPr>
          <w:rFonts w:ascii="Times New Roman" w:hAnsi="Times New Roman" w:cs="Times New Roman"/>
          <w:sz w:val="28"/>
          <w:szCs w:val="28"/>
          <w:lang w:val="en-US"/>
        </w:rPr>
        <w:t>optimisation</w:t>
      </w:r>
      <w:proofErr w:type="spellEnd"/>
      <w:r>
        <w:rPr>
          <w:rFonts w:ascii="Times New Roman" w:hAnsi="Times New Roman" w:cs="Times New Roman"/>
          <w:sz w:val="28"/>
          <w:szCs w:val="28"/>
          <w:lang w:val="en-US"/>
        </w:rPr>
        <w:t>. Practical recommendations are formulated for improving the quality of portfolio management under sanction constraints and commodity market volatility.</w:t>
      </w:r>
    </w:p>
    <w:p w14:paraId="0A000010" w14:textId="77777777" w:rsidR="00343600" w:rsidRDefault="00000000" w:rsidP="004D2295">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 work comprises 66 pages, 33 references.</w:t>
      </w:r>
    </w:p>
    <w:p w14:paraId="0A000011" w14:textId="486D4B0B" w:rsidR="009A2D3C" w:rsidRPr="009A2D3C" w:rsidRDefault="009A2D3C">
      <w:pPr>
        <w:rPr>
          <w:rFonts w:ascii="Times New Roman" w:hAnsi="Times New Roman" w:cs="Times New Roman"/>
          <w:sz w:val="28"/>
          <w:szCs w:val="28"/>
          <w:lang w:val="en-US"/>
        </w:rPr>
      </w:pPr>
      <w:r w:rsidRPr="009A2D3C">
        <w:rPr>
          <w:rFonts w:ascii="Times New Roman" w:hAnsi="Times New Roman" w:cs="Times New Roman"/>
          <w:sz w:val="28"/>
          <w:szCs w:val="28"/>
          <w:lang w:val="en-US"/>
        </w:rPr>
        <w:br w:type="page"/>
      </w:r>
    </w:p>
    <w:p w14:paraId="23E4C56E" w14:textId="77777777" w:rsidR="00343600" w:rsidRPr="009A2D3C" w:rsidRDefault="00343600" w:rsidP="00AA0001">
      <w:pPr>
        <w:spacing w:line="360" w:lineRule="auto"/>
        <w:rPr>
          <w:rFonts w:ascii="Times New Roman" w:hAnsi="Times New Roman" w:cs="Times New Roman"/>
          <w:sz w:val="28"/>
          <w:szCs w:val="28"/>
          <w:lang w:val="en-US"/>
        </w:rPr>
      </w:pPr>
    </w:p>
    <w:sdt>
      <w:sdtPr>
        <w:rPr>
          <w:rFonts w:ascii="Times New Roman" w:eastAsia="Arial" w:hAnsi="Times New Roman" w:cs="Times New Roman"/>
          <w:color w:val="auto"/>
          <w:sz w:val="22"/>
          <w:szCs w:val="22"/>
          <w:lang w:val="en-CA"/>
        </w:rPr>
        <w:id w:val="1404256440"/>
        <w:docPartObj>
          <w:docPartGallery w:val="Table of Contents"/>
          <w:docPartUnique/>
        </w:docPartObj>
      </w:sdtPr>
      <w:sdtEndPr>
        <w:rPr>
          <w:b/>
          <w:bCs/>
        </w:rPr>
      </w:sdtEndPr>
      <w:sdtContent>
        <w:p w14:paraId="5FFD9414" w14:textId="796BF851" w:rsidR="00F834A7" w:rsidRPr="004B6B88" w:rsidRDefault="004D2295" w:rsidP="00C76864">
          <w:pPr>
            <w:pStyle w:val="ab"/>
            <w:spacing w:before="0"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СОДЕРЖАНИЕ</w:t>
          </w:r>
        </w:p>
        <w:p w14:paraId="1E26AFD7" w14:textId="77777777" w:rsidR="00CD1CF2" w:rsidRPr="004B6B88" w:rsidRDefault="00CD1CF2" w:rsidP="00C76864">
          <w:pPr>
            <w:spacing w:line="360" w:lineRule="auto"/>
            <w:jc w:val="both"/>
            <w:rPr>
              <w:rFonts w:ascii="Times New Roman" w:hAnsi="Times New Roman" w:cs="Times New Roman"/>
              <w:sz w:val="28"/>
              <w:szCs w:val="28"/>
              <w:lang w:val="ru-RU"/>
            </w:rPr>
          </w:pPr>
        </w:p>
        <w:p w14:paraId="0FA72C06" w14:textId="63E12A87" w:rsidR="00F34C03" w:rsidRPr="00F34C03" w:rsidRDefault="00F74D7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233526117" w:history="1">
            <w:r w:rsidR="00F34C03" w:rsidRPr="00F34C03">
              <w:rPr>
                <w:rStyle w:val="ac"/>
                <w:rFonts w:ascii="Times New Roman" w:hAnsi="Times New Roman" w:cs="Times New Roman"/>
                <w:noProof/>
                <w:sz w:val="28"/>
                <w:szCs w:val="28"/>
                <w:lang w:val="ru-RU"/>
              </w:rPr>
              <w:t>ВВЕДЕНИЕ</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_Toc233526117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9</w:t>
            </w:r>
            <w:r w:rsidR="00F34C03" w:rsidRPr="00F34C03">
              <w:rPr>
                <w:rFonts w:ascii="Times New Roman" w:hAnsi="Times New Roman" w:cs="Times New Roman"/>
                <w:noProof/>
                <w:webHidden/>
                <w:sz w:val="28"/>
                <w:szCs w:val="28"/>
              </w:rPr>
              <w:fldChar w:fldCharType="end"/>
            </w:r>
          </w:hyperlink>
        </w:p>
        <w:p w14:paraId="1B509163" w14:textId="61C5366C" w:rsidR="00F34C03" w:rsidRPr="00F34C03" w:rsidRDefault="00F34C03">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18" w:history="1">
            <w:r w:rsidRPr="00F34C03">
              <w:rPr>
                <w:rStyle w:val="ac"/>
                <w:rFonts w:ascii="Times New Roman" w:hAnsi="Times New Roman" w:cs="Times New Roman"/>
                <w:noProof/>
                <w:sz w:val="28"/>
                <w:szCs w:val="28"/>
                <w:lang w:val="ru-RU"/>
              </w:rPr>
              <w:t>ГЛАВА 1. ТЕОРЕТИЧЕСКИЕ АСПЕКТЫ ФОРМИРОВАНИЯ И ОЦЕНКИ КАЧЕСТВА ИНВЕСТИЦИОННОГО ПОРТФЕЛЯ</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_Toc233526118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12</w:t>
            </w:r>
            <w:r w:rsidRPr="00F34C03">
              <w:rPr>
                <w:rFonts w:ascii="Times New Roman" w:hAnsi="Times New Roman" w:cs="Times New Roman"/>
                <w:noProof/>
                <w:webHidden/>
                <w:sz w:val="28"/>
                <w:szCs w:val="28"/>
              </w:rPr>
              <w:fldChar w:fldCharType="end"/>
            </w:r>
          </w:hyperlink>
        </w:p>
        <w:p w14:paraId="7CE64712" w14:textId="6AB894CC" w:rsidR="00F34C03" w:rsidRPr="00F34C03" w:rsidRDefault="00F34C03">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19" w:history="1">
            <w:r w:rsidRPr="00F34C03">
              <w:rPr>
                <w:rStyle w:val="ac"/>
                <w:rFonts w:ascii="Times New Roman" w:hAnsi="Times New Roman" w:cs="Times New Roman"/>
                <w:noProof/>
                <w:sz w:val="28"/>
                <w:szCs w:val="28"/>
                <w:lang w:val="ru-RU"/>
              </w:rPr>
              <w:t>1.1</w:t>
            </w:r>
            <w:r w:rsidRPr="00F34C03">
              <w:rPr>
                <w:rFonts w:ascii="Times New Roman" w:eastAsiaTheme="minorEastAsia" w:hAnsi="Times New Roman" w:cs="Times New Roman"/>
                <w:noProof/>
                <w:kern w:val="2"/>
                <w:sz w:val="28"/>
                <w:szCs w:val="28"/>
                <w:lang w:val="ru-RU"/>
                <w14:ligatures w14:val="standardContextual"/>
              </w:rPr>
              <w:tab/>
            </w:r>
            <w:r w:rsidRPr="00F34C03">
              <w:rPr>
                <w:rStyle w:val="ac"/>
                <w:rFonts w:ascii="Times New Roman" w:hAnsi="Times New Roman" w:cs="Times New Roman"/>
                <w:noProof/>
                <w:sz w:val="28"/>
                <w:szCs w:val="28"/>
                <w:lang w:val="ru-RU"/>
              </w:rPr>
              <w:t>Понятие, экономическая сущность, принципы и методы формирования инвестиционного портфеля</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_Toc233526119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12</w:t>
            </w:r>
            <w:r w:rsidRPr="00F34C03">
              <w:rPr>
                <w:rFonts w:ascii="Times New Roman" w:hAnsi="Times New Roman" w:cs="Times New Roman"/>
                <w:noProof/>
                <w:webHidden/>
                <w:sz w:val="28"/>
                <w:szCs w:val="28"/>
              </w:rPr>
              <w:fldChar w:fldCharType="end"/>
            </w:r>
          </w:hyperlink>
        </w:p>
        <w:p w14:paraId="29418204" w14:textId="6A033830" w:rsidR="00F34C03" w:rsidRPr="00F34C03" w:rsidRDefault="00F34C0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0" w:history="1">
            <w:r w:rsidRPr="00F34C03">
              <w:rPr>
                <w:rStyle w:val="ac"/>
                <w:rFonts w:ascii="Times New Roman" w:hAnsi="Times New Roman" w:cs="Times New Roman"/>
                <w:noProof/>
                <w:sz w:val="28"/>
                <w:szCs w:val="28"/>
                <w:lang w:val="ru-RU"/>
              </w:rPr>
              <w:t>1.2 Методики оценки эффективности и качества инвестиционного портфеля</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_Toc233526120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15</w:t>
            </w:r>
            <w:r w:rsidRPr="00F34C03">
              <w:rPr>
                <w:rFonts w:ascii="Times New Roman" w:hAnsi="Times New Roman" w:cs="Times New Roman"/>
                <w:noProof/>
                <w:webHidden/>
                <w:sz w:val="28"/>
                <w:szCs w:val="28"/>
              </w:rPr>
              <w:fldChar w:fldCharType="end"/>
            </w:r>
          </w:hyperlink>
        </w:p>
        <w:p w14:paraId="51258C53" w14:textId="50592708" w:rsidR="00F34C03" w:rsidRPr="00F34C03" w:rsidRDefault="00F34C0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1" w:history="1">
            <w:r w:rsidRPr="00F34C03">
              <w:rPr>
                <w:rStyle w:val="ac"/>
                <w:rFonts w:ascii="Times New Roman" w:hAnsi="Times New Roman" w:cs="Times New Roman"/>
                <w:noProof/>
                <w:sz w:val="28"/>
                <w:szCs w:val="28"/>
                <w:lang w:val="ru-RU"/>
              </w:rPr>
              <w:t>1.3 ПИФ как рыночный механизм коллективного инвестирования</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_Toc233526121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22</w:t>
            </w:r>
            <w:r w:rsidRPr="00F34C03">
              <w:rPr>
                <w:rFonts w:ascii="Times New Roman" w:hAnsi="Times New Roman" w:cs="Times New Roman"/>
                <w:noProof/>
                <w:webHidden/>
                <w:sz w:val="28"/>
                <w:szCs w:val="28"/>
              </w:rPr>
              <w:fldChar w:fldCharType="end"/>
            </w:r>
          </w:hyperlink>
        </w:p>
        <w:p w14:paraId="288520D3" w14:textId="0893CC82" w:rsidR="00F34C03" w:rsidRPr="00F34C03" w:rsidRDefault="00F34C03">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2" w:history="1">
            <w:r w:rsidRPr="00F34C03">
              <w:rPr>
                <w:rStyle w:val="ac"/>
                <w:rFonts w:ascii="Times New Roman" w:hAnsi="Times New Roman" w:cs="Times New Roman"/>
                <w:noProof/>
                <w:sz w:val="28"/>
                <w:szCs w:val="28"/>
                <w:lang w:val="ru-RU"/>
              </w:rPr>
              <w:t>ГЛАВА 2. АНАЛИЗ ИНВЕСТИЦИОННОГО ПОРТФЕЛЯ ОПИФ РФИ «ВИМ-МЕТАЛЛУРГИЯ»</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_Toc233526122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26</w:t>
            </w:r>
            <w:r w:rsidRPr="00F34C03">
              <w:rPr>
                <w:rFonts w:ascii="Times New Roman" w:hAnsi="Times New Roman" w:cs="Times New Roman"/>
                <w:noProof/>
                <w:webHidden/>
                <w:sz w:val="28"/>
                <w:szCs w:val="28"/>
              </w:rPr>
              <w:fldChar w:fldCharType="end"/>
            </w:r>
          </w:hyperlink>
        </w:p>
        <w:p w14:paraId="1648FBDF" w14:textId="490BFBCE" w:rsidR="00F34C03" w:rsidRPr="00F34C03" w:rsidRDefault="00F34C0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3" w:history="1">
            <w:r w:rsidRPr="00F34C03">
              <w:rPr>
                <w:rStyle w:val="ac"/>
                <w:rFonts w:ascii="Times New Roman" w:hAnsi="Times New Roman" w:cs="Times New Roman"/>
                <w:noProof/>
                <w:sz w:val="28"/>
                <w:szCs w:val="28"/>
                <w:lang w:val="ru-RU"/>
              </w:rPr>
              <w:t>2.1. Структура и состав инвестиционного портфеля ОПИФ РФИ «ВИМ-Металлургия»</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_Toc233526123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26</w:t>
            </w:r>
            <w:r w:rsidRPr="00F34C03">
              <w:rPr>
                <w:rFonts w:ascii="Times New Roman" w:hAnsi="Times New Roman" w:cs="Times New Roman"/>
                <w:noProof/>
                <w:webHidden/>
                <w:sz w:val="28"/>
                <w:szCs w:val="28"/>
              </w:rPr>
              <w:fldChar w:fldCharType="end"/>
            </w:r>
          </w:hyperlink>
        </w:p>
        <w:p w14:paraId="08F35CDA" w14:textId="706899FF" w:rsidR="00F34C03" w:rsidRPr="00F34C03" w:rsidRDefault="00F34C0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4" w:history="1">
            <w:r w:rsidRPr="00F34C03">
              <w:rPr>
                <w:rStyle w:val="ac"/>
                <w:rFonts w:ascii="Times New Roman" w:hAnsi="Times New Roman" w:cs="Times New Roman"/>
                <w:noProof/>
                <w:sz w:val="28"/>
                <w:szCs w:val="28"/>
                <w:lang w:val="ru-RU"/>
              </w:rPr>
              <w:t>2.2. Характеристика крупнейших объектов инвестирования</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_Toc233526124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29</w:t>
            </w:r>
            <w:r w:rsidRPr="00F34C03">
              <w:rPr>
                <w:rFonts w:ascii="Times New Roman" w:hAnsi="Times New Roman" w:cs="Times New Roman"/>
                <w:noProof/>
                <w:webHidden/>
                <w:sz w:val="28"/>
                <w:szCs w:val="28"/>
              </w:rPr>
              <w:fldChar w:fldCharType="end"/>
            </w:r>
          </w:hyperlink>
        </w:p>
        <w:p w14:paraId="7B3DCB91" w14:textId="39764221" w:rsidR="00F34C03" w:rsidRPr="00F34C03" w:rsidRDefault="00F34C0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5" w:history="1">
            <w:r w:rsidRPr="00F34C03">
              <w:rPr>
                <w:rStyle w:val="ac"/>
                <w:rFonts w:ascii="Times New Roman" w:hAnsi="Times New Roman" w:cs="Times New Roman"/>
                <w:noProof/>
                <w:sz w:val="28"/>
                <w:szCs w:val="28"/>
                <w:lang w:val="ru-RU"/>
              </w:rPr>
              <w:t>2.3. Анализ показателей качества инвестиционного портфеля</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_Toc233526125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40</w:t>
            </w:r>
            <w:r w:rsidRPr="00F34C03">
              <w:rPr>
                <w:rFonts w:ascii="Times New Roman" w:hAnsi="Times New Roman" w:cs="Times New Roman"/>
                <w:noProof/>
                <w:webHidden/>
                <w:sz w:val="28"/>
                <w:szCs w:val="28"/>
              </w:rPr>
              <w:fldChar w:fldCharType="end"/>
            </w:r>
          </w:hyperlink>
        </w:p>
        <w:p w14:paraId="0CB7789C" w14:textId="3CF7C31B" w:rsidR="00F34C03" w:rsidRPr="00F34C03" w:rsidRDefault="00F34C03">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6" w:history="1">
            <w:r w:rsidRPr="00F34C03">
              <w:rPr>
                <w:rStyle w:val="ac"/>
                <w:rFonts w:ascii="Times New Roman" w:hAnsi="Times New Roman" w:cs="Times New Roman"/>
                <w:noProof/>
                <w:sz w:val="28"/>
                <w:szCs w:val="28"/>
                <w:lang w:val="ru-RU"/>
              </w:rPr>
              <w:t>ГЛАВА 3. РАЗРАБОТКА РЕКОМЕНДАЦИЙ ПО ПОВЫШЕНИЮ КАЧЕСТВА ИНВЕСТИЦИОННОГО ПОРТФЕЛЯ ОПИФ РФИ «ВИМ-МЕТАЛЛУРГИЯ»</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_Toc233526126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48</w:t>
            </w:r>
            <w:r w:rsidRPr="00F34C03">
              <w:rPr>
                <w:rFonts w:ascii="Times New Roman" w:hAnsi="Times New Roman" w:cs="Times New Roman"/>
                <w:noProof/>
                <w:webHidden/>
                <w:sz w:val="28"/>
                <w:szCs w:val="28"/>
              </w:rPr>
              <w:fldChar w:fldCharType="end"/>
            </w:r>
          </w:hyperlink>
        </w:p>
        <w:p w14:paraId="759AA0C1" w14:textId="37674DC1" w:rsidR="00F34C03" w:rsidRPr="00F34C03" w:rsidRDefault="00F34C0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7" w:history="1">
            <w:r w:rsidRPr="00F34C03">
              <w:rPr>
                <w:rStyle w:val="ac"/>
                <w:rFonts w:ascii="Times New Roman" w:hAnsi="Times New Roman" w:cs="Times New Roman"/>
                <w:noProof/>
                <w:sz w:val="28"/>
                <w:szCs w:val="28"/>
                <w:lang w:val="ru-RU"/>
              </w:rPr>
              <w:t>3.1. Рекомендации по повышению качества портфеля</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_Toc233526127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48</w:t>
            </w:r>
            <w:r w:rsidRPr="00F34C03">
              <w:rPr>
                <w:rFonts w:ascii="Times New Roman" w:hAnsi="Times New Roman" w:cs="Times New Roman"/>
                <w:noProof/>
                <w:webHidden/>
                <w:sz w:val="28"/>
                <w:szCs w:val="28"/>
              </w:rPr>
              <w:fldChar w:fldCharType="end"/>
            </w:r>
          </w:hyperlink>
        </w:p>
        <w:p w14:paraId="48161322" w14:textId="641A621A" w:rsidR="00F34C03" w:rsidRPr="00F34C03" w:rsidRDefault="00F34C0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8" w:history="1">
            <w:r w:rsidRPr="00F34C03">
              <w:rPr>
                <w:rStyle w:val="ac"/>
                <w:rFonts w:ascii="Times New Roman" w:hAnsi="Times New Roman" w:cs="Times New Roman"/>
                <w:noProof/>
                <w:sz w:val="28"/>
                <w:szCs w:val="28"/>
                <w:lang w:val="ru-RU"/>
              </w:rPr>
              <w:t>3.2. Обоснование эффективности предложенных решений</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_Toc233526128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52</w:t>
            </w:r>
            <w:r w:rsidRPr="00F34C03">
              <w:rPr>
                <w:rFonts w:ascii="Times New Roman" w:hAnsi="Times New Roman" w:cs="Times New Roman"/>
                <w:noProof/>
                <w:webHidden/>
                <w:sz w:val="28"/>
                <w:szCs w:val="28"/>
              </w:rPr>
              <w:fldChar w:fldCharType="end"/>
            </w:r>
          </w:hyperlink>
        </w:p>
        <w:p w14:paraId="11E8E57B" w14:textId="2260A01A" w:rsidR="00F34C03" w:rsidRPr="00F34C03" w:rsidRDefault="00F34C03">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9" w:history="1">
            <w:r w:rsidRPr="00F34C03">
              <w:rPr>
                <w:rStyle w:val="ac"/>
                <w:rFonts w:ascii="Times New Roman" w:hAnsi="Times New Roman" w:cs="Times New Roman"/>
                <w:noProof/>
                <w:sz w:val="28"/>
                <w:szCs w:val="28"/>
                <w:lang w:val="ru-RU"/>
              </w:rPr>
              <w:t>ЗАКЛЮЧЕНИЕ</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_Toc233526129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62</w:t>
            </w:r>
            <w:r w:rsidRPr="00F34C03">
              <w:rPr>
                <w:rFonts w:ascii="Times New Roman" w:hAnsi="Times New Roman" w:cs="Times New Roman"/>
                <w:noProof/>
                <w:webHidden/>
                <w:sz w:val="28"/>
                <w:szCs w:val="28"/>
              </w:rPr>
              <w:fldChar w:fldCharType="end"/>
            </w:r>
          </w:hyperlink>
        </w:p>
        <w:p w14:paraId="2EB86944" w14:textId="1C127868" w:rsidR="00F34C03" w:rsidRPr="00F34C03" w:rsidRDefault="00F34C03">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30" w:history="1">
            <w:r w:rsidRPr="00F34C03">
              <w:rPr>
                <w:rStyle w:val="ac"/>
                <w:rFonts w:ascii="Times New Roman" w:hAnsi="Times New Roman" w:cs="Times New Roman"/>
                <w:noProof/>
                <w:sz w:val="28"/>
                <w:szCs w:val="28"/>
                <w:lang w:val="ru-RU"/>
              </w:rPr>
              <w:t>Список использованных источников</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_Toc233526130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65</w:t>
            </w:r>
            <w:r w:rsidRPr="00F34C03">
              <w:rPr>
                <w:rFonts w:ascii="Times New Roman" w:hAnsi="Times New Roman" w:cs="Times New Roman"/>
                <w:noProof/>
                <w:webHidden/>
                <w:sz w:val="28"/>
                <w:szCs w:val="28"/>
              </w:rPr>
              <w:fldChar w:fldCharType="end"/>
            </w:r>
          </w:hyperlink>
        </w:p>
        <w:p w14:paraId="73AB176A" w14:textId="5F594F78" w:rsidR="00F34C03" w:rsidRPr="00F34C03" w:rsidRDefault="00F34C03">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31" w:history="1">
            <w:r w:rsidRPr="00F34C03">
              <w:rPr>
                <w:rStyle w:val="ac"/>
                <w:rFonts w:ascii="Times New Roman" w:hAnsi="Times New Roman" w:cs="Times New Roman"/>
                <w:noProof/>
                <w:sz w:val="28"/>
                <w:szCs w:val="28"/>
                <w:lang w:val="ru-RU"/>
              </w:rPr>
              <w:t>ПРИЛОЖЕНИЯ</w:t>
            </w:r>
            <w:r w:rsidRPr="00F34C03">
              <w:rPr>
                <w:rFonts w:ascii="Times New Roman" w:hAnsi="Times New Roman" w:cs="Times New Roman"/>
                <w:noProof/>
                <w:webHidden/>
                <w:sz w:val="28"/>
                <w:szCs w:val="28"/>
              </w:rPr>
              <w:tab/>
            </w:r>
            <w:r w:rsidRPr="00F34C03">
              <w:rPr>
                <w:rFonts w:ascii="Times New Roman" w:hAnsi="Times New Roman" w:cs="Times New Roman"/>
                <w:noProof/>
                <w:webHidden/>
                <w:sz w:val="28"/>
                <w:szCs w:val="28"/>
              </w:rPr>
              <w:fldChar w:fldCharType="begin"/>
            </w:r>
            <w:r w:rsidRPr="00F34C03">
              <w:rPr>
                <w:rFonts w:ascii="Times New Roman" w:hAnsi="Times New Roman" w:cs="Times New Roman"/>
                <w:noProof/>
                <w:webHidden/>
                <w:sz w:val="28"/>
                <w:szCs w:val="28"/>
              </w:rPr>
              <w:instrText xml:space="preserve"> PAGEREF _Toc233526131 \h </w:instrText>
            </w:r>
            <w:r w:rsidRPr="00F34C03">
              <w:rPr>
                <w:rFonts w:ascii="Times New Roman" w:hAnsi="Times New Roman" w:cs="Times New Roman"/>
                <w:noProof/>
                <w:webHidden/>
                <w:sz w:val="28"/>
                <w:szCs w:val="28"/>
              </w:rPr>
            </w:r>
            <w:r w:rsidRPr="00F34C03">
              <w:rPr>
                <w:rFonts w:ascii="Times New Roman" w:hAnsi="Times New Roman" w:cs="Times New Roman"/>
                <w:noProof/>
                <w:webHidden/>
                <w:sz w:val="28"/>
                <w:szCs w:val="28"/>
              </w:rPr>
              <w:fldChar w:fldCharType="separate"/>
            </w:r>
            <w:r w:rsidRPr="00F34C03">
              <w:rPr>
                <w:rFonts w:ascii="Times New Roman" w:hAnsi="Times New Roman" w:cs="Times New Roman"/>
                <w:noProof/>
                <w:webHidden/>
                <w:sz w:val="28"/>
                <w:szCs w:val="28"/>
              </w:rPr>
              <w:t>71</w:t>
            </w:r>
            <w:r w:rsidRPr="00F34C03">
              <w:rPr>
                <w:rFonts w:ascii="Times New Roman" w:hAnsi="Times New Roman" w:cs="Times New Roman"/>
                <w:noProof/>
                <w:webHidden/>
                <w:sz w:val="28"/>
                <w:szCs w:val="28"/>
              </w:rPr>
              <w:fldChar w:fldCharType="end"/>
            </w:r>
          </w:hyperlink>
        </w:p>
        <w:p w14:paraId="2540B728" w14:textId="05AE22D1" w:rsidR="00F834A7" w:rsidRPr="004B6B88" w:rsidRDefault="00F74D7F" w:rsidP="00C76864">
          <w:pPr>
            <w:spacing w:line="360" w:lineRule="auto"/>
            <w:jc w:val="both"/>
            <w:rPr>
              <w:rFonts w:ascii="Times New Roman" w:hAnsi="Times New Roman" w:cs="Times New Roman"/>
              <w:b/>
              <w:bCs/>
            </w:rPr>
          </w:pPr>
          <w:r>
            <w:rPr>
              <w:rFonts w:ascii="Times New Roman" w:hAnsi="Times New Roman" w:cs="Times New Roman"/>
              <w:b/>
              <w:bCs/>
              <w:sz w:val="28"/>
              <w:szCs w:val="28"/>
            </w:rPr>
            <w:fldChar w:fldCharType="end"/>
          </w:r>
        </w:p>
      </w:sdtContent>
    </w:sdt>
    <w:p w14:paraId="3EBF48BB" w14:textId="77777777" w:rsidR="002C229C" w:rsidRPr="004B6B88" w:rsidRDefault="002C229C" w:rsidP="00653A71">
      <w:pPr>
        <w:pStyle w:val="1"/>
        <w:spacing w:before="0" w:after="0" w:line="360" w:lineRule="auto"/>
        <w:rPr>
          <w:rFonts w:cs="Times New Roman"/>
          <w:bCs/>
          <w:szCs w:val="28"/>
          <w:lang w:val="ru-RU"/>
        </w:rPr>
      </w:pPr>
    </w:p>
    <w:p w14:paraId="4B56078C" w14:textId="77777777" w:rsidR="002C229C" w:rsidRPr="004B6B88" w:rsidRDefault="002C229C" w:rsidP="00653A71">
      <w:pPr>
        <w:pStyle w:val="1"/>
        <w:spacing w:before="0" w:after="0" w:line="360" w:lineRule="auto"/>
        <w:rPr>
          <w:rFonts w:cs="Times New Roman"/>
          <w:bCs/>
          <w:szCs w:val="28"/>
          <w:lang w:val="ru-RU"/>
        </w:rPr>
      </w:pPr>
    </w:p>
    <w:p w14:paraId="3E6C68FD" w14:textId="77777777" w:rsidR="002C229C" w:rsidRPr="004B6B88" w:rsidRDefault="002C229C" w:rsidP="002C229C">
      <w:pPr>
        <w:rPr>
          <w:rFonts w:ascii="Times New Roman" w:hAnsi="Times New Roman" w:cs="Times New Roman"/>
          <w:lang w:val="ru-RU"/>
        </w:rPr>
      </w:pPr>
    </w:p>
    <w:p w14:paraId="600497A9" w14:textId="77777777" w:rsidR="00F834A7" w:rsidRPr="004B6B88" w:rsidRDefault="00F834A7" w:rsidP="004167DF">
      <w:pPr>
        <w:pStyle w:val="1"/>
        <w:spacing w:before="0" w:after="0" w:line="360" w:lineRule="auto"/>
        <w:jc w:val="left"/>
        <w:rPr>
          <w:rFonts w:cs="Times New Roman"/>
          <w:bCs/>
          <w:szCs w:val="28"/>
          <w:lang w:val="ru-RU"/>
        </w:rPr>
        <w:sectPr w:rsidR="00F834A7" w:rsidRPr="004B6B88" w:rsidSect="00306918">
          <w:footerReference w:type="default" r:id="rId9"/>
          <w:pgSz w:w="12240" w:h="15840"/>
          <w:pgMar w:top="1440" w:right="1440" w:bottom="1440" w:left="1440" w:header="720" w:footer="720" w:gutter="0"/>
          <w:pgNumType w:start="1"/>
          <w:cols w:space="720"/>
          <w:titlePg/>
          <w:docGrid w:linePitch="299"/>
        </w:sectPr>
      </w:pPr>
    </w:p>
    <w:p w14:paraId="4152A9F2" w14:textId="77777777" w:rsidR="004962FA" w:rsidRPr="004B6B88" w:rsidRDefault="004962FA" w:rsidP="00823BB7">
      <w:pPr>
        <w:pStyle w:val="1"/>
        <w:rPr>
          <w:rFonts w:cs="Times New Roman"/>
          <w:lang w:val="ru-RU"/>
        </w:rPr>
      </w:pPr>
      <w:bookmarkStart w:id="0" w:name="_Toc233526117"/>
      <w:r>
        <w:rPr>
          <w:rFonts w:cs="Times New Roman"/>
          <w:lang w:val="ru-RU"/>
        </w:rPr>
        <w:lastRenderedPageBreak/>
        <w:t>ВВЕДЕНИЕ</w:t>
      </w:r>
      <w:bookmarkEnd w:id="0"/>
    </w:p>
    <w:p w14:paraId="7AF21645" w14:textId="77777777" w:rsidR="00D5153A" w:rsidRPr="004B6B88" w:rsidRDefault="00D5153A" w:rsidP="00D5153A">
      <w:pPr>
        <w:rPr>
          <w:rFonts w:ascii="Times New Roman" w:hAnsi="Times New Roman" w:cs="Times New Roman"/>
          <w:lang w:val="ru-RU"/>
        </w:rPr>
      </w:pPr>
    </w:p>
    <w:p w14:paraId="1B4E75B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условиях современной макроэкономической нестабильности, геополитической турбулентности и структурной трансформации российской экономики одним из ключевых инструментов сохранения и приумножения капитала выступает коллективное инвестирование через паевые инвестиционные фонды (ПИФы). Металлургический сектор традиционно занимает значимое место в структуре российской промышленности, однако его функционирование сопряжено с высокой капиталоёмкостью, существенной зависимостью от волатильности мировых цен на сырьё и необходимостью непрерывной модернизации производственных фондов. В подобных экономических реалиях инвестирование на фондовом рынке требует максимально взвешенного подхода к формированию и управлению портфелями ПИФов, специализирующихся на предприятиях металлургической отрасли.</w:t>
      </w:r>
    </w:p>
    <w:p w14:paraId="2C06CE4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Практика показывает, что классические портфельные коэффициенты, основанные исключительно на ретроспективном соотношении риска и доходности, зачастую оказываются недостаточными при изолированном применении: они отражают историческую волатильность рыночных котировок, однако не способны в полной мере охарактеризовать реальную стоимость объектов инвестирования, их финансовое состояние и способность генерировать устойчивые денежные потоки в условиях кризисных явлений. Для получения достоверной оценки качества инвестиционного портфеля необходим интегрированный подход, сочетающий математическое моделирование с углублённым фундаментальным анализом компаний-эмитентов, включая оценку ликвидности, платёжеспособности, </w:t>
      </w:r>
      <w:r>
        <w:rPr>
          <w:rFonts w:ascii="Times New Roman" w:eastAsia="Times New Roman" w:hAnsi="Times New Roman" w:cs="Times New Roman"/>
          <w:sz w:val="28"/>
          <w:szCs w:val="28"/>
          <w:lang w:val="ru-RU"/>
        </w:rPr>
        <w:lastRenderedPageBreak/>
        <w:t>рентабельности и рисков финансовой несостоятельности. Именно синтез классического портфельного и фундаментального анализа для обоснования путей повышения качества портфеля ПИФа представляет собой актуальную научную и прикладную задачу.</w:t>
      </w:r>
    </w:p>
    <w:p w14:paraId="1C24BA7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Цель исследования — оценить качество инвестиционного портфеля ОПИФ РФИ «ВИМ-Металлургия» и разработать практические рекомендации по его повышению.</w:t>
      </w:r>
    </w:p>
    <w:p w14:paraId="48110E1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Для достижения поставленной цели определены следующие задачи исследования:</w:t>
      </w:r>
    </w:p>
    <w:p w14:paraId="5156530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раскрыть теоретические и методологические основы формирования инвестиционного портфеля, а также критерии определения его качества на современном финансовом рынке;</w:t>
      </w:r>
    </w:p>
    <w:p w14:paraId="77BD43F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рассмотреть паевой инвестиционный фонд как инструмент коллективного инвестирования и его правовое регулирование в Российской Федерации;</w:t>
      </w:r>
    </w:p>
    <w:p w14:paraId="32E5023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проанализировать финансовое состояние и инвестиционную привлекательность ключевых компаний-эмитентов, входящих в структуру портфеля фонда, на основании отчётности за 2024–2025 годы;</w:t>
      </w:r>
    </w:p>
    <w:p w14:paraId="1692EDB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рассчитать и интерпретировать основные метрики качества и эффективности анализируемого инвестиционного портфеля;</w:t>
      </w:r>
    </w:p>
    <w:p w14:paraId="1DB586D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предложить обоснованные пути оптимизации структуры портфеля, направленные на повышение его доходности и эффективную диверсификацию рисков.</w:t>
      </w:r>
    </w:p>
    <w:p w14:paraId="5803341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Объект исследования — ОПИФ РФИ «ВИМ-Металлургия» под управлением АО «ВИМ Инвестиции».</w:t>
      </w:r>
    </w:p>
    <w:p w14:paraId="0DF1F02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Предмет исследования — качество инвестиционного портфеля данного фонда.</w:t>
      </w:r>
    </w:p>
    <w:p w14:paraId="15960E6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При проведении исследования использовались фундаментальные труды отечественных и зарубежных авторов в области корпоративных финансов, финансового менеджмента и теории портфельного инвестирования, в частности базовые концепции Г.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У. Шарпа и Э. Альтмана. Методологический аппарат включает методы фундаментального и финансового анализа: горизонтальный, вертикальный и коэффициентный анализ корпоративной отчётности. Для количественной оценки качества портфеля применялись специализированные показатели — коэффициент Шарпа, 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коэффициент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альфа Дженсена, показатель </w:t>
      </w:r>
      <w:r>
        <w:rPr>
          <w:rFonts w:ascii="Times New Roman" w:eastAsia="Times New Roman" w:hAnsi="Times New Roman" w:cs="Times New Roman"/>
          <w:sz w:val="28"/>
          <w:szCs w:val="28"/>
        </w:rPr>
        <w:t>Value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а также матрица корреляций активов.</w:t>
      </w:r>
    </w:p>
    <w:p w14:paraId="38B3A59E"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Эмпирическую базу составили: открытая финансовая отчётность компаний-эмитентов, сформированная по РСБУ и МСФО за 2024–2025 годы; официальные данные управляющей компании АО «ВИМ Инвестиции»; статистические и аналитические материалы информационно-финансовых агентств; котировальные данные Московской биржи; нормативно-правовые документы, регулирующие функционирование рынка ценных бумаг в Российской Федерации.</w:t>
      </w:r>
    </w:p>
    <w:p w14:paraId="5EE55F3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Выпускная квалификационная работа состоит из введения, трёх глав, заключения, списка использованных источников и приложений. Первая глава посвящена теоретическим аспектам формирования и оценки качества инвестиционного портфеля. Вторая глава содержит анализ финансового состояния ключевых эмитентов. В третьей главе представлены рекомендации по повышению качества портфеля ОПИФ РФИ «ВИМ-Металлургия».</w:t>
      </w:r>
    </w:p>
    <w:p w14:paraId="2082790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hAnsi="Times New Roman" w:cs="Times New Roman"/>
          <w:lang w:val="ru-RU"/>
        </w:rPr>
        <w:br w:type="page"/>
      </w:r>
    </w:p>
    <w:p w14:paraId="4869D649" w14:textId="1F7F8099" w:rsidR="004962FA" w:rsidRDefault="004962FA" w:rsidP="004B6B88">
      <w:pPr>
        <w:pStyle w:val="1"/>
        <w:spacing w:line="360" w:lineRule="auto"/>
        <w:rPr>
          <w:rFonts w:cs="Times New Roman"/>
          <w:lang w:val="ru-RU"/>
        </w:rPr>
      </w:pPr>
      <w:bookmarkStart w:id="1" w:name="_Toc233526118"/>
      <w:r>
        <w:rPr>
          <w:rFonts w:cs="Times New Roman"/>
          <w:lang w:val="ru-RU"/>
        </w:rPr>
        <w:lastRenderedPageBreak/>
        <w:t>ГЛАВА 1.</w:t>
      </w:r>
      <w:r w:rsidR="00D2601B">
        <w:rPr>
          <w:rFonts w:cs="Times New Roman"/>
          <w:lang w:val="ru-RU"/>
        </w:rPr>
        <w:t xml:space="preserve"> </w:t>
      </w:r>
      <w:r>
        <w:rPr>
          <w:rFonts w:cs="Times New Roman"/>
          <w:lang w:val="ru-RU"/>
        </w:rPr>
        <w:t>ТЕОРЕТИЧЕСКИЕ АСПЕКТЫ ФОРМИРОВАНИЯ И ОЦЕНКИ КАЧЕСТВА ИНВЕСТИЦИОННОГО ПОРТФЕЛЯ</w:t>
      </w:r>
      <w:bookmarkEnd w:id="1"/>
    </w:p>
    <w:p w14:paraId="6B471459" w14:textId="77777777" w:rsidR="004B6B88" w:rsidRPr="004B6B88" w:rsidRDefault="004B6B88" w:rsidP="004B6B88">
      <w:pPr>
        <w:spacing w:line="360" w:lineRule="auto"/>
        <w:rPr>
          <w:lang w:val="ru-RU"/>
        </w:rPr>
      </w:pPr>
    </w:p>
    <w:p w14:paraId="781E4428" w14:textId="01D92BD2" w:rsidR="004B6B88" w:rsidRPr="004B6B88" w:rsidRDefault="004962FA" w:rsidP="004B6B88">
      <w:pPr>
        <w:pStyle w:val="2"/>
        <w:numPr>
          <w:ilvl w:val="1"/>
          <w:numId w:val="26"/>
        </w:numPr>
        <w:spacing w:line="360" w:lineRule="auto"/>
        <w:rPr>
          <w:rFonts w:cs="Times New Roman"/>
          <w:lang w:val="ru-RU"/>
        </w:rPr>
      </w:pPr>
      <w:bookmarkStart w:id="2" w:name="_Toc233526119"/>
      <w:r>
        <w:rPr>
          <w:rFonts w:cs="Times New Roman"/>
          <w:lang w:val="ru-RU"/>
        </w:rPr>
        <w:t>Понятие, экономическая сущность, принципы и методы формирования инвестиционного портфеля</w:t>
      </w:r>
      <w:bookmarkEnd w:id="2"/>
    </w:p>
    <w:p w14:paraId="09A4D6D2" w14:textId="77777777" w:rsidR="004962FA" w:rsidRPr="004B6B88" w:rsidRDefault="004962FA" w:rsidP="004B6B88">
      <w:pPr>
        <w:spacing w:line="360" w:lineRule="auto"/>
        <w:rPr>
          <w:rFonts w:ascii="Times New Roman" w:hAnsi="Times New Roman" w:cs="Times New Roman"/>
          <w:lang w:val="ru-RU"/>
        </w:rPr>
      </w:pPr>
    </w:p>
    <w:p w14:paraId="25530642"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современной финансовой теории и практике управления активами инвестиционный портфель рассматривается как базовый инструмент организации инвестиционного процесса, позволяющий преобразовать первоначальные инвестиционные намерения в структурированную и управляемую совокупность активов [20, с. 15]. В аналитическом смысле инвестиционный портфель представляет собой целенаправленно сформированный набор объектов реального и финансового инвестирования, отобранных в соответствии с принятой стратегией, институциональными ограничениями и горизонтом вложений, функционирующий как единый объект управления и контроля [7, с. 112].</w:t>
      </w:r>
    </w:p>
    <w:p w14:paraId="7D23C6B9" w14:textId="1E593240"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Теоретическую основу современной портфельной теории заложил Г. </w:t>
      </w:r>
      <w:proofErr w:type="spellStart"/>
      <w:r>
        <w:rPr>
          <w:rFonts w:ascii="Times New Roman" w:eastAsia="Times New Roman" w:hAnsi="Times New Roman" w:cs="Times New Roman"/>
          <w:sz w:val="28"/>
          <w:szCs w:val="28"/>
          <w:lang w:val="ru-RU"/>
        </w:rPr>
        <w:t>Марковиц</w:t>
      </w:r>
      <w:proofErr w:type="spellEnd"/>
      <w:r>
        <w:rPr>
          <w:rFonts w:ascii="Times New Roman" w:eastAsia="Times New Roman" w:hAnsi="Times New Roman" w:cs="Times New Roman"/>
          <w:sz w:val="28"/>
          <w:szCs w:val="28"/>
          <w:lang w:val="ru-RU"/>
        </w:rPr>
        <w:t xml:space="preserve"> в 1952 году [37]. Его ключевой вклад состоит в строгом математическом доказательстве того, что риск диверсифицированного портфеля не равен средневзвешенному риску входящих в него активов, а определяется матрицей ковариаций их доходностей. Таким образом, объединение активов с неполной положительной корреляцией позволяет снизить совокупный риск ниже уровня, достижимого для любого отдельного инструмента. В дальнейшем У. Шарп [38], Д. </w:t>
      </w:r>
      <w:proofErr w:type="spellStart"/>
      <w:r>
        <w:rPr>
          <w:rFonts w:ascii="Times New Roman" w:eastAsia="Times New Roman" w:hAnsi="Times New Roman" w:cs="Times New Roman"/>
          <w:sz w:val="28"/>
          <w:szCs w:val="28"/>
          <w:lang w:val="ru-RU"/>
        </w:rPr>
        <w:t>Линтнер</w:t>
      </w:r>
      <w:proofErr w:type="spellEnd"/>
      <w:r>
        <w:rPr>
          <w:rFonts w:ascii="Times New Roman" w:eastAsia="Times New Roman" w:hAnsi="Times New Roman" w:cs="Times New Roman"/>
          <w:sz w:val="28"/>
          <w:szCs w:val="28"/>
          <w:lang w:val="ru-RU"/>
        </w:rPr>
        <w:t xml:space="preserve"> и Я. </w:t>
      </w:r>
      <w:proofErr w:type="spellStart"/>
      <w:r>
        <w:rPr>
          <w:rFonts w:ascii="Times New Roman" w:eastAsia="Times New Roman" w:hAnsi="Times New Roman" w:cs="Times New Roman"/>
          <w:sz w:val="28"/>
          <w:szCs w:val="28"/>
          <w:lang w:val="ru-RU"/>
        </w:rPr>
        <w:t>Моссин</w:t>
      </w:r>
      <w:proofErr w:type="spellEnd"/>
      <w:r>
        <w:rPr>
          <w:rFonts w:ascii="Times New Roman" w:eastAsia="Times New Roman" w:hAnsi="Times New Roman" w:cs="Times New Roman"/>
          <w:sz w:val="28"/>
          <w:szCs w:val="28"/>
          <w:lang w:val="ru-RU"/>
        </w:rPr>
        <w:t xml:space="preserve"> развили теорию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предложив модель оценки капитальных активов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lastRenderedPageBreak/>
        <w:t>перешедшую от оптимизации портфеля к ценообразованию отдельных активов в условиях рыночного равновесия.</w:t>
      </w:r>
    </w:p>
    <w:p w14:paraId="608BA29D"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Цель формирования инвестиционного портфеля в большинстве случаев сводится к реализации инвестиционной политики через отбор и сочетание активов, интерпретируемых при заданных ограничениях как относительно эффективные и достаточно надёжные [19, с. 210]. В этой логике уместно говорить о системе взаимосвязанных ориентиров: сохранение капитала и его прирост в долгосрочной перспективе; поддержание темпов роста дохода, соответствующих целям инвестора; ограничение уровня риска до значений, совместимых с допустимыми потерями [13, с. 154]; сохранение ликвидности в объёме, достаточном для исполнения обязательств и оперативного реагирования на изменения рыночной конъюнктуры.</w:t>
      </w:r>
    </w:p>
    <w:p w14:paraId="67EA412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Применение категории «качество» к инвестиционному портфелю не сводится к идее механической максимизации исторической доходности. Качество портфеля определяется как состояние и результат управленческого выбора, при котором достигается согласованное соотношение доходности, риска и ликвидности, а ожидаемая выгода рассматривается совместно с приемлемостью риска и возможностью относительно оперативной трансформации части активов в денежную форму при разумных транзакционных издержках [11, с. 230]. Поскольку одновременная максимизация доходности при нулевом риске и абсолютной ликвидности недостижима в условиях реального рынка, формирование портфеля представляет собой задачу поиска компромиссного решения [26, с. 146].</w:t>
      </w:r>
    </w:p>
    <w:p w14:paraId="20D2EA3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Принципы формирования инвестиционного портфеля, получившие обоснование в работах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и Шарпа, составляют методологическую основу современной портфельной теории. К ключевым из них относятся следующие. Принцип диверсификации предполагает распределение капитала </w:t>
      </w:r>
      <w:r>
        <w:rPr>
          <w:rFonts w:ascii="Times New Roman" w:eastAsia="Times New Roman" w:hAnsi="Times New Roman" w:cs="Times New Roman"/>
          <w:sz w:val="28"/>
          <w:szCs w:val="28"/>
          <w:lang w:val="ru-RU"/>
        </w:rPr>
        <w:lastRenderedPageBreak/>
        <w:t>между активами с различными характеристиками доходности и риска с целью снижения несистематической составляющей совокупного риска. Принцип оптимальности ориентирует на достижение максимальной ожидаемой доходности при заданном уровне риска или на минимизацию риска при требуемой доходности. Принцип ликвидности обеспечивает возможность трансформации активов в денежные средства без существенных потерь стоимости. Принцип соответствия инвестиционным целям требует согласованности структуры портфеля с горизонтом инвестирования, финансовыми возможностями и риск-профилем инвестора.</w:t>
      </w:r>
    </w:p>
    <w:p w14:paraId="566EE59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категориальном отношении методы формирования инвестиционного портфеля традиционно подразделяются на пассивные и активные. Пассивный подход предполагает воспроизведение состава и весов рыночного бенчмарка с минимальными отклонениями и транзакционными издержками; он опирается на гипотезу эффективного рынка, согласно которой систематическое превышение рыночной доходности за счёт выбора отдельных бумаг недостижимо в долгосрочной перспективе [35]. Активный подход, напротив, направлен на формирование портфеля, способного опережать бенчмарк за счёт выбора недооценённых бумаг, тактической аллокации активов и своевременной ребалансировки; он требует применения инструментов фундаментального и технического анализа и предполагает более высокие издержки управления [20, с. 78].</w:t>
      </w:r>
    </w:p>
    <w:p w14:paraId="7769B301" w14:textId="77777777" w:rsidR="004962FA" w:rsidRPr="004B6B88" w:rsidRDefault="004962F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условиях высокой волатильности и выраженной цикличности сырьевых рынков пассивные стратегии, механически воспроизводящие отраслевой бенчмарк, могут приводить к значительным просадкам в неблагоприятные периоды цикла. Для достижения целевой доходности при контролируемом уровне риска более значимым становится селективный выбор фундаментально устойчивых эмитентов, способных сохранять </w:t>
      </w:r>
      <w:r>
        <w:rPr>
          <w:rFonts w:ascii="Times New Roman" w:eastAsia="Times New Roman" w:hAnsi="Times New Roman" w:cs="Times New Roman"/>
          <w:sz w:val="28"/>
          <w:szCs w:val="28"/>
          <w:lang w:val="ru-RU"/>
        </w:rPr>
        <w:lastRenderedPageBreak/>
        <w:t>положительный денежный поток и демонстрировать операционную гибкость в условиях санкционных ограничений и повышенной стоимости капитала [9, с. 320]. Таким образом, методологически обоснованный подход к формированию портфеля сочетает инструменты количественного оптимизационного моделирования с результатами фундаментального анализа базовых активов.</w:t>
      </w:r>
    </w:p>
    <w:p w14:paraId="07A2381F" w14:textId="77777777" w:rsidR="004962FA" w:rsidRPr="004B6B88" w:rsidRDefault="004962FA" w:rsidP="004B6B88">
      <w:pPr>
        <w:spacing w:line="360" w:lineRule="auto"/>
        <w:ind w:firstLine="709"/>
        <w:jc w:val="both"/>
        <w:rPr>
          <w:rFonts w:ascii="Times New Roman" w:hAnsi="Times New Roman" w:cs="Times New Roman"/>
          <w:lang w:val="ru-RU"/>
        </w:rPr>
      </w:pPr>
    </w:p>
    <w:p w14:paraId="2D052A92" w14:textId="15EFF11B" w:rsidR="004962FA" w:rsidRPr="004B6B88" w:rsidRDefault="00823BB7" w:rsidP="004B6B88">
      <w:pPr>
        <w:pStyle w:val="2"/>
        <w:spacing w:line="360" w:lineRule="auto"/>
        <w:rPr>
          <w:rFonts w:cs="Times New Roman"/>
          <w:lang w:val="ru-RU"/>
        </w:rPr>
      </w:pPr>
      <w:bookmarkStart w:id="3" w:name="_Toc233526120"/>
      <w:r>
        <w:rPr>
          <w:rFonts w:cs="Times New Roman"/>
          <w:lang w:val="ru-RU"/>
        </w:rPr>
        <w:t>1.2 Методики оценки эффективности и качества инвестиционного портфеля</w:t>
      </w:r>
      <w:bookmarkEnd w:id="3"/>
    </w:p>
    <w:p w14:paraId="4D06535B" w14:textId="77777777" w:rsidR="004962FA" w:rsidRPr="004B6B88" w:rsidRDefault="004962FA" w:rsidP="004B6B88">
      <w:pPr>
        <w:spacing w:line="360" w:lineRule="auto"/>
        <w:ind w:left="709"/>
        <w:rPr>
          <w:rFonts w:ascii="Times New Roman" w:hAnsi="Times New Roman" w:cs="Times New Roman"/>
          <w:lang w:val="ru-RU"/>
        </w:rPr>
      </w:pPr>
    </w:p>
    <w:p w14:paraId="3A3EEA99"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Оценка эффективности и качества инвестиционного портфеля осуществляется с помощью двух взаимодополняющих групп методик: инструментов фундаментального анализа компаний-эмитентов и портфельных метрик риска и доходности. Такая двухуровневая структура обусловлена тем, что рыночные показатели отражают уже состоявшиеся ценовые движения, тогда как фундаментальный анализ позволяет судить о внутренней стоимости активов и устойчивости их денежных потоков [20, с. 110].</w:t>
      </w:r>
    </w:p>
    <w:p w14:paraId="1ABAB4F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Фундаментальный анализ эмитентов базируется на систематическом изучении финансовой отчётности компании с учётом отраслевой специфики. В рамках данного подхода применяется коэффициентный анализ, охватывающий четыре ключевые группы показателей: ликвидности, финансовой устойчивости, деловой активности и рентабельности [22, с. 54].</w:t>
      </w:r>
    </w:p>
    <w:p w14:paraId="07BD493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Показатели ликвидности характеризуют способность компании своевременно исполнять краткосрочные обязательства. Коэффициент текущей ликвидности (</w:t>
      </w:r>
      <w:r>
        <w:rPr>
          <w:rFonts w:ascii="Times New Roman" w:eastAsia="Times New Roman" w:hAnsi="Times New Roman" w:cs="Times New Roman"/>
          <w:sz w:val="28"/>
          <w:szCs w:val="28"/>
        </w:rPr>
        <w:t>Current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CR</w:t>
      </w:r>
      <w:r>
        <w:rPr>
          <w:rFonts w:ascii="Times New Roman" w:eastAsia="Times New Roman" w:hAnsi="Times New Roman" w:cs="Times New Roman"/>
          <w:sz w:val="28"/>
          <w:szCs w:val="28"/>
          <w:lang w:val="ru-RU"/>
        </w:rPr>
        <w:t>) рассчитывается по формуле (1):</w:t>
      </w:r>
    </w:p>
    <w:p w14:paraId="03AE8286" w14:textId="0CB0E6F0" w:rsidR="004962FA" w:rsidRPr="004B6B88" w:rsidRDefault="00FD20BF" w:rsidP="004962FA">
      <w:pPr>
        <w:pStyle w:val="FormulaStyle"/>
        <w:ind w:firstLine="709"/>
        <w:jc w:val="both"/>
      </w:pPr>
      <m:oMath>
        <m:r>
          <w:rPr>
            <w:rFonts w:ascii="Cambria Math" w:hAnsi="Cambria Math"/>
          </w:rPr>
          <w:lastRenderedPageBreak/>
          <m:t>CR = OA / CL</m:t>
        </m:r>
      </m:oMath>
      <w:r>
        <w:rPr>
          <w:i/>
          <w:iCs/>
        </w:rPr>
        <w:t xml:space="preserve">   (1)</w:t>
      </w:r>
    </w:p>
    <w:p w14:paraId="58D2035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OA</w:t>
      </w:r>
      <w:r>
        <w:rPr>
          <w:rFonts w:ascii="Times New Roman" w:eastAsia="Times New Roman" w:hAnsi="Times New Roman" w:cs="Times New Roman"/>
          <w:sz w:val="28"/>
          <w:szCs w:val="28"/>
          <w:lang w:val="ru-RU"/>
        </w:rPr>
        <w:t xml:space="preserve"> — оборотные активы предприятия; </w:t>
      </w:r>
      <w:r>
        <w:rPr>
          <w:rFonts w:ascii="Times New Roman" w:eastAsia="Times New Roman" w:hAnsi="Times New Roman" w:cs="Times New Roman"/>
          <w:sz w:val="28"/>
          <w:szCs w:val="28"/>
        </w:rPr>
        <w:t>CL</w:t>
      </w:r>
      <w:r>
        <w:rPr>
          <w:rFonts w:ascii="Times New Roman" w:eastAsia="Times New Roman" w:hAnsi="Times New Roman" w:cs="Times New Roman"/>
          <w:sz w:val="28"/>
          <w:szCs w:val="28"/>
          <w:lang w:val="ru-RU"/>
        </w:rPr>
        <w:t xml:space="preserve"> — краткосрочные обязательства. Нормативное значение </w:t>
      </w:r>
      <w:r>
        <w:rPr>
          <w:rFonts w:ascii="Times New Roman" w:eastAsia="Times New Roman" w:hAnsi="Times New Roman" w:cs="Times New Roman"/>
          <w:sz w:val="28"/>
          <w:szCs w:val="28"/>
        </w:rPr>
        <w:t>CR</w:t>
      </w:r>
      <w:r>
        <w:rPr>
          <w:rFonts w:ascii="Times New Roman" w:eastAsia="Times New Roman" w:hAnsi="Times New Roman" w:cs="Times New Roman"/>
          <w:sz w:val="28"/>
          <w:szCs w:val="28"/>
          <w:lang w:val="ru-RU"/>
        </w:rPr>
        <w:t xml:space="preserve"> ≥ 2,0 указывает на достаточное покрытие текущих обязательств оборотными активами [15, с. 215].</w:t>
      </w:r>
    </w:p>
    <w:p w14:paraId="0BD7882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Коэффициент быстрой ликвидности (</w:t>
      </w:r>
      <w:r>
        <w:rPr>
          <w:rFonts w:ascii="Times New Roman" w:eastAsia="Times New Roman" w:hAnsi="Times New Roman" w:cs="Times New Roman"/>
          <w:sz w:val="28"/>
          <w:szCs w:val="28"/>
        </w:rPr>
        <w:t>Quick</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QR</w:t>
      </w:r>
      <w:r>
        <w:rPr>
          <w:rFonts w:ascii="Times New Roman" w:eastAsia="Times New Roman" w:hAnsi="Times New Roman" w:cs="Times New Roman"/>
          <w:sz w:val="28"/>
          <w:szCs w:val="28"/>
          <w:lang w:val="ru-RU"/>
        </w:rPr>
        <w:t>) исключает из числителя наименее ликвидную часть — запасы:</w:t>
      </w:r>
    </w:p>
    <w:p w14:paraId="668E6487" w14:textId="5BA368C9" w:rsidR="004962FA" w:rsidRPr="004B6B88" w:rsidRDefault="00FD20BF" w:rsidP="004962FA">
      <w:pPr>
        <w:pStyle w:val="FormulaStyle"/>
        <w:ind w:firstLine="709"/>
        <w:jc w:val="both"/>
      </w:pPr>
      <m:oMath>
        <m:r>
          <w:rPr>
            <w:rFonts w:ascii="Cambria Math" w:hAnsi="Cambria Math"/>
          </w:rPr>
          <m:t>QR = (OA - Inv) / CL</m:t>
        </m:r>
      </m:oMath>
      <w:r>
        <w:rPr>
          <w:i/>
          <w:iCs/>
        </w:rPr>
        <w:t xml:space="preserve">   (2)</w:t>
      </w:r>
    </w:p>
    <w:p w14:paraId="7FB3899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Inv</w:t>
      </w:r>
      <w:r>
        <w:rPr>
          <w:rFonts w:ascii="Times New Roman" w:eastAsia="Times New Roman" w:hAnsi="Times New Roman" w:cs="Times New Roman"/>
          <w:sz w:val="28"/>
          <w:szCs w:val="28"/>
          <w:lang w:val="ru-RU"/>
        </w:rPr>
        <w:t xml:space="preserve"> — стоимость запасов. Рекомендуемое значение </w:t>
      </w:r>
      <w:r>
        <w:rPr>
          <w:rFonts w:ascii="Times New Roman" w:eastAsia="Times New Roman" w:hAnsi="Times New Roman" w:cs="Times New Roman"/>
          <w:sz w:val="28"/>
          <w:szCs w:val="28"/>
        </w:rPr>
        <w:t>QR</w:t>
      </w:r>
      <w:r>
        <w:rPr>
          <w:rFonts w:ascii="Times New Roman" w:eastAsia="Times New Roman" w:hAnsi="Times New Roman" w:cs="Times New Roman"/>
          <w:sz w:val="28"/>
          <w:szCs w:val="28"/>
          <w:lang w:val="ru-RU"/>
        </w:rPr>
        <w:t xml:space="preserve"> ≥ 1,0.</w:t>
      </w:r>
    </w:p>
    <w:p w14:paraId="25B39F4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Коэффициент абсолютной ликвидности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rPr>
        <w:t>CashR</w:t>
      </w:r>
      <w:proofErr w:type="spellEnd"/>
      <w:r>
        <w:rPr>
          <w:rFonts w:ascii="Times New Roman" w:eastAsia="Times New Roman" w:hAnsi="Times New Roman" w:cs="Times New Roman"/>
          <w:sz w:val="28"/>
          <w:szCs w:val="28"/>
          <w:lang w:val="ru-RU"/>
        </w:rPr>
        <w:t>) показывает долю краткосрочных обязательств, которые могут быть погашены немедленно:</w:t>
      </w:r>
    </w:p>
    <w:p w14:paraId="76F1829C" w14:textId="32A97B7F" w:rsidR="004962FA" w:rsidRPr="004B6B88" w:rsidRDefault="00FD20BF" w:rsidP="004962FA">
      <w:pPr>
        <w:pStyle w:val="FormulaStyle"/>
        <w:ind w:firstLine="709"/>
        <w:jc w:val="both"/>
      </w:pPr>
      <m:oMath>
        <m:r>
          <w:rPr>
            <w:rFonts w:ascii="Cambria Math" w:hAnsi="Cambria Math"/>
          </w:rPr>
          <m:t>CashR = (Cash + CE) / CL</m:t>
        </m:r>
      </m:oMath>
      <w:r>
        <w:rPr>
          <w:i/>
          <w:iCs/>
        </w:rPr>
        <w:t xml:space="preserve">   (3)</w:t>
      </w:r>
    </w:p>
    <w:p w14:paraId="2A2CA07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 денежные средства; </w:t>
      </w:r>
      <w:r>
        <w:rPr>
          <w:rFonts w:ascii="Times New Roman" w:eastAsia="Times New Roman" w:hAnsi="Times New Roman" w:cs="Times New Roman"/>
          <w:sz w:val="28"/>
          <w:szCs w:val="28"/>
        </w:rPr>
        <w:t>CE</w:t>
      </w:r>
      <w:r>
        <w:rPr>
          <w:rFonts w:ascii="Times New Roman" w:eastAsia="Times New Roman" w:hAnsi="Times New Roman" w:cs="Times New Roman"/>
          <w:sz w:val="28"/>
          <w:szCs w:val="28"/>
          <w:lang w:val="ru-RU"/>
        </w:rPr>
        <w:t xml:space="preserve"> — краткосрочные финансовые вложения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equivalents</w:t>
      </w:r>
      <w:r>
        <w:rPr>
          <w:rFonts w:ascii="Times New Roman" w:eastAsia="Times New Roman" w:hAnsi="Times New Roman" w:cs="Times New Roman"/>
          <w:sz w:val="28"/>
          <w:szCs w:val="28"/>
          <w:lang w:val="ru-RU"/>
        </w:rPr>
        <w:t xml:space="preserve">). Нормативное значение </w:t>
      </w:r>
      <w:proofErr w:type="spellStart"/>
      <w:r>
        <w:rPr>
          <w:rFonts w:ascii="Times New Roman" w:eastAsia="Times New Roman" w:hAnsi="Times New Roman" w:cs="Times New Roman"/>
          <w:sz w:val="28"/>
          <w:szCs w:val="28"/>
        </w:rPr>
        <w:t>CashR</w:t>
      </w:r>
      <w:proofErr w:type="spellEnd"/>
      <w:r>
        <w:rPr>
          <w:rFonts w:ascii="Times New Roman" w:eastAsia="Times New Roman" w:hAnsi="Times New Roman" w:cs="Times New Roman"/>
          <w:sz w:val="28"/>
          <w:szCs w:val="28"/>
          <w:lang w:val="ru-RU"/>
        </w:rPr>
        <w:t xml:space="preserve"> ≥ 0,2 [15, с. 216].</w:t>
      </w:r>
    </w:p>
    <w:p w14:paraId="0D15EB8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Среди показателей рентабельности для портфельного инвестора наибольшее значение имеет рентабельность собственного капитала (</w:t>
      </w:r>
      <w:r>
        <w:rPr>
          <w:rFonts w:ascii="Times New Roman" w:eastAsia="Times New Roman" w:hAnsi="Times New Roman" w:cs="Times New Roman"/>
          <w:sz w:val="28"/>
          <w:szCs w:val="28"/>
        </w:rPr>
        <w:t>Return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Equity</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ROE</w:t>
      </w:r>
      <w:r>
        <w:rPr>
          <w:rFonts w:ascii="Times New Roman" w:eastAsia="Times New Roman" w:hAnsi="Times New Roman" w:cs="Times New Roman"/>
          <w:sz w:val="28"/>
          <w:szCs w:val="28"/>
          <w:lang w:val="ru-RU"/>
        </w:rPr>
        <w:t>), отражающая эффективность использования средств акционеров:</w:t>
      </w:r>
    </w:p>
    <w:p w14:paraId="1CF84C4B" w14:textId="450C638C" w:rsidR="004962FA" w:rsidRPr="004B6B88" w:rsidRDefault="00FD20BF" w:rsidP="004962FA">
      <w:pPr>
        <w:pStyle w:val="FormulaStyle"/>
        <w:ind w:firstLine="709"/>
        <w:jc w:val="both"/>
      </w:pPr>
      <m:oMath>
        <m:r>
          <w:rPr>
            <w:rFonts w:ascii="Cambria Math" w:hAnsi="Cambria Math"/>
          </w:rPr>
          <m:t>ROE = NI / E</m:t>
        </m:r>
      </m:oMath>
      <w:r>
        <w:rPr>
          <w:i/>
          <w:iCs/>
        </w:rPr>
        <w:t xml:space="preserve">   (4)</w:t>
      </w:r>
    </w:p>
    <w:p w14:paraId="7C9394F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чистая прибыль за отчётный период; </w:t>
      </w:r>
      <w:r>
        <w:rPr>
          <w:rFonts w:ascii="Times New Roman" w:eastAsia="Times New Roman" w:hAnsi="Times New Roman" w:cs="Times New Roman"/>
          <w:sz w:val="28"/>
          <w:szCs w:val="28"/>
        </w:rPr>
        <w:t>E</w:t>
      </w:r>
      <w:r>
        <w:rPr>
          <w:rFonts w:ascii="Times New Roman" w:eastAsia="Times New Roman" w:hAnsi="Times New Roman" w:cs="Times New Roman"/>
          <w:sz w:val="28"/>
          <w:szCs w:val="28"/>
          <w:lang w:val="ru-RU"/>
        </w:rPr>
        <w:t xml:space="preserve"> — средняя величина собственного капитала. Высокое значение </w:t>
      </w:r>
      <w:r>
        <w:rPr>
          <w:rFonts w:ascii="Times New Roman" w:eastAsia="Times New Roman" w:hAnsi="Times New Roman" w:cs="Times New Roman"/>
          <w:sz w:val="28"/>
          <w:szCs w:val="28"/>
        </w:rPr>
        <w:t>ROE</w:t>
      </w:r>
      <w:r>
        <w:rPr>
          <w:rFonts w:ascii="Times New Roman" w:eastAsia="Times New Roman" w:hAnsi="Times New Roman" w:cs="Times New Roman"/>
          <w:sz w:val="28"/>
          <w:szCs w:val="28"/>
          <w:lang w:val="ru-RU"/>
        </w:rPr>
        <w:t xml:space="preserve"> при умеренном финансовом рычаге свидетельствует о способности бизнеса генерировать добавленную стоимость для собственников [13, с. 115]. Аналогичным образом рассчитываются рентабельность активов (</w:t>
      </w:r>
      <w:r>
        <w:rPr>
          <w:rFonts w:ascii="Times New Roman" w:eastAsia="Times New Roman" w:hAnsi="Times New Roman" w:cs="Times New Roman"/>
          <w:sz w:val="28"/>
          <w:szCs w:val="28"/>
        </w:rPr>
        <w:t>ROA</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TA</w:t>
      </w:r>
      <w:r>
        <w:rPr>
          <w:rFonts w:ascii="Times New Roman" w:eastAsia="Times New Roman" w:hAnsi="Times New Roman" w:cs="Times New Roman"/>
          <w:sz w:val="28"/>
          <w:szCs w:val="28"/>
          <w:lang w:val="ru-RU"/>
        </w:rPr>
        <w:t xml:space="preserve">, где </w:t>
      </w:r>
      <w:r>
        <w:rPr>
          <w:rFonts w:ascii="Times New Roman" w:eastAsia="Times New Roman" w:hAnsi="Times New Roman" w:cs="Times New Roman"/>
          <w:sz w:val="28"/>
          <w:szCs w:val="28"/>
        </w:rPr>
        <w:t>TA</w:t>
      </w:r>
      <w:r>
        <w:rPr>
          <w:rFonts w:ascii="Times New Roman" w:eastAsia="Times New Roman" w:hAnsi="Times New Roman" w:cs="Times New Roman"/>
          <w:sz w:val="28"/>
          <w:szCs w:val="28"/>
          <w:lang w:val="ru-RU"/>
        </w:rPr>
        <w:t xml:space="preserve"> — совокупные активы) и рентабельность продаж (</w:t>
      </w:r>
      <w:r>
        <w:rPr>
          <w:rFonts w:ascii="Times New Roman" w:eastAsia="Times New Roman" w:hAnsi="Times New Roman" w:cs="Times New Roman"/>
          <w:sz w:val="28"/>
          <w:szCs w:val="28"/>
        </w:rPr>
        <w:t>ROS</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Revenue</w:t>
      </w:r>
      <w:r>
        <w:rPr>
          <w:rFonts w:ascii="Times New Roman" w:eastAsia="Times New Roman" w:hAnsi="Times New Roman" w:cs="Times New Roman"/>
          <w:sz w:val="28"/>
          <w:szCs w:val="28"/>
          <w:lang w:val="ru-RU"/>
        </w:rPr>
        <w:t>).</w:t>
      </w:r>
    </w:p>
    <w:p w14:paraId="44C698A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Диагностика риска финансовой несостоятельности осуществляется с помощью многофакторных дискриминантных моделей. Наиболее широко </w:t>
      </w:r>
      <w:r>
        <w:rPr>
          <w:rFonts w:ascii="Times New Roman" w:eastAsia="Times New Roman" w:hAnsi="Times New Roman" w:cs="Times New Roman"/>
          <w:sz w:val="28"/>
          <w:szCs w:val="28"/>
          <w:lang w:val="ru-RU"/>
        </w:rPr>
        <w:lastRenderedPageBreak/>
        <w:t>применяется пятифакторная модель Э. Альтмана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score</w:t>
      </w:r>
      <w:r>
        <w:rPr>
          <w:rFonts w:ascii="Times New Roman" w:eastAsia="Times New Roman" w:hAnsi="Times New Roman" w:cs="Times New Roman"/>
          <w:sz w:val="28"/>
          <w:szCs w:val="28"/>
          <w:lang w:val="ru-RU"/>
        </w:rPr>
        <w:t>), предложенная в 1968 году [43]:</w:t>
      </w:r>
    </w:p>
    <w:p w14:paraId="11DB1F1B" w14:textId="497C00E7" w:rsidR="004962FA" w:rsidRPr="004B6B88" w:rsidRDefault="00FD20BF" w:rsidP="004962FA">
      <w:pPr>
        <w:pStyle w:val="FormulaStyle"/>
        <w:ind w:firstLine="709"/>
        <w:jc w:val="both"/>
      </w:pPr>
      <m:oMath>
        <m:r>
          <w:rPr>
            <w:rFonts w:ascii="Cambria Math" w:hAnsi="Cambria Math"/>
          </w:rPr>
          <m:t>Z = 1,2·X₁ + 1,4·X₂ + 3,3·X₃ + 0,6·X₄ + 1,0·X₅</m:t>
        </m:r>
      </m:oMath>
      <w:r>
        <w:rPr>
          <w:i/>
          <w:iCs/>
        </w:rPr>
        <w:t xml:space="preserve">   (5)</w:t>
      </w:r>
    </w:p>
    <w:p w14:paraId="1E44F98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 xml:space="preserve">₁ = Рабочий капитал / Совокупные активы;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 xml:space="preserve">₂ = Нераспределённая прибыль / Совокупные активы;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₃ = Прибыль до уплаты процентов и налогов (</w:t>
      </w:r>
      <w:r>
        <w:rPr>
          <w:rFonts w:ascii="Times New Roman" w:eastAsia="Times New Roman" w:hAnsi="Times New Roman" w:cs="Times New Roman"/>
          <w:sz w:val="28"/>
          <w:szCs w:val="28"/>
        </w:rPr>
        <w:t>EBIT</w:t>
      </w:r>
      <w:r>
        <w:rPr>
          <w:rFonts w:ascii="Times New Roman" w:eastAsia="Times New Roman" w:hAnsi="Times New Roman" w:cs="Times New Roman"/>
          <w:sz w:val="28"/>
          <w:szCs w:val="28"/>
          <w:lang w:val="ru-RU"/>
        </w:rPr>
        <w:t xml:space="preserve">) / Совокупные активы;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 xml:space="preserve">₄ = Рыночная капитализация / Балансовая стоимость заёмного капитала;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 xml:space="preserve">₅ = Выручка / Совокупные активы. Интерпретация результатов: </w:t>
      </w:r>
      <w:proofErr w:type="gramStart"/>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&gt;</w:t>
      </w:r>
      <w:proofErr w:type="gramEnd"/>
      <w:r>
        <w:rPr>
          <w:rFonts w:ascii="Times New Roman" w:eastAsia="Times New Roman" w:hAnsi="Times New Roman" w:cs="Times New Roman"/>
          <w:sz w:val="28"/>
          <w:szCs w:val="28"/>
          <w:lang w:val="ru-RU"/>
        </w:rPr>
        <w:t xml:space="preserve"> 2,99 — зона финансовой устойчивости; 1,81 ≤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 2,99 — зона неопределённости;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,81 — зона высокого риска банкротства [43].</w:t>
      </w:r>
    </w:p>
    <w:p w14:paraId="57252B5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Переходя к портфельным метрикам, следует прежде всего зафиксировать базовые соотношения. Ожидаемая доходность портфеля, состоящего из </w:t>
      </w:r>
      <w:r>
        <w:rPr>
          <w:rFonts w:ascii="Times New Roman" w:eastAsia="Times New Roman" w:hAnsi="Times New Roman" w:cs="Times New Roman"/>
          <w:sz w:val="28"/>
          <w:szCs w:val="28"/>
        </w:rPr>
        <w:t>n</w:t>
      </w:r>
      <w:r>
        <w:rPr>
          <w:rFonts w:ascii="Times New Roman" w:eastAsia="Times New Roman" w:hAnsi="Times New Roman" w:cs="Times New Roman"/>
          <w:sz w:val="28"/>
          <w:szCs w:val="28"/>
          <w:lang w:val="ru-RU"/>
        </w:rPr>
        <w:t xml:space="preserve"> активов, определяется как взвешенная сумма ожидаемых доходностей отдельных инструментов:</w:t>
      </w:r>
    </w:p>
    <w:p w14:paraId="47FBD7FC" w14:textId="49E02831" w:rsidR="004962FA" w:rsidRPr="004B6B88" w:rsidRDefault="00FD20BF" w:rsidP="004962FA">
      <w:pPr>
        <w:pStyle w:val="FormulaStyle"/>
        <w:ind w:firstLine="709"/>
        <w:jc w:val="both"/>
      </w:pPr>
      <m:oMath>
        <m:r>
          <w:rPr>
            <w:rFonts w:ascii="Cambria Math" w:hAnsi="Cambria Math"/>
          </w:rPr>
          <m:t xml:space="preserve">E(Rp) = Σᵢ wᵢ · E(Rᵢ) </m:t>
        </m:r>
      </m:oMath>
      <w:r>
        <w:rPr>
          <w:i/>
          <w:iCs/>
        </w:rPr>
        <w:t xml:space="preserve">  (6)</w:t>
      </w:r>
    </w:p>
    <w:p w14:paraId="2399A74E"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wᵢ</w:t>
      </w:r>
      <w:r>
        <w:rPr>
          <w:rFonts w:ascii="Times New Roman" w:eastAsia="Times New Roman" w:hAnsi="Times New Roman" w:cs="Times New Roman"/>
          <w:sz w:val="28"/>
          <w:szCs w:val="28"/>
          <w:lang w:val="ru-RU"/>
        </w:rPr>
        <w:t xml:space="preserve"> — удельный вес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 xml:space="preserve">-го актива в портфеле; </w:t>
      </w:r>
      <w:r>
        <w:rPr>
          <w:rFonts w:ascii="Times New Roman" w:eastAsia="Times New Roman" w:hAnsi="Times New Roman" w:cs="Times New Roman"/>
          <w:sz w:val="28"/>
          <w:szCs w:val="28"/>
        </w:rPr>
        <w:t>E</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Rᵢ</w:t>
      </w:r>
      <w:r>
        <w:rPr>
          <w:rFonts w:ascii="Times New Roman" w:eastAsia="Times New Roman" w:hAnsi="Times New Roman" w:cs="Times New Roman"/>
          <w:sz w:val="28"/>
          <w:szCs w:val="28"/>
          <w:lang w:val="ru-RU"/>
        </w:rPr>
        <w:t xml:space="preserve">) — ожидаемая доходность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 xml:space="preserve">-го актива; </w:t>
      </w:r>
      <w:r>
        <w:rPr>
          <w:rFonts w:ascii="Times New Roman" w:eastAsia="Times New Roman" w:hAnsi="Times New Roman" w:cs="Times New Roman"/>
          <w:sz w:val="28"/>
          <w:szCs w:val="28"/>
        </w:rPr>
        <w:t>Σᵢ</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wᵢ</w:t>
      </w:r>
      <w:r>
        <w:rPr>
          <w:rFonts w:ascii="Times New Roman" w:eastAsia="Times New Roman" w:hAnsi="Times New Roman" w:cs="Times New Roman"/>
          <w:sz w:val="28"/>
          <w:szCs w:val="28"/>
          <w:lang w:val="ru-RU"/>
        </w:rPr>
        <w:t xml:space="preserve"> = 1.</w:t>
      </w:r>
    </w:p>
    <w:p w14:paraId="58B41D1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Совокупный риск портфеля </w:t>
      </w:r>
      <w:proofErr w:type="spellStart"/>
      <w:r>
        <w:rPr>
          <w:rFonts w:ascii="Times New Roman" w:eastAsia="Times New Roman" w:hAnsi="Times New Roman" w:cs="Times New Roman"/>
          <w:sz w:val="28"/>
          <w:szCs w:val="28"/>
          <w:lang w:val="ru-RU"/>
        </w:rPr>
        <w:t>квантифицируется</w:t>
      </w:r>
      <w:proofErr w:type="spellEnd"/>
      <w:r>
        <w:rPr>
          <w:rFonts w:ascii="Times New Roman" w:eastAsia="Times New Roman" w:hAnsi="Times New Roman" w:cs="Times New Roman"/>
          <w:sz w:val="28"/>
          <w:szCs w:val="28"/>
          <w:lang w:val="ru-RU"/>
        </w:rPr>
        <w:t xml:space="preserve"> через дисперсию доходностей:</w:t>
      </w:r>
    </w:p>
    <w:p w14:paraId="10CE1A89" w14:textId="46C1E902" w:rsidR="004962FA" w:rsidRPr="004B6B88" w:rsidRDefault="00FD20BF" w:rsidP="004962FA">
      <w:pPr>
        <w:pStyle w:val="FormulaStyle"/>
        <w:ind w:firstLine="709"/>
        <w:jc w:val="both"/>
      </w:pPr>
      <m:oMath>
        <m:r>
          <w:rPr>
            <w:rFonts w:ascii="Cambria Math" w:hAnsi="Cambria Math"/>
          </w:rPr>
          <m:t>σ²p = Σᵢ Σⱼ wᵢ · wⱼ · Cov(Rᵢ, Rⱼ)</m:t>
        </m:r>
      </m:oMath>
      <w:r>
        <w:rPr>
          <w:i/>
          <w:iCs/>
        </w:rPr>
        <w:t xml:space="preserve">   (7)</w:t>
      </w:r>
    </w:p>
    <w:p w14:paraId="4DDCBF4D" w14:textId="3A640A66"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m:oMath>
        <m:r>
          <w:rPr>
            <w:rFonts w:ascii="Cambria Math" w:eastAsia="Times New Roman" w:hAnsi="Cambria Math" w:cs="Times New Roman"/>
            <w:sz w:val="28"/>
            <w:szCs w:val="28"/>
          </w:rPr>
          <m:t>Cov</m:t>
        </m:r>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Rᵢ</m:t>
        </m:r>
        <m:r>
          <w:rPr>
            <w:rFonts w:ascii="Cambria Math" w:eastAsia="Times New Roman" w:hAnsi="Cambria Math" w:cs="Times New Roman"/>
            <w:sz w:val="28"/>
            <w:szCs w:val="28"/>
            <w:lang w:val="ru-RU"/>
          </w:rPr>
          <m:t xml:space="preserve">, </m:t>
        </m:r>
        <m:r>
          <w:rPr>
            <w:rFonts w:ascii="Cambria Math" w:eastAsia="Times New Roman" w:hAnsi="Cambria Math" w:cs="Times New Roman"/>
            <w:sz w:val="28"/>
            <w:szCs w:val="28"/>
          </w:rPr>
          <m:t>Rⱼ</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ρᵢⱼ</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σᵢ</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σⱼ</m:t>
        </m:r>
      </m:oMath>
      <w:r>
        <w:rPr>
          <w:rFonts w:ascii="Times New Roman" w:eastAsia="Times New Roman" w:hAnsi="Times New Roman" w:cs="Times New Roman"/>
          <w:sz w:val="28"/>
          <w:szCs w:val="28"/>
          <w:lang w:val="ru-RU"/>
        </w:rPr>
        <w:t xml:space="preserve"> — ковариация доходностей активов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j</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 коэффициент корреляции между активами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j</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σᵢ</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σⱼ</w:t>
      </w:r>
      <w:r>
        <w:rPr>
          <w:rFonts w:ascii="Times New Roman" w:eastAsia="Times New Roman" w:hAnsi="Times New Roman" w:cs="Times New Roman"/>
          <w:sz w:val="28"/>
          <w:szCs w:val="28"/>
          <w:lang w:val="ru-RU"/>
        </w:rPr>
        <w:t xml:space="preserve"> — стандартные отклонения их доходностей. Стандартное отклонение портфеля </w:t>
      </w:r>
      <w:proofErr w:type="spellStart"/>
      <w:r>
        <w:rPr>
          <w:rFonts w:ascii="Times New Roman" w:eastAsia="Times New Roman" w:hAnsi="Times New Roman" w:cs="Times New Roman"/>
          <w:sz w:val="28"/>
          <w:szCs w:val="28"/>
        </w:rPr>
        <w:t>σp</w:t>
      </w:r>
      <w:proofErr w:type="spellEnd"/>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σ</w:t>
      </w:r>
      <w:r>
        <w:rPr>
          <w:rFonts w:ascii="Times New Roman" w:eastAsia="Times New Roman" w:hAnsi="Times New Roman" w:cs="Times New Roman"/>
          <w:sz w:val="28"/>
          <w:szCs w:val="28"/>
          <w:lang w:val="ru-RU"/>
        </w:rPr>
        <w:t>²</w:t>
      </w:r>
      <w:r>
        <w:rPr>
          <w:rFonts w:ascii="Times New Roman" w:eastAsia="Times New Roman" w:hAnsi="Times New Roman" w:cs="Times New Roman"/>
          <w:sz w:val="28"/>
          <w:szCs w:val="28"/>
        </w:rPr>
        <w:t>p</w:t>
      </w:r>
      <w:r>
        <w:rPr>
          <w:rFonts w:ascii="Times New Roman" w:eastAsia="Times New Roman" w:hAnsi="Times New Roman" w:cs="Times New Roman"/>
          <w:sz w:val="28"/>
          <w:szCs w:val="28"/>
          <w:lang w:val="ru-RU"/>
        </w:rPr>
        <w:t xml:space="preserve">. 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&lt; 1 объединение активов снижает совокупный риск ниже средневзвешенного риска отдельных позиций — в этом состоит </w:t>
      </w:r>
      <w:r>
        <w:rPr>
          <w:rFonts w:ascii="Times New Roman" w:eastAsia="Times New Roman" w:hAnsi="Times New Roman" w:cs="Times New Roman"/>
          <w:sz w:val="28"/>
          <w:szCs w:val="28"/>
          <w:lang w:val="ru-RU"/>
        </w:rPr>
        <w:lastRenderedPageBreak/>
        <w:t xml:space="preserve">математически доказанный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теории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[36; 37].</w:t>
      </w:r>
    </w:p>
    <w:p w14:paraId="28A3DC6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Матрица корреляций активов является центральным аналитическим инструментом при формировании диверсифицированного портфеля. Элемент матрицы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определяется как:</w:t>
      </w:r>
    </w:p>
    <w:p w14:paraId="314AC5FD" w14:textId="3DB04FC4" w:rsidR="004962FA" w:rsidRPr="004B6B88" w:rsidRDefault="00FD20BF" w:rsidP="004962FA">
      <w:pPr>
        <w:pStyle w:val="FormulaStyle"/>
        <w:ind w:firstLine="709"/>
        <w:jc w:val="both"/>
      </w:pPr>
      <m:oMath>
        <m:r>
          <w:rPr>
            <w:rFonts w:ascii="Cambria Math" w:hAnsi="Cambria Math"/>
          </w:rPr>
          <m:t>ρᵢⱼ = Cov(Rᵢ, Rⱼ) / (σᵢ · σⱼ)</m:t>
        </m:r>
      </m:oMath>
      <w:r>
        <w:rPr>
          <w:i/>
          <w:iCs/>
        </w:rPr>
        <w:t xml:space="preserve">   (8)</w:t>
      </w:r>
    </w:p>
    <w:p w14:paraId="1C9A56B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значение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принадлежит отрезку [−1; +1]. 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 −1 активы движутся строго в противофазе, что обеспечивает максимальный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 +1 активы полностью </w:t>
      </w:r>
      <w:proofErr w:type="spellStart"/>
      <w:r>
        <w:rPr>
          <w:rFonts w:ascii="Times New Roman" w:eastAsia="Times New Roman" w:hAnsi="Times New Roman" w:cs="Times New Roman"/>
          <w:sz w:val="28"/>
          <w:szCs w:val="28"/>
          <w:lang w:val="ru-RU"/>
        </w:rPr>
        <w:t>сонаправлены</w:t>
      </w:r>
      <w:proofErr w:type="spellEnd"/>
      <w:r>
        <w:rPr>
          <w:rFonts w:ascii="Times New Roman" w:eastAsia="Times New Roman" w:hAnsi="Times New Roman" w:cs="Times New Roman"/>
          <w:sz w:val="28"/>
          <w:szCs w:val="28"/>
          <w:lang w:val="ru-RU"/>
        </w:rPr>
        <w:t xml:space="preserve"> и диверсификация не снижает риск. Анализ матрицы корреляций позволяет выявить концентрации взаимозависимостей внутри портфеля: высокая попарная корреляция большинства позиций свидетельствует о недостаточной диверсификации и повышенной уязвимости к отраслевым шокам [25, с. 156]. Применительно к металлургическому портфелю оценка матрицы корреляций представляет особую значимость ввиду отраслевой концентрации активов.</w:t>
      </w:r>
    </w:p>
    <w:p w14:paraId="67FCD80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Модель оценки капитальных активов (</w:t>
      </w:r>
      <w:r>
        <w:rPr>
          <w:rFonts w:ascii="Times New Roman" w:eastAsia="Times New Roman" w:hAnsi="Times New Roman" w:cs="Times New Roman"/>
          <w:sz w:val="28"/>
          <w:szCs w:val="28"/>
        </w:rPr>
        <w:t>Capital</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Asset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Pricing</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Model</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разработанная У. Шарпом [38], позволяет определить равновесную требуемую доходность для любого актива с учётом его систематического риска:</w:t>
      </w:r>
    </w:p>
    <w:p w14:paraId="69F998C7" w14:textId="7B79E547" w:rsidR="004962FA" w:rsidRPr="004B6B88" w:rsidRDefault="00FD20BF" w:rsidP="004962FA">
      <w:pPr>
        <w:pStyle w:val="FormulaStyle"/>
        <w:ind w:firstLine="709"/>
        <w:jc w:val="both"/>
      </w:pPr>
      <m:oMath>
        <m:r>
          <w:rPr>
            <w:rFonts w:ascii="Cambria Math" w:hAnsi="Cambria Math"/>
          </w:rPr>
          <m:t>E(Rᵢ) = Rf + βᵢ · [E(Rm) - Rf]</m:t>
        </m:r>
      </m:oMath>
      <w:r>
        <w:rPr>
          <w:i/>
          <w:iCs/>
        </w:rPr>
        <w:t xml:space="preserve">   (9)</w:t>
      </w:r>
    </w:p>
    <w:p w14:paraId="276708A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 безрисковая ставка доходности; </w:t>
      </w:r>
      <w:r>
        <w:rPr>
          <w:rFonts w:ascii="Times New Roman" w:eastAsia="Times New Roman" w:hAnsi="Times New Roman" w:cs="Times New Roman"/>
          <w:sz w:val="28"/>
          <w:szCs w:val="28"/>
        </w:rPr>
        <w:t>E</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xml:space="preserve">) — ожидаемая доходность рыночного портфеля; </w:t>
      </w:r>
      <w:r>
        <w:rPr>
          <w:rFonts w:ascii="Times New Roman" w:eastAsia="Times New Roman" w:hAnsi="Times New Roman" w:cs="Times New Roman"/>
          <w:sz w:val="28"/>
          <w:szCs w:val="28"/>
        </w:rPr>
        <w:t>βᵢ</w:t>
      </w:r>
      <w:r>
        <w:rPr>
          <w:rFonts w:ascii="Times New Roman" w:eastAsia="Times New Roman" w:hAnsi="Times New Roman" w:cs="Times New Roman"/>
          <w:sz w:val="28"/>
          <w:szCs w:val="28"/>
          <w:lang w:val="ru-RU"/>
        </w:rPr>
        <w:t xml:space="preserve"> — бета-коэффициент актива, измеряющий его систематический риск. Бета-коэффициент для портфеля в целом рассчитывается как:</w:t>
      </w:r>
    </w:p>
    <w:p w14:paraId="36C29F0B" w14:textId="4D5374A8" w:rsidR="004962FA" w:rsidRPr="004B6B88" w:rsidRDefault="00FD20BF" w:rsidP="004962FA">
      <w:pPr>
        <w:pStyle w:val="FormulaStyle"/>
        <w:ind w:firstLine="709"/>
        <w:jc w:val="both"/>
      </w:pPr>
      <m:oMath>
        <m:r>
          <w:rPr>
            <w:rFonts w:ascii="Cambria Math" w:hAnsi="Cambria Math"/>
          </w:rPr>
          <m:t>β</m:t>
        </m:r>
        <m:r>
          <w:rPr>
            <w:rFonts w:ascii="Cambria Math" w:hAnsi="Cambria Math"/>
            <w:lang w:val="en-US"/>
          </w:rPr>
          <m:t>p</m:t>
        </m:r>
        <m:r>
          <w:rPr>
            <w:rFonts w:ascii="Cambria Math" w:hAnsi="Cambria Math"/>
          </w:rPr>
          <m:t xml:space="preserve"> = </m:t>
        </m:r>
        <m:r>
          <w:rPr>
            <w:rFonts w:ascii="Cambria Math" w:hAnsi="Cambria Math"/>
            <w:lang w:val="en-US"/>
          </w:rPr>
          <m:t>Cov</m:t>
        </m:r>
        <m:r>
          <w:rPr>
            <w:rFonts w:ascii="Cambria Math" w:hAnsi="Cambria Math"/>
          </w:rPr>
          <m:t>(</m:t>
        </m:r>
        <m:r>
          <w:rPr>
            <w:rFonts w:ascii="Cambria Math" w:hAnsi="Cambria Math"/>
            <w:lang w:val="en-US"/>
          </w:rPr>
          <m:t>Rp</m:t>
        </m:r>
        <m:r>
          <w:rPr>
            <w:rFonts w:ascii="Cambria Math" w:hAnsi="Cambria Math"/>
          </w:rPr>
          <m:t xml:space="preserve">, </m:t>
        </m:r>
        <m:r>
          <w:rPr>
            <w:rFonts w:ascii="Cambria Math" w:hAnsi="Cambria Math"/>
            <w:lang w:val="en-US"/>
          </w:rPr>
          <m:t>Rm</m:t>
        </m:r>
        <m:r>
          <w:rPr>
            <w:rFonts w:ascii="Cambria Math" w:hAnsi="Cambria Math"/>
          </w:rPr>
          <m:t xml:space="preserve">) / </m:t>
        </m:r>
        <m:r>
          <w:rPr>
            <w:rFonts w:ascii="Cambria Math" w:hAnsi="Cambria Math"/>
            <w:lang w:val="en-US"/>
          </w:rPr>
          <m:t>Var</m:t>
        </m:r>
        <m:r>
          <w:rPr>
            <w:rFonts w:ascii="Cambria Math" w:hAnsi="Cambria Math"/>
          </w:rPr>
          <m:t>(</m:t>
        </m:r>
        <m:r>
          <w:rPr>
            <w:rFonts w:ascii="Cambria Math" w:hAnsi="Cambria Math"/>
            <w:lang w:val="en-US"/>
          </w:rPr>
          <m:t>Rm</m:t>
        </m:r>
        <m:r>
          <w:rPr>
            <w:rFonts w:ascii="Cambria Math" w:hAnsi="Cambria Math"/>
          </w:rPr>
          <m:t>)</m:t>
        </m:r>
      </m:oMath>
      <w:r>
        <w:rPr>
          <w:i/>
          <w:iCs/>
        </w:rPr>
        <w:t xml:space="preserve">   (10)</w:t>
      </w:r>
    </w:p>
    <w:p w14:paraId="635C365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где </w:t>
      </w:r>
      <w:proofErr w:type="gramStart"/>
      <w:r>
        <w:rPr>
          <w:rFonts w:ascii="Times New Roman" w:eastAsia="Times New Roman" w:hAnsi="Times New Roman" w:cs="Times New Roman"/>
          <w:sz w:val="28"/>
          <w:szCs w:val="28"/>
        </w:rPr>
        <w:t>Cov</w:t>
      </w:r>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rPr>
        <w:t>Rp</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xml:space="preserve">) — ковариация доходности портфеля с доходностью рыночного бенчмарка; </w:t>
      </w:r>
      <w:proofErr w:type="gramStart"/>
      <w:r>
        <w:rPr>
          <w:rFonts w:ascii="Times New Roman" w:eastAsia="Times New Roman" w:hAnsi="Times New Roman" w:cs="Times New Roman"/>
          <w:sz w:val="28"/>
          <w:szCs w:val="28"/>
        </w:rPr>
        <w:t>Var</w:t>
      </w:r>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xml:space="preserve">) — дисперсия доходности бенчмарка. Значения </w:t>
      </w:r>
      <w:r>
        <w:rPr>
          <w:rFonts w:ascii="Times New Roman" w:eastAsia="Times New Roman" w:hAnsi="Times New Roman" w:cs="Times New Roman"/>
          <w:sz w:val="28"/>
          <w:szCs w:val="28"/>
        </w:rPr>
        <w:t>β</w:t>
      </w:r>
      <w:proofErr w:type="gramStart"/>
      <w:r>
        <w:rPr>
          <w:rFonts w:ascii="Times New Roman" w:eastAsia="Times New Roman" w:hAnsi="Times New Roman" w:cs="Times New Roman"/>
          <w:sz w:val="28"/>
          <w:szCs w:val="28"/>
        </w:rPr>
        <w:t>p</w:t>
      </w:r>
      <w:r>
        <w:rPr>
          <w:rFonts w:ascii="Times New Roman" w:eastAsia="Times New Roman" w:hAnsi="Times New Roman" w:cs="Times New Roman"/>
          <w:sz w:val="28"/>
          <w:szCs w:val="28"/>
          <w:lang w:val="ru-RU"/>
        </w:rPr>
        <w:t xml:space="preserve"> &gt;</w:t>
      </w:r>
      <w:proofErr w:type="gramEnd"/>
      <w:r>
        <w:rPr>
          <w:rFonts w:ascii="Times New Roman" w:eastAsia="Times New Roman" w:hAnsi="Times New Roman" w:cs="Times New Roman"/>
          <w:sz w:val="28"/>
          <w:szCs w:val="28"/>
          <w:lang w:val="ru-RU"/>
        </w:rPr>
        <w:t xml:space="preserve"> 1 соответствуют портфелю с более высокой чувствительностью к рыночным движениям, </w:t>
      </w:r>
      <w:r>
        <w:rPr>
          <w:rFonts w:ascii="Times New Roman" w:eastAsia="Times New Roman" w:hAnsi="Times New Roman" w:cs="Times New Roman"/>
          <w:sz w:val="28"/>
          <w:szCs w:val="28"/>
        </w:rPr>
        <w:t>βp</w:t>
      </w:r>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 xml:space="preserve"> — более консервативному профилю.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xml:space="preserve"> принципиально разделяет совокупный риск на систематический (неустранимый диверсификацией) и несистематический (специфический, устранимый диверсификацией), утверждая, что рынок компенсирует инвестора лишь за принятие первого [35].</w:t>
      </w:r>
    </w:p>
    <w:p w14:paraId="639CD30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Показатель </w:t>
      </w:r>
      <w:r>
        <w:rPr>
          <w:rFonts w:ascii="Times New Roman" w:eastAsia="Times New Roman" w:hAnsi="Times New Roman" w:cs="Times New Roman"/>
          <w:sz w:val="28"/>
          <w:szCs w:val="28"/>
        </w:rPr>
        <w:t>Value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представляет собой максимальный ожидаемый убыток портфеля за определённый временной горизонт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при заданном уровне доверительной вероятности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В параметрическом методе (при допущении нормального распределения доходностей)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рассчитывается по формуле:</w:t>
      </w:r>
    </w:p>
    <w:p w14:paraId="1257F129" w14:textId="09FBA726" w:rsidR="004962FA" w:rsidRPr="004B6B88" w:rsidRDefault="00FD20BF" w:rsidP="004962FA">
      <w:pPr>
        <w:pStyle w:val="FormulaStyle"/>
        <w:ind w:firstLine="709"/>
        <w:jc w:val="both"/>
      </w:pPr>
      <m:oMath>
        <m:r>
          <w:rPr>
            <w:rFonts w:ascii="Cambria Math" w:hAnsi="Cambria Math"/>
          </w:rPr>
          <m:t>VaR(α, T) = -(μp · T - zα · σp · √T) · V</m:t>
        </m:r>
      </m:oMath>
      <w:r>
        <w:rPr>
          <w:i/>
          <w:iCs/>
        </w:rPr>
        <w:t xml:space="preserve">   (11)</w:t>
      </w:r>
    </w:p>
    <w:p w14:paraId="52CB67E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μp</w:t>
      </w:r>
      <w:proofErr w:type="spellEnd"/>
      <w:r>
        <w:rPr>
          <w:rFonts w:ascii="Times New Roman" w:eastAsia="Times New Roman" w:hAnsi="Times New Roman" w:cs="Times New Roman"/>
          <w:sz w:val="28"/>
          <w:szCs w:val="28"/>
          <w:lang w:val="ru-RU"/>
        </w:rPr>
        <w:t xml:space="preserve"> — ожидаемая дневная доходность портфеля; </w:t>
      </w:r>
      <w:proofErr w:type="spellStart"/>
      <w:r>
        <w:rPr>
          <w:rFonts w:ascii="Times New Roman" w:eastAsia="Times New Roman" w:hAnsi="Times New Roman" w:cs="Times New Roman"/>
          <w:sz w:val="28"/>
          <w:szCs w:val="28"/>
        </w:rPr>
        <w:t>σp</w:t>
      </w:r>
      <w:proofErr w:type="spellEnd"/>
      <w:r>
        <w:rPr>
          <w:rFonts w:ascii="Times New Roman" w:eastAsia="Times New Roman" w:hAnsi="Times New Roman" w:cs="Times New Roman"/>
          <w:sz w:val="28"/>
          <w:szCs w:val="28"/>
          <w:lang w:val="ru-RU"/>
        </w:rPr>
        <w:t xml:space="preserve"> — стандартное отклонение дневной доходности портфеля;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 временной горизонт в торговых днях; </w:t>
      </w: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квантиль стандартного нормального распределения для уровня доверия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при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 5% </w:t>
      </w: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1,645, при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 1% </w:t>
      </w: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2,326; </w:t>
      </w:r>
      <w:r>
        <w:rPr>
          <w:rFonts w:ascii="Times New Roman" w:eastAsia="Times New Roman" w:hAnsi="Times New Roman" w:cs="Times New Roman"/>
          <w:sz w:val="28"/>
          <w:szCs w:val="28"/>
        </w:rPr>
        <w:t>V</w:t>
      </w:r>
      <w:r>
        <w:rPr>
          <w:rFonts w:ascii="Times New Roman" w:eastAsia="Times New Roman" w:hAnsi="Times New Roman" w:cs="Times New Roman"/>
          <w:sz w:val="28"/>
          <w:szCs w:val="28"/>
          <w:lang w:val="ru-RU"/>
        </w:rPr>
        <w:t xml:space="preserve"> — текущая рыночная стоимость портфеля. Экономический смысл показателя состоит в следующем: с вероятностью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потери портфеля за период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не превысят значения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Данный показатель широко используется в риск-менеджменте и обязателен к расчёту при комплексной оценке качества портфеля [25, с. 880].</w:t>
      </w:r>
    </w:p>
    <w:p w14:paraId="605E7AC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Группа риск-скорректированных показателей позволяет сопоставить полученную доходность с принятым уровнем риска и тем самым оценить </w:t>
      </w:r>
      <w:r>
        <w:rPr>
          <w:rFonts w:ascii="Times New Roman" w:eastAsia="Times New Roman" w:hAnsi="Times New Roman" w:cs="Times New Roman"/>
          <w:sz w:val="28"/>
          <w:szCs w:val="28"/>
          <w:lang w:val="ru-RU"/>
        </w:rPr>
        <w:lastRenderedPageBreak/>
        <w:t>качество управленческих решений. Коэффициент Шарпа (</w:t>
      </w:r>
      <w:r>
        <w:rPr>
          <w:rFonts w:ascii="Times New Roman" w:eastAsia="Times New Roman" w:hAnsi="Times New Roman" w:cs="Times New Roman"/>
          <w:sz w:val="28"/>
          <w:szCs w:val="28"/>
        </w:rPr>
        <w:t>Sharpe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измеряет избыточную доходность портфеля на единицу совокупного риска:</w:t>
      </w:r>
    </w:p>
    <w:p w14:paraId="239957C0" w14:textId="4F98B64A" w:rsidR="004962FA" w:rsidRPr="004B6B88" w:rsidRDefault="00FD20BF" w:rsidP="004962FA">
      <w:pPr>
        <w:pStyle w:val="FormulaStyle"/>
        <w:ind w:firstLine="709"/>
        <w:jc w:val="both"/>
      </w:pPr>
      <m:oMath>
        <m:r>
          <w:rPr>
            <w:rFonts w:ascii="Cambria Math" w:hAnsi="Cambria Math"/>
          </w:rPr>
          <m:t>Sharpe = (Rp - Rf) / σp</m:t>
        </m:r>
      </m:oMath>
      <w:r>
        <w:rPr>
          <w:i/>
          <w:iCs/>
        </w:rPr>
        <w:t xml:space="preserve">   (12)</w:t>
      </w:r>
    </w:p>
    <w:p w14:paraId="4CC8155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Rp</w:t>
      </w:r>
      <w:r>
        <w:rPr>
          <w:rFonts w:ascii="Times New Roman" w:eastAsia="Times New Roman" w:hAnsi="Times New Roman" w:cs="Times New Roman"/>
          <w:sz w:val="28"/>
          <w:szCs w:val="28"/>
          <w:lang w:val="ru-RU"/>
        </w:rPr>
        <w:t xml:space="preserve"> — средняя доходность портфеля за рассматриваемый период; </w:t>
      </w: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 доходность безрискового актива; </w:t>
      </w:r>
      <w:proofErr w:type="spellStart"/>
      <w:r>
        <w:rPr>
          <w:rFonts w:ascii="Times New Roman" w:eastAsia="Times New Roman" w:hAnsi="Times New Roman" w:cs="Times New Roman"/>
          <w:sz w:val="28"/>
          <w:szCs w:val="28"/>
        </w:rPr>
        <w:t>σp</w:t>
      </w:r>
      <w:proofErr w:type="spellEnd"/>
      <w:r>
        <w:rPr>
          <w:rFonts w:ascii="Times New Roman" w:eastAsia="Times New Roman" w:hAnsi="Times New Roman" w:cs="Times New Roman"/>
          <w:sz w:val="28"/>
          <w:szCs w:val="28"/>
          <w:lang w:val="ru-RU"/>
        </w:rPr>
        <w:t xml:space="preserve"> — стандартное отклонение доходностей портфеля. Значение </w:t>
      </w:r>
      <w:proofErr w:type="gramStart"/>
      <w:r>
        <w:rPr>
          <w:rFonts w:ascii="Times New Roman" w:eastAsia="Times New Roman" w:hAnsi="Times New Roman" w:cs="Times New Roman"/>
          <w:sz w:val="28"/>
          <w:szCs w:val="28"/>
        </w:rPr>
        <w:t>Sharpe</w:t>
      </w:r>
      <w:r>
        <w:rPr>
          <w:rFonts w:ascii="Times New Roman" w:eastAsia="Times New Roman" w:hAnsi="Times New Roman" w:cs="Times New Roman"/>
          <w:sz w:val="28"/>
          <w:szCs w:val="28"/>
          <w:lang w:val="ru-RU"/>
        </w:rPr>
        <w:t xml:space="preserve"> &gt;</w:t>
      </w:r>
      <w:proofErr w:type="gramEnd"/>
      <w:r>
        <w:rPr>
          <w:rFonts w:ascii="Times New Roman" w:eastAsia="Times New Roman" w:hAnsi="Times New Roman" w:cs="Times New Roman"/>
          <w:sz w:val="28"/>
          <w:szCs w:val="28"/>
          <w:lang w:val="ru-RU"/>
        </w:rPr>
        <w:t xml:space="preserve"> 1 в типовой трактовке свидетельствует о сравнительно высокой эффективности управления при выбранных допущениях; отрицательное значение означает, что портфель уступает безрисковому активу [38].</w:t>
      </w:r>
    </w:p>
    <w:p w14:paraId="32E7E4CE"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Sortino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уточняет оценку риска, фокусируясь исключительно на отрицательных отклонениях доходности (</w:t>
      </w:r>
      <w:r>
        <w:rPr>
          <w:rFonts w:ascii="Times New Roman" w:eastAsia="Times New Roman" w:hAnsi="Times New Roman" w:cs="Times New Roman"/>
          <w:sz w:val="28"/>
          <w:szCs w:val="28"/>
        </w:rPr>
        <w:t>downside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и тем самым не «наказывая» за положительную волатильность:</w:t>
      </w:r>
    </w:p>
    <w:p w14:paraId="054174C7" w14:textId="71FF06BB" w:rsidR="004962FA" w:rsidRPr="004B6B88" w:rsidRDefault="00FD20BF" w:rsidP="004962FA">
      <w:pPr>
        <w:pStyle w:val="FormulaStyle"/>
        <w:ind w:firstLine="709"/>
        <w:jc w:val="both"/>
      </w:pPr>
      <m:oMath>
        <m:r>
          <w:rPr>
            <w:rFonts w:ascii="Cambria Math" w:hAnsi="Cambria Math"/>
          </w:rPr>
          <m:t>Sortino = (Rp - Rf) / σd</m:t>
        </m:r>
      </m:oMath>
      <w:r>
        <w:rPr>
          <w:i/>
          <w:iCs/>
        </w:rPr>
        <w:t xml:space="preserve">   (13)</w:t>
      </w:r>
    </w:p>
    <w:p w14:paraId="3B29A3C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σd</w:t>
      </w:r>
      <w:proofErr w:type="spellEnd"/>
      <w:r>
        <w:rPr>
          <w:rFonts w:ascii="Times New Roman" w:eastAsia="Times New Roman" w:hAnsi="Times New Roman" w:cs="Times New Roman"/>
          <w:sz w:val="28"/>
          <w:szCs w:val="28"/>
          <w:lang w:val="ru-RU"/>
        </w:rPr>
        <w:t xml:space="preserve"> — </w:t>
      </w:r>
      <w:proofErr w:type="spellStart"/>
      <w:r>
        <w:rPr>
          <w:rFonts w:ascii="Times New Roman" w:eastAsia="Times New Roman" w:hAnsi="Times New Roman" w:cs="Times New Roman"/>
          <w:sz w:val="28"/>
          <w:szCs w:val="28"/>
          <w:lang w:val="ru-RU"/>
        </w:rPr>
        <w:t>полустандартное</w:t>
      </w:r>
      <w:proofErr w:type="spellEnd"/>
      <w:r>
        <w:rPr>
          <w:rFonts w:ascii="Times New Roman" w:eastAsia="Times New Roman" w:hAnsi="Times New Roman" w:cs="Times New Roman"/>
          <w:sz w:val="28"/>
          <w:szCs w:val="28"/>
          <w:lang w:val="ru-RU"/>
        </w:rPr>
        <w:t xml:space="preserve"> отклонение, рассчитываемое только по наблюдениям, при которых доходность портфеля оказалась ниже целевого уровня (как правило, </w:t>
      </w: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или нуля). Данный коэффициент более чувствителен к риску потерь капитала по сравнению с коэффициентом Шарпа [40].</w:t>
      </w:r>
    </w:p>
    <w:p w14:paraId="477CC69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Коэффициент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Treynor</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соотносит избыточную доходность портфеля с величиной его систематического риска, выраженного через бета-коэффициент:</w:t>
      </w:r>
    </w:p>
    <w:p w14:paraId="18DB324D" w14:textId="7D35F428" w:rsidR="004962FA" w:rsidRPr="004B6B88" w:rsidRDefault="00FD20BF" w:rsidP="004962FA">
      <w:pPr>
        <w:pStyle w:val="FormulaStyle"/>
        <w:ind w:firstLine="709"/>
        <w:jc w:val="both"/>
      </w:pPr>
      <m:oMath>
        <m:r>
          <w:rPr>
            <w:rFonts w:ascii="Cambria Math" w:hAnsi="Cambria Math"/>
          </w:rPr>
          <m:t>Treynor = (Rp - Rf) / βp</m:t>
        </m:r>
      </m:oMath>
      <w:r>
        <w:rPr>
          <w:i/>
          <w:iCs/>
        </w:rPr>
        <w:t xml:space="preserve">   (14)</w:t>
      </w:r>
    </w:p>
    <w:p w14:paraId="2C25643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βp</w:t>
      </w:r>
      <w:r>
        <w:rPr>
          <w:rFonts w:ascii="Times New Roman" w:eastAsia="Times New Roman" w:hAnsi="Times New Roman" w:cs="Times New Roman"/>
          <w:sz w:val="28"/>
          <w:szCs w:val="28"/>
          <w:lang w:val="ru-RU"/>
        </w:rPr>
        <w:t xml:space="preserve"> — бета-коэффициент портфеля, определённый по формуле (10). Показатель уместен в тех случаях, когда несистематический риск в значительной степени диверсифицирован и аналитически значимым остаётся лишь систематический риск [41].</w:t>
      </w:r>
    </w:p>
    <w:p w14:paraId="3182DE0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Альфа Дженсена (</w:t>
      </w:r>
      <w:r>
        <w:rPr>
          <w:rFonts w:ascii="Times New Roman" w:eastAsia="Times New Roman" w:hAnsi="Times New Roman" w:cs="Times New Roman"/>
          <w:sz w:val="28"/>
          <w:szCs w:val="28"/>
        </w:rPr>
        <w:t>Jensen</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s</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alpha</w:t>
      </w:r>
      <w:r>
        <w:rPr>
          <w:rFonts w:ascii="Times New Roman" w:eastAsia="Times New Roman" w:hAnsi="Times New Roman" w:cs="Times New Roman"/>
          <w:sz w:val="28"/>
          <w:szCs w:val="28"/>
          <w:lang w:val="ru-RU"/>
        </w:rPr>
        <w:t xml:space="preserve">) оценивает абсолютную величину сверхдоходности портфеля относительно теоретической доходности, предсказанной моделью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w:t>
      </w:r>
    </w:p>
    <w:p w14:paraId="048BE3DF" w14:textId="250052E7" w:rsidR="004962FA" w:rsidRPr="004B6B88" w:rsidRDefault="00FD20BF" w:rsidP="004962FA">
      <w:pPr>
        <w:pStyle w:val="FormulaStyle"/>
        <w:ind w:firstLine="709"/>
        <w:jc w:val="both"/>
      </w:pPr>
      <m:oMath>
        <m:r>
          <w:rPr>
            <w:rFonts w:ascii="Cambria Math" w:hAnsi="Cambria Math"/>
          </w:rPr>
          <m:t xml:space="preserve">α = </m:t>
        </m:r>
        <m:r>
          <w:rPr>
            <w:rFonts w:ascii="Cambria Math" w:hAnsi="Cambria Math"/>
            <w:lang w:val="en-CA"/>
          </w:rPr>
          <m:t>Rp</m:t>
        </m:r>
        <m:r>
          <w:rPr>
            <w:rFonts w:ascii="Cambria Math" w:hAnsi="Cambria Math"/>
          </w:rPr>
          <m:t xml:space="preserve"> - [</m:t>
        </m:r>
        <m:r>
          <w:rPr>
            <w:rFonts w:ascii="Cambria Math" w:hAnsi="Cambria Math"/>
            <w:lang w:val="en-CA"/>
          </w:rPr>
          <m:t>Rf</m:t>
        </m:r>
        <m:r>
          <w:rPr>
            <w:rFonts w:ascii="Cambria Math" w:hAnsi="Cambria Math"/>
          </w:rPr>
          <m:t xml:space="preserve"> + β</m:t>
        </m:r>
        <m:r>
          <w:rPr>
            <w:rFonts w:ascii="Cambria Math" w:hAnsi="Cambria Math"/>
            <w:lang w:val="en-CA"/>
          </w:rPr>
          <m:t>p</m:t>
        </m:r>
        <m:r>
          <w:rPr>
            <w:rFonts w:ascii="Cambria Math" w:hAnsi="Cambria Math"/>
          </w:rPr>
          <m:t xml:space="preserve"> · (</m:t>
        </m:r>
        <m:r>
          <w:rPr>
            <w:rFonts w:ascii="Cambria Math" w:hAnsi="Cambria Math"/>
            <w:lang w:val="en-CA"/>
          </w:rPr>
          <m:t>Rm</m:t>
        </m:r>
        <m:r>
          <w:rPr>
            <w:rFonts w:ascii="Cambria Math" w:hAnsi="Cambria Math"/>
          </w:rPr>
          <m:t xml:space="preserve"> - </m:t>
        </m:r>
        <m:r>
          <w:rPr>
            <w:rFonts w:ascii="Cambria Math" w:hAnsi="Cambria Math"/>
            <w:lang w:val="en-CA"/>
          </w:rPr>
          <m:t>Rf</m:t>
        </m:r>
        <m:r>
          <w:rPr>
            <w:rFonts w:ascii="Cambria Math" w:hAnsi="Cambria Math"/>
          </w:rPr>
          <m:t>)]</m:t>
        </m:r>
      </m:oMath>
      <w:r>
        <w:rPr>
          <w:i/>
          <w:iCs/>
        </w:rPr>
        <w:t xml:space="preserve">   (15)</w:t>
      </w:r>
    </w:p>
    <w:p w14:paraId="05B1A02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xml:space="preserve"> — фактическая среднерыночная доходность за рассматриваемый период. Положительное значение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свидетельствует о том, что портфель генерировал доходность сверх рыночных ожиданий при данном уровне систематического риска; отрицательная альфа указывает на отставание от рыночного бенчмарка [42].</w:t>
      </w:r>
    </w:p>
    <w:p w14:paraId="0A58DBB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качестве дополнительной меры риска применяется показатель максимальной просадки (</w:t>
      </w:r>
      <w:r>
        <w:rPr>
          <w:rFonts w:ascii="Times New Roman" w:eastAsia="Times New Roman" w:hAnsi="Times New Roman" w:cs="Times New Roman"/>
          <w:sz w:val="28"/>
          <w:szCs w:val="28"/>
        </w:rPr>
        <w:t>Maximum</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Drawdown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MDD</w:t>
      </w:r>
      <w:r>
        <w:rPr>
          <w:rFonts w:ascii="Times New Roman" w:eastAsia="Times New Roman" w:hAnsi="Times New Roman" w:cs="Times New Roman"/>
          <w:sz w:val="28"/>
          <w:szCs w:val="28"/>
          <w:lang w:val="ru-RU"/>
        </w:rPr>
        <w:t>) — наибольшее относительное снижение стоимости портфеля от исторического пика до последующего минимума:</w:t>
      </w:r>
    </w:p>
    <w:p w14:paraId="0DF1F17F" w14:textId="3A807F4B" w:rsidR="004962FA" w:rsidRPr="004B6B88" w:rsidRDefault="00FD20BF" w:rsidP="004962FA">
      <w:pPr>
        <w:pStyle w:val="FormulaStyle"/>
        <w:ind w:firstLine="709"/>
        <w:jc w:val="both"/>
      </w:pPr>
      <m:oMath>
        <m:r>
          <w:rPr>
            <w:rFonts w:ascii="Cambria Math" w:hAnsi="Cambria Math"/>
          </w:rPr>
          <m:t>MDD = (Vpeak - Vtrough) / Vpeak</m:t>
        </m:r>
      </m:oMath>
      <w:r>
        <w:rPr>
          <w:i/>
          <w:iCs/>
        </w:rPr>
        <w:t xml:space="preserve">   (16)</w:t>
      </w:r>
    </w:p>
    <w:p w14:paraId="15CA4BD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Vpeak</w:t>
      </w:r>
      <w:proofErr w:type="spellEnd"/>
      <w:r>
        <w:rPr>
          <w:rFonts w:ascii="Times New Roman" w:eastAsia="Times New Roman" w:hAnsi="Times New Roman" w:cs="Times New Roman"/>
          <w:sz w:val="28"/>
          <w:szCs w:val="28"/>
          <w:lang w:val="ru-RU"/>
        </w:rPr>
        <w:t xml:space="preserve"> — максимальная стоимость портфеля за наблюдаемый период; </w:t>
      </w:r>
      <w:proofErr w:type="spellStart"/>
      <w:r>
        <w:rPr>
          <w:rFonts w:ascii="Times New Roman" w:eastAsia="Times New Roman" w:hAnsi="Times New Roman" w:cs="Times New Roman"/>
          <w:sz w:val="28"/>
          <w:szCs w:val="28"/>
        </w:rPr>
        <w:t>Vtrough</w:t>
      </w:r>
      <w:proofErr w:type="spellEnd"/>
      <w:r>
        <w:rPr>
          <w:rFonts w:ascii="Times New Roman" w:eastAsia="Times New Roman" w:hAnsi="Times New Roman" w:cs="Times New Roman"/>
          <w:sz w:val="28"/>
          <w:szCs w:val="28"/>
          <w:lang w:val="ru-RU"/>
        </w:rPr>
        <w:t xml:space="preserve"> — минимальная стоимость, зафиксированная после данного пика. Показатель </w:t>
      </w:r>
      <w:r>
        <w:rPr>
          <w:rFonts w:ascii="Times New Roman" w:eastAsia="Times New Roman" w:hAnsi="Times New Roman" w:cs="Times New Roman"/>
          <w:sz w:val="28"/>
          <w:szCs w:val="28"/>
        </w:rPr>
        <w:t>MDD</w:t>
      </w:r>
      <w:r>
        <w:rPr>
          <w:rFonts w:ascii="Times New Roman" w:eastAsia="Times New Roman" w:hAnsi="Times New Roman" w:cs="Times New Roman"/>
          <w:sz w:val="28"/>
          <w:szCs w:val="28"/>
          <w:lang w:val="ru-RU"/>
        </w:rPr>
        <w:t xml:space="preserve"> характеризует наихудший сценарий потерь для инвестора, вошедшего в позицию на пике стоимости.</w:t>
      </w:r>
    </w:p>
    <w:p w14:paraId="0CCC1B26" w14:textId="77777777" w:rsidR="004962FA" w:rsidRPr="004B6B88" w:rsidRDefault="004962F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Совокупность перечисленных методик образует взаимодополняющий инструментарий оценки качества портфеля: показатели ликвидности и рентабельности эмитентов характеризуют фундаментальную устойчивость базовых активов;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-счёт Альтмана позволяет диагностировать риск финансовой несостоятельности; матрица корреляций и портфельные параметры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 описывают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потенциал;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xml:space="preserve"> и коэффициенты Шарпа,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альфа Дженсена, а также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lang w:val="ru-RU"/>
        </w:rPr>
        <w:lastRenderedPageBreak/>
        <w:t>оценивают качество управленческих решений по принятию риска в сравнении с рыночными ориентирами [25, с. 880].</w:t>
      </w:r>
    </w:p>
    <w:p w14:paraId="7B844710" w14:textId="77777777" w:rsidR="004962FA" w:rsidRPr="004B6B88" w:rsidRDefault="004962FA" w:rsidP="004B6B88">
      <w:pPr>
        <w:spacing w:line="360" w:lineRule="auto"/>
        <w:ind w:firstLine="709"/>
        <w:jc w:val="both"/>
        <w:rPr>
          <w:rFonts w:ascii="Times New Roman" w:hAnsi="Times New Roman" w:cs="Times New Roman"/>
          <w:lang w:val="ru-RU"/>
        </w:rPr>
      </w:pPr>
    </w:p>
    <w:p w14:paraId="0D3A4272" w14:textId="3693DC3F" w:rsidR="004962FA" w:rsidRPr="004B6B88" w:rsidRDefault="00823BB7" w:rsidP="004B6B88">
      <w:pPr>
        <w:pStyle w:val="2"/>
        <w:spacing w:line="360" w:lineRule="auto"/>
        <w:rPr>
          <w:rFonts w:cs="Times New Roman"/>
          <w:lang w:val="ru-RU"/>
        </w:rPr>
      </w:pPr>
      <w:bookmarkStart w:id="4" w:name="_Toc233526121"/>
      <w:r>
        <w:rPr>
          <w:rFonts w:cs="Times New Roman"/>
          <w:lang w:val="ru-RU"/>
        </w:rPr>
        <w:t>1.3 ПИФ как рыночный механизм коллективного инвестирования</w:t>
      </w:r>
      <w:bookmarkEnd w:id="4"/>
    </w:p>
    <w:p w14:paraId="0F473CCC" w14:textId="77777777" w:rsidR="004962FA" w:rsidRPr="004B6B88" w:rsidRDefault="004962FA" w:rsidP="004B6B88">
      <w:pPr>
        <w:spacing w:line="360" w:lineRule="auto"/>
        <w:ind w:left="709"/>
        <w:rPr>
          <w:rFonts w:ascii="Times New Roman" w:hAnsi="Times New Roman" w:cs="Times New Roman"/>
          <w:lang w:val="ru-RU"/>
        </w:rPr>
      </w:pPr>
    </w:p>
    <w:p w14:paraId="0F13C764"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Паевой инвестиционный фонд (ПИФ) представляет собой рыночный механизм коллективного инвестирования, посредством которого средства множества частных и корпоративных инвесторов объединяются в единый имущественный пул под профессиональным управлением специализированной управляющей компании, действующей на основании лицензии Банка России [4]. Правовую основу функционирования ПИФов в Российской Федерации составляет Федеральный закон «Об инвестиционных фондах» от 29.11.2001 № 156-ФЗ, устанавливающий порядок создания, управления и контроля за деятельностью фондов, а также требования к раскрытию информации и защите прав пайщиков [4].</w:t>
      </w:r>
    </w:p>
    <w:p w14:paraId="04D4EEB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Экономическая сущность ПИФа состоит в том, что каждый инвестор, приобретая инвестиционный пай, становится совладельцем диверсифицированного портфеля активов, который был бы недоступен ему при самостоятельном инвестировании ввиду высокого порога входа на финансовые рынки и необходимости специальных профессиональных компетенций. Таким образом, ПИФ как институт коллективного инвестирования обеспечивает экономию на масштабе при формировании портфеля, профессиональное управление активами и доступ к инструментам, требующим значительного начального капитала.</w:t>
      </w:r>
    </w:p>
    <w:p w14:paraId="77D7B75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 составу и структуре активов российское законодательство выделяет несколько типов ПИФов. Открытые фонды (ОПИФ) обеспечивают инвестору </w:t>
      </w:r>
      <w:r>
        <w:rPr>
          <w:rFonts w:ascii="Times New Roman" w:eastAsia="Times New Roman" w:hAnsi="Times New Roman" w:cs="Times New Roman"/>
          <w:sz w:val="28"/>
          <w:szCs w:val="28"/>
          <w:lang w:val="ru-RU"/>
        </w:rPr>
        <w:lastRenderedPageBreak/>
        <w:t xml:space="preserve">возможность погашения паёв в любой рабочий день. Интервальные фонды (ИПИФ) допускают операции с паями лишь в установленные правилами доверительного управления </w:t>
      </w:r>
      <w:proofErr w:type="spellStart"/>
      <w:r>
        <w:rPr>
          <w:rFonts w:ascii="Times New Roman" w:eastAsia="Times New Roman" w:hAnsi="Times New Roman" w:cs="Times New Roman"/>
          <w:sz w:val="28"/>
          <w:szCs w:val="28"/>
          <w:lang w:val="ru-RU"/>
        </w:rPr>
        <w:t>временны́е</w:t>
      </w:r>
      <w:proofErr w:type="spellEnd"/>
      <w:r>
        <w:rPr>
          <w:rFonts w:ascii="Times New Roman" w:eastAsia="Times New Roman" w:hAnsi="Times New Roman" w:cs="Times New Roman"/>
          <w:sz w:val="28"/>
          <w:szCs w:val="28"/>
          <w:lang w:val="ru-RU"/>
        </w:rPr>
        <w:t xml:space="preserve"> интервалы. Закрытые фонды (ЗПИФ) формируются на фиксированный срок и как правило не предусматривают возможности досрочного погашения паёв. По объекту инвестирования фонды подразделяются на фонды рыночных финансовых инструментов (акций, облигаций, смешанных инвестиций), фонды недвижимости, комбинированные фонды и ряд иных категорий.</w:t>
      </w:r>
    </w:p>
    <w:p w14:paraId="29A0F63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ОПИФ рыночных финансовых инструментов «ВИМ-Металлургия» (далее — Фонд) находится под управлением АО «ВИМ Инвестиции» и относится к категории отраслевых фондов акций, ориентированных на металлургический сегмент российского фондового рынка. Фонд инвестирует преимущественно в акции компаний чёрной и цветной металлургии, а также горнодобывающего сектора, котирующихся на Московской бирже. Статус открытого фонда обеспечивает пайщикам ежедневную возможность погашения паёв по текущей стоимости чистых активов.</w:t>
      </w:r>
    </w:p>
    <w:p w14:paraId="1F12A0F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Ключевым преимуществом инвестирования через ПИФ является институциональная диверсификация: управляющая компания формирует портфель из множества позиций, снижая несистематический риск, недостижимый при единоличном формировании портфеля ограниченного объёма. Вместе с тем отраслевая специализация фонда порождает концентрационный риск: в условиях неблагоприятной конъюнктуры металлургического рынка или системных секторальных шоков большинство позиций фонда испытывают одновременное давление, что ограничивает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w:t>
      </w:r>
    </w:p>
    <w:p w14:paraId="28B6807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Регуляторный режим ПИФов предусматривает ряд механизмов защиты пайщиков. Активы фонда обособлены от имущества управляющей компании </w:t>
      </w:r>
      <w:r>
        <w:rPr>
          <w:rFonts w:ascii="Times New Roman" w:eastAsia="Times New Roman" w:hAnsi="Times New Roman" w:cs="Times New Roman"/>
          <w:sz w:val="28"/>
          <w:szCs w:val="28"/>
          <w:lang w:val="ru-RU"/>
        </w:rPr>
        <w:lastRenderedPageBreak/>
        <w:t>и учитываются специализированным депозитарием, осуществляющим независимый контроль. Оценка стоимости чистых активов (СЧА) и расчёт стоимости одного пая производятся ежедневно по рыночным ценам. Деятельность управляющей компании регулируется Банком России, что обеспечивает надзорную защиту интересов инвесторов.</w:t>
      </w:r>
    </w:p>
    <w:p w14:paraId="7C6B59C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Качество управления ПИФом проявляется в выборе общей стратегии (активной либо пассивной), глубине диверсификации, формализованных принципах отбора активов, а также в регулярности и дисциплине ребалансировки [20, с. 78]. Ребалансировка выступает инструментом поддержания целевого соотношения риска и ожидаемой доходности в условиях изменяющейся рыночной среды; она снижает вероятность накопления нежелательной концентрации и позволяет корректировать портфель в ответ на смещение весов отдельных позиций. В отраслевом фонде данная функция приобретает особую значимость: управляющий вынужден принимать решения в условиях не только общерыночной, но и специфической отраслевой неопределённости.</w:t>
      </w:r>
    </w:p>
    <w:p w14:paraId="3D600D7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Вывод по первой главе. Проведённое теоретическое исследование позволяет сформулировать следующие ключевые положения, составляющие методологическую основу последующего анализа.</w:t>
      </w:r>
    </w:p>
    <w:p w14:paraId="28F291B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Во-первых, качество инвестиционного портфеля определяется не только ретроспективными рыночными показателями, но и фундаментальным состоянием компаний-эмитентов: их ликвидностью, рентабельностью, долговой нагрузкой и устойчивостью денежных потоков.</w:t>
      </w:r>
    </w:p>
    <w:p w14:paraId="7CCBCA8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Во-вторых, комплексная оценка качества портфеля требует интеграции двух методологических блоков: фундаментального анализа эмитентов (коэффициентный анализ,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-счёт Альтмана) и портфельных метрик (матрица </w:t>
      </w:r>
      <w:r>
        <w:rPr>
          <w:rFonts w:ascii="Times New Roman" w:eastAsia="Times New Roman" w:hAnsi="Times New Roman" w:cs="Times New Roman"/>
          <w:sz w:val="28"/>
          <w:szCs w:val="28"/>
          <w:lang w:val="ru-RU"/>
        </w:rPr>
        <w:lastRenderedPageBreak/>
        <w:t xml:space="preserve">корреляций,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коэффициенты Шарпа,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альфа Дженсена).</w:t>
      </w:r>
    </w:p>
    <w:p w14:paraId="312582B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В-третьих, отраслевая специализация ОПИФ РФИ «ВИМ-Металлургия» обусловливает необходимость особого внимания к цикличности металлургического сектора, санкционным и регуляторным рискам, а также к концентрационным рискам, выявляемым через матрицу корреляций активов. Именно интегрированный методологический подход будет применён в аналитической части настоящей работы.</w:t>
      </w:r>
    </w:p>
    <w:p w14:paraId="7DF0E4A8" w14:textId="4517C349" w:rsidR="00DA4464" w:rsidRPr="004B6B88" w:rsidRDefault="00DA4464" w:rsidP="00DA4464">
      <w:pPr>
        <w:spacing w:line="360" w:lineRule="auto"/>
        <w:ind w:firstLine="709"/>
        <w:jc w:val="both"/>
        <w:rPr>
          <w:rFonts w:ascii="Times New Roman" w:hAnsi="Times New Roman" w:cs="Times New Roman"/>
          <w:lang w:val="ru-RU"/>
        </w:rPr>
      </w:pPr>
    </w:p>
    <w:p w14:paraId="29B4BD74" w14:textId="565556E6" w:rsidR="00631EF4" w:rsidRPr="004B6B88" w:rsidRDefault="00631EF4" w:rsidP="00631EF4">
      <w:pPr>
        <w:spacing w:line="360" w:lineRule="auto"/>
        <w:ind w:firstLine="709"/>
        <w:jc w:val="both"/>
        <w:rPr>
          <w:rFonts w:ascii="Times New Roman" w:hAnsi="Times New Roman" w:cs="Times New Roman"/>
          <w:sz w:val="28"/>
          <w:szCs w:val="28"/>
          <w:lang w:val="ru-RU"/>
        </w:rPr>
      </w:pPr>
    </w:p>
    <w:p w14:paraId="15D4CC68" w14:textId="77777777" w:rsidR="00631EF4" w:rsidRPr="004B6B88" w:rsidRDefault="00631EF4" w:rsidP="00631EF4">
      <w:pPr>
        <w:rPr>
          <w:rFonts w:ascii="Times New Roman" w:hAnsi="Times New Roman" w:cs="Times New Roman"/>
          <w:sz w:val="28"/>
          <w:szCs w:val="28"/>
          <w:lang w:val="ru-RU"/>
        </w:rPr>
      </w:pPr>
    </w:p>
    <w:p w14:paraId="1FB26D47" w14:textId="77777777" w:rsidR="00631EF4" w:rsidRPr="004B6B88" w:rsidRDefault="00631EF4" w:rsidP="00631EF4">
      <w:pPr>
        <w:rPr>
          <w:rFonts w:ascii="Times New Roman" w:hAnsi="Times New Roman" w:cs="Times New Roman"/>
          <w:sz w:val="28"/>
          <w:szCs w:val="28"/>
          <w:lang w:val="ru-RU"/>
        </w:rPr>
      </w:pPr>
    </w:p>
    <w:p w14:paraId="1B16F8D0" w14:textId="77777777" w:rsidR="005F2182" w:rsidRPr="004B6B88" w:rsidRDefault="00793D47" w:rsidP="005F2182">
      <w:pPr>
        <w:rPr>
          <w:rFonts w:ascii="Times New Roman" w:hAnsi="Times New Roman" w:cs="Times New Roman"/>
          <w:b/>
          <w:i/>
          <w:sz w:val="28"/>
          <w:szCs w:val="32"/>
          <w:lang w:val="ru-RU"/>
        </w:rPr>
      </w:pPr>
      <w:r>
        <w:rPr>
          <w:rFonts w:ascii="Times New Roman" w:hAnsi="Times New Roman" w:cs="Times New Roman"/>
          <w:lang w:val="ru-RU"/>
        </w:rPr>
        <w:br w:type="page"/>
      </w:r>
    </w:p>
    <w:p w14:paraId="34AE380A" w14:textId="77777777" w:rsidR="0059624A" w:rsidRPr="004B6B88" w:rsidRDefault="0059624A" w:rsidP="004B6B88">
      <w:pPr>
        <w:pStyle w:val="1"/>
        <w:spacing w:line="360" w:lineRule="auto"/>
        <w:rPr>
          <w:rFonts w:cs="Times New Roman"/>
          <w:lang w:val="ru-RU"/>
        </w:rPr>
      </w:pPr>
      <w:bookmarkStart w:id="5" w:name="_Toc233526122"/>
      <w:r>
        <w:rPr>
          <w:rFonts w:cs="Times New Roman"/>
          <w:lang w:val="ru-RU"/>
        </w:rPr>
        <w:lastRenderedPageBreak/>
        <w:t>ГЛАВА 2. АНАЛИЗ ИНВЕСТИЦИОННОГО ПОРТФЕЛЯ ОПИФ РФИ «ВИМ-МЕТАЛЛУРГИЯ»</w:t>
      </w:r>
      <w:bookmarkEnd w:id="5"/>
    </w:p>
    <w:p w14:paraId="4BBBD03B" w14:textId="77777777" w:rsidR="00823BB7" w:rsidRPr="004B6B88" w:rsidRDefault="00823BB7" w:rsidP="004B6B88">
      <w:pPr>
        <w:spacing w:line="360" w:lineRule="auto"/>
        <w:rPr>
          <w:rFonts w:ascii="Times New Roman" w:hAnsi="Times New Roman" w:cs="Times New Roman"/>
          <w:lang w:val="ru-RU"/>
        </w:rPr>
      </w:pPr>
    </w:p>
    <w:p w14:paraId="1AA8B4FF" w14:textId="77777777" w:rsidR="0059624A" w:rsidRPr="004B6B88" w:rsidRDefault="0059624A" w:rsidP="004B6B88">
      <w:pPr>
        <w:pStyle w:val="2"/>
        <w:spacing w:line="360" w:lineRule="auto"/>
        <w:rPr>
          <w:rFonts w:cs="Times New Roman"/>
          <w:lang w:val="ru-RU"/>
        </w:rPr>
      </w:pPr>
      <w:bookmarkStart w:id="6" w:name="_Toc233526123"/>
      <w:r>
        <w:rPr>
          <w:rFonts w:cs="Times New Roman"/>
          <w:lang w:val="ru-RU"/>
        </w:rPr>
        <w:t>2.1. Структура и состав инвестиционного портфеля ОПИФ РФИ «ВИМ-Металлургия»</w:t>
      </w:r>
      <w:bookmarkEnd w:id="6"/>
    </w:p>
    <w:p w14:paraId="589586F6" w14:textId="77777777" w:rsidR="00823BB7" w:rsidRPr="004B6B88" w:rsidRDefault="00823BB7" w:rsidP="004B6B88">
      <w:pPr>
        <w:spacing w:line="360" w:lineRule="auto"/>
        <w:rPr>
          <w:rFonts w:ascii="Times New Roman" w:hAnsi="Times New Roman" w:cs="Times New Roman"/>
          <w:lang w:val="ru-RU"/>
        </w:rPr>
      </w:pPr>
    </w:p>
    <w:p w14:paraId="55345A8D" w14:textId="53AFA84D"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ОПИФ рыночных финансовых инструментов «ВИМ-Металлургия» (далее — Фонд) функционирует под управлением АО «ВИМ Инвестиции» и специализируется на вложениях в акции отечественных компаний металлургической и горнодобывающей отрасли, котирующихся на Московской бирже. По состоянию на конец 2025 года стоимость чистых активов (СЧА) Фонда составляла порядка 860 млн рублей, что отражает динамику притока розничного капитала на фоне повышения интереса частных инвесторов к защитным сырьевым позициям.[46]</w:t>
      </w:r>
    </w:p>
    <w:p w14:paraId="5482AABD" w14:textId="29A409B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Инвестиционная декларация Фонда предусматривает размещение не менее 80% активов в акции компаний чёрной металлургии, цветной металлургии и смежных добывающих производств. Оставшаяся часть может быть размещена в инструменты денежного рынка — преимущественно краткосрочные облигации федерального займа (ОФЗ) и депозиты с целью поддержания ликвидности, необходимой для исполнения заявок на погашение паёв.[47]</w:t>
      </w:r>
    </w:p>
    <w:p w14:paraId="33DCF47F" w14:textId="01777481"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состава портфеля Фонда на конец 2025 года позволяет выделить пять ключевых позиций, совокупно формирующих более 90% стоимости активов. Крупнейшим объектом инвестирования выступает ПАО «Северсталь» с долей 28,4%, что обусловлено высокой ликвидностью бумаг, стабильной дивидендной политикой и лидирующим положением компании в </w:t>
      </w:r>
      <w:r>
        <w:rPr>
          <w:rFonts w:ascii="Times New Roman" w:eastAsia="Times New Roman" w:hAnsi="Times New Roman" w:cs="Times New Roman"/>
          <w:sz w:val="28"/>
          <w:szCs w:val="28"/>
          <w:lang w:val="ru-RU"/>
        </w:rPr>
        <w:lastRenderedPageBreak/>
        <w:t>отечественной чёрной металлургии. На втором месте располагается ПАО «ГМК Норильский никель» с долей 22,7%: вложение в диверсифицированного производителя цветных и драгоценных металлов частично снижает зависимость портфеля от конъюнктуры стального рынка. Третью позицию занимает ПАО «Магнитогорский металлургический комбинат» (ММК) с долей 19,1% — компания обеспечивает географически диверсифицированный доступ к сегменту плоского проката. Четвёртой по весу позицией является ПАО «ЭН+ ГРУП» с долей 12,6%: производитель алюминия и гидроэлектроэнергии привносит в портфель экспозицию на рынок лёгких металлов и сектор возобновляемой энергетики. Завершает пятёрку ПАО «ВСМПО-АВИСМА» [50] с долей 9,3%, обеспечивающее узкоспециализированную экспозицию на рынок авиационного титана. Прочие позиции и денежные средства формируют оставшиеся 7,9% активов. Структура портфеля детализирована в таблице 1.</w:t>
      </w:r>
    </w:p>
    <w:p w14:paraId="3E9C6BD4"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1 — Структура портфеля ОПИФ РФИ «ВИМ-Металлургия» по состоянию на 31.12.2025</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1800"/>
        <w:gridCol w:w="2200"/>
      </w:tblGrid>
      <w:tr w:rsidR="0059624A" w:rsidRPr="004B6B88" w14:paraId="1D2A5F41" w14:textId="77777777" w:rsidTr="001F656D">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E166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F2AF45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Отрасль</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EBD2B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в СЧА, %</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AFFAA0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Рыночная стоимость, млн руб.</w:t>
            </w:r>
          </w:p>
        </w:tc>
      </w:tr>
      <w:tr w:rsidR="0059624A" w:rsidRPr="004B6B88" w14:paraId="6E8524EF" w14:textId="77777777" w:rsidTr="001F656D">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5077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D668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34FB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4FC7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244,2</w:t>
            </w:r>
          </w:p>
        </w:tc>
      </w:tr>
      <w:tr w:rsidR="0059624A" w:rsidRPr="004B6B88" w14:paraId="370C585E" w14:textId="77777777" w:rsidTr="001F656D">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6D34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Норильский никель»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3CE0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Цветная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3420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8C07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195,2</w:t>
            </w:r>
          </w:p>
        </w:tc>
      </w:tr>
      <w:tr w:rsidR="0059624A" w:rsidRPr="004B6B88" w14:paraId="313283AC" w14:textId="77777777" w:rsidTr="001F656D">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6DE65"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EB72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89A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2116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164,3</w:t>
            </w:r>
          </w:p>
        </w:tc>
      </w:tr>
      <w:tr w:rsidR="0059624A" w:rsidRPr="004B6B88" w14:paraId="3A48B05C" w14:textId="77777777" w:rsidTr="001F656D">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21C7F"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C2B1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Алюминий / ВИЭ</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F2F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1FF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108,4</w:t>
            </w:r>
          </w:p>
        </w:tc>
      </w:tr>
      <w:tr w:rsidR="0059624A" w:rsidRPr="004B6B88" w14:paraId="3EADAE02" w14:textId="77777777" w:rsidTr="001F656D">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2905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ПАО «ВСМПО-АВИСМА»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8280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Титановая промышленность</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581B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F3C0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80,0</w:t>
            </w:r>
          </w:p>
        </w:tc>
      </w:tr>
      <w:tr w:rsidR="00823BB7" w:rsidRPr="004B6B88" w14:paraId="6D06F9E2" w14:textId="77777777" w:rsidTr="001F656D">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01BB4" w14:textId="1D5BB117"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Прочие позиции и денежные средства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3A06F" w14:textId="61A5763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E8636" w14:textId="23B4813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7,9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F8ED2" w14:textId="5ECE943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67,9</w:t>
            </w:r>
          </w:p>
        </w:tc>
      </w:tr>
      <w:tr w:rsidR="00823BB7" w:rsidRPr="004B6B88" w14:paraId="15CC5649" w14:textId="77777777" w:rsidTr="001F656D">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3B96C" w14:textId="5B16F8EC"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Итого</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D1948" w14:textId="1B585DBD"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FD012" w14:textId="2810D3A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E388D" w14:textId="2893BBA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860,0</w:t>
            </w:r>
          </w:p>
        </w:tc>
      </w:tr>
    </w:tbl>
    <w:p w14:paraId="456EF36F"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1B5D0FE1" w14:textId="0D886A9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Из приведённых данных следует, что Фонд демонстрирует выраженную отраслевую концентрацию: доля активов, связанных непосредственно с металлургическим и горнодобывающим производством, превышает 92%. С одной стороны, подобная специализация соответствует инвестиционной декларации и интересам инвесторов, целенаправленно приобретающих паи отраслевого фонда. С другой стороны, она формирует специфический концентрационный риск, при котором неблагоприятная конъюнктура на глобальных рынках сырья способна оказывать одновременное давление на большинство позиций портфеля.</w:t>
      </w:r>
    </w:p>
    <w:p w14:paraId="5C36F9F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части </w:t>
      </w:r>
      <w:proofErr w:type="spellStart"/>
      <w:r>
        <w:rPr>
          <w:rFonts w:ascii="Times New Roman" w:eastAsia="Times New Roman" w:hAnsi="Times New Roman" w:cs="Times New Roman"/>
          <w:sz w:val="28"/>
          <w:szCs w:val="28"/>
          <w:lang w:val="ru-RU"/>
        </w:rPr>
        <w:t>субсекторальной</w:t>
      </w:r>
      <w:proofErr w:type="spellEnd"/>
      <w:r>
        <w:rPr>
          <w:rFonts w:ascii="Times New Roman" w:eastAsia="Times New Roman" w:hAnsi="Times New Roman" w:cs="Times New Roman"/>
          <w:sz w:val="28"/>
          <w:szCs w:val="28"/>
          <w:lang w:val="ru-RU"/>
        </w:rPr>
        <w:t xml:space="preserve"> диверсификации необходимо отметить, что три из пяти крупнейших позиций (Северсталь, ММК, ЭН+/РУСАЛ) в той или иной мере зависят от конъюнктуры базовых металлов на мировом рынке и от уровня спроса в строительной и машиностроительной отраслях России. Норильский никель, несмотря на иной продуктовый профиль (никель, медь, палладий, платина), также подвержен глобальной цикличности промышленного производства. ВСМПО-АВИСМА, ориентированная преимущественно на авиационный сектор, частично вносит диверсификацию </w:t>
      </w:r>
      <w:r>
        <w:rPr>
          <w:rFonts w:ascii="Times New Roman" w:eastAsia="Times New Roman" w:hAnsi="Times New Roman" w:cs="Times New Roman"/>
          <w:sz w:val="28"/>
          <w:szCs w:val="28"/>
          <w:lang w:val="ru-RU"/>
        </w:rPr>
        <w:lastRenderedPageBreak/>
        <w:t>по конечному потребителю, однако её доля в портфеле остаётся относительно небольшой для системного снижения концентрационного риска.</w:t>
      </w:r>
    </w:p>
    <w:p w14:paraId="441F45CD" w14:textId="7777777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Динамика СЧА Фонда на протяжении 2024–2025 годов отражала волатильность металлургического сектора. В первой половине 2024 года фонд испытал давление в связи со снижением мировых цен на сталь и усилением санкционных ограничений; во втором полугодии 2024 года наметилось частичное восстановление на фоне роста цен на цветные металлы. В 2025 году динамика СЧА оставалась разнонаправленной: позитивный вклад вносил рост котировок Норильского никеля на фоне дефицита палладия, тогда как стальные компании испытывали давление из-за замедления строительного спроса внутри страны.</w:t>
      </w:r>
    </w:p>
    <w:p w14:paraId="59387B1C" w14:textId="7777777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p>
    <w:p w14:paraId="7EC5AC99" w14:textId="77777777" w:rsidR="0059624A" w:rsidRPr="004B6B88" w:rsidRDefault="0059624A" w:rsidP="004B6B88">
      <w:pPr>
        <w:pStyle w:val="2"/>
        <w:spacing w:line="360" w:lineRule="auto"/>
        <w:rPr>
          <w:rFonts w:cs="Times New Roman"/>
          <w:lang w:val="ru-RU"/>
        </w:rPr>
      </w:pPr>
      <w:bookmarkStart w:id="7" w:name="_Toc233526124"/>
      <w:r>
        <w:rPr>
          <w:rFonts w:cs="Times New Roman"/>
          <w:lang w:val="ru-RU"/>
        </w:rPr>
        <w:t>2.2. Характеристика крупнейших объектов инвестирования</w:t>
      </w:r>
      <w:bookmarkEnd w:id="7"/>
    </w:p>
    <w:p w14:paraId="00530F8E" w14:textId="77777777" w:rsidR="0059624A" w:rsidRPr="004B6B88" w:rsidRDefault="0059624A" w:rsidP="004B6B88">
      <w:pPr>
        <w:spacing w:before="240" w:after="120" w:line="360" w:lineRule="auto"/>
        <w:jc w:val="center"/>
        <w:outlineLvl w:val="1"/>
        <w:rPr>
          <w:rFonts w:ascii="Times New Roman" w:eastAsia="Times New Roman" w:hAnsi="Times New Roman" w:cs="Times New Roman"/>
          <w:b/>
          <w:bCs/>
          <w:sz w:val="28"/>
          <w:szCs w:val="28"/>
          <w:lang w:val="ru-RU"/>
        </w:rPr>
      </w:pPr>
    </w:p>
    <w:p w14:paraId="007B75B4" w14:textId="3644C7C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формирования обоснованного суждения о качестве инвестиционного портфеля необходим анализ финансового состояния компаний-эмитентов, составляющих его основу. В соответствии с методологией, изложенной в главе 1, по каждому из пяти ключевых объектов инвестирования проведён расчёт показателей ликвидности, рентабельности собственного капитала и диагностика риска финансовой несостоятельности по модели Альтмана на основании консолидированной отчётности за 2025 год. Расчёты выполнены по формулам (1)–(5), приведённым в разделе 1.2 настоящей работы.</w:t>
      </w:r>
    </w:p>
    <w:p w14:paraId="1B5F2148" w14:textId="0B475F4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«Северсталь» является одним из крупнейших интегрированных производителей стали в России с полным металлургическим циклом — от </w:t>
      </w:r>
      <w:r>
        <w:rPr>
          <w:rFonts w:ascii="Times New Roman" w:eastAsia="Times New Roman" w:hAnsi="Times New Roman" w:cs="Times New Roman"/>
          <w:sz w:val="28"/>
          <w:szCs w:val="28"/>
          <w:lang w:val="ru-RU"/>
        </w:rPr>
        <w:lastRenderedPageBreak/>
        <w:t>добычи железорудного сырья до производства готового проката. По итогам 2025 года выручка компании составила 891,4 млрд руб., EBITDA — 265,3 млрд руб. (рентабельность по EBITDA 29,8%), чистая прибыль — 147,6 млрд руб. Совокупные активы достигли 682,4 млрд руб., собственный капитал — 438,9 млрд руб., оборотные активы — 214,7 млрд руб., запасы — 78,3 млрд руб., денежные средства и краткосрочные вложения — 89,4 млрд руб., краткосрочные обязательства — 97,6 млрд руб., долгосрочный долг — 92,1 млрд руб.[48]</w:t>
      </w:r>
    </w:p>
    <w:p w14:paraId="2B8C850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Расчёт коэффициентов ликвидности ПАО «Северсталь» за 2025 год.</w:t>
      </w:r>
    </w:p>
    <w:p w14:paraId="48D9040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рассчитывается по формуле CR = OA / CL:</w:t>
      </w:r>
    </w:p>
    <w:p w14:paraId="487D2B05" w14:textId="27BAA445"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214,7 / 97,6 = 2,20</m:t>
          </m:r>
        </m:oMath>
      </m:oMathPara>
    </w:p>
    <w:p w14:paraId="04E83B2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Полученное значение CR = 2,20 соответствует нормативу (≥ 2,0), что свидетельствует о достаточном покрытии краткосрочных обязательств оборотными активами.</w:t>
      </w:r>
    </w:p>
    <w:p w14:paraId="5C31326F"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по формуле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6668B72C" w14:textId="7C5CC240"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(214,7 - 78,3) / 97,6 = 136,4 / 97,6 = 1,40</m:t>
          </m:r>
        </m:oMath>
      </m:oMathPara>
    </w:p>
    <w:p w14:paraId="5A47ED9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QR = 1,40 превышает норматив (≥ 1,0), подтверждая способность компании погашать текущие обязательства без реализации запасов.</w:t>
      </w:r>
    </w:p>
    <w:p w14:paraId="1471EB09"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по формуле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71526872" w14:textId="5C8D725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89,4 / 97,6 = 0,92</m:t>
          </m:r>
        </m:oMath>
      </m:oMathPara>
    </w:p>
    <w:p w14:paraId="017DD5C1"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Значение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0,92 существенно превышает норматив (≥ 0,2), что указывает на высокую обеспеченность компании ликвидными активами для немедленного погашения обязательств.</w:t>
      </w:r>
    </w:p>
    <w:p w14:paraId="537DF5C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Рентабельность собственного капитала по формуле ROE = NI / E:</w:t>
      </w:r>
    </w:p>
    <w:p w14:paraId="224B8527" w14:textId="66AB7A3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147,6 / 438,9 = 0,336, или 33,6%</m:t>
          </m:r>
        </m:oMath>
      </m:oMathPara>
    </w:p>
    <w:p w14:paraId="463FF9A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ROE = 33,6% является высоким для металлургической отрасли и свидетельствует об эффективном использовании акционерного капитала при умеренной долговой нагрузке.</w:t>
      </w:r>
    </w:p>
    <w:p w14:paraId="1F58E591" w14:textId="6E2327FE"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по формуле Z = 1,2·X₁ + 1,4·X₂ + 3,3·X₃ + 0,6·X₄ + 1,0·X₅:</m:t>
          </m:r>
        </m:oMath>
      </m:oMathPara>
    </w:p>
    <w:p w14:paraId="306BAF1D" w14:textId="2A38A3AB"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X₁ = (214,7 - 97,6) / 682,4 = 117,1 / 682,4 = 0,172; X₂ = 438,9 / 682,4 = 0,643; X₃ = 192,4 / 682,4 = 0,282; X₄ = 890,0 / (97,6 + 92,1) = 890,0 / 189,7 = 4,692; X₅ = 891,4 / 682,4 = 1,306.</m:t>
          </m:r>
        </m:oMath>
      </m:oMathPara>
    </w:p>
    <w:p w14:paraId="2E29B14B" w14:textId="3EC323A3"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0,172 + 1,4 · 0,643 + 3,3 · 0,282 + 0,6 · 4,692 + 1,0 · 1,306</m:t>
          </m:r>
        </m:oMath>
      </m:oMathPara>
    </w:p>
    <w:p w14:paraId="10836836" w14:textId="776D3705"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0,206 + 0,900 + 0,931 + 2,815 + 1,306 = 6,16</m:t>
          </m:r>
        </m:oMath>
      </m:oMathPara>
    </w:p>
    <w:p w14:paraId="1C418A8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6,16 значительно превышает верхнюю границу зоны финансовой устойчивости (2,99), что подтверждает низкую вероятность финансовой несостоятельности компании в краткосрочной перспективе. Сводные показатели приведены в таблице 2.</w:t>
      </w:r>
    </w:p>
    <w:p w14:paraId="196D2023"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2 — Финансовые показатели ПАО «Северсталь» за 2025 год</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993"/>
      </w:tblGrid>
      <w:tr w:rsidR="0059624A" w:rsidRPr="004B6B88" w14:paraId="71F86AFB" w14:textId="77777777" w:rsidTr="008D7CA4">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A769B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2C23F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F6C253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DCF6E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1CDFD1EC"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D1D7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текущей ликвидности (CR)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F450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6FFB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E07D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6DCD4E81"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5064D"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быстрой ликвидности (QR)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FA15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CAF7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438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1B3242A3"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4998C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абсолютной ликвидности (</w:t>
            </w:r>
            <w:proofErr w:type="spellStart"/>
            <w:r>
              <w:rPr>
                <w:rFonts w:ascii="Times New Roman" w:eastAsia="Times New Roman" w:hAnsi="Times New Roman" w:cs="Times New Roman"/>
                <w:sz w:val="24"/>
                <w:szCs w:val="24"/>
                <w:lang w:val="ru-RU"/>
              </w:rPr>
              <w:t>CashR</w:t>
            </w:r>
            <w:proofErr w:type="spellEnd"/>
            <w:r>
              <w:rPr>
                <w:rFonts w:ascii="Times New Roman" w:eastAsia="Times New Roman" w:hAnsi="Times New Roman" w:cs="Times New Roman"/>
                <w:sz w:val="24"/>
                <w:szCs w:val="24"/>
                <w:lang w:val="ru-RU"/>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71C7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C5CD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2B33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3B580CBD"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3322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Рентабельность собственного капитала (ROE)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781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33,6%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FA6B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3AF86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0FDFA8A5"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D848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020F0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74D2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284B5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0C3F41D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12557977" w14:textId="3AE8B39C"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ПАО «Магнитогорский металлургический комбинат» (ММК) — один из крупнейших российских сталепроизводителей, специализирующийся преимущественно на производстве плоского проката с высокой долей продаж на внутреннем рынке. По итогам 2025 года выручка компании составила 712,8 млрд руб., EBITDA — 162,3 млрд руб. (рентабельность по EBITDA 22,8%), чистая прибыль — 87,4 млрд руб. Совокупные активы — 589,3 млрд руб., собственный капитал — 378,6 млрд руб., оборотные активы — 178,4 млрд руб., запасы — 62,7 млрд руб., денежные средства и краткосрочные вложения — 71,3 млрд руб., краткосрочные обязательства — 84,2 млрд руб., долгосрочный долг — 58,4 млрд руб.</w:t>
      </w:r>
    </w:p>
    <w:p w14:paraId="474D12FB" w14:textId="41073160"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178,4 / 84,2 = 2,12</m:t>
          </m:r>
        </m:oMath>
      </m:oMathPara>
    </w:p>
    <w:p w14:paraId="72DE09B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4B2785D9" w14:textId="3D22E49E"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(178,4 - 62,7) / 84,2 = 115,7 / 84,2 = 1,37</m:t>
          </m:r>
        </m:oMath>
      </m:oMathPara>
    </w:p>
    <w:p w14:paraId="4646C40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23DC07FB" w14:textId="2EC4AD98"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71,3 / 84,2 = 0,85</m:t>
          </m:r>
        </m:oMath>
      </m:oMathPara>
    </w:p>
    <w:p w14:paraId="4B2AF92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4AA6411D" w14:textId="59E79EEF"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87,4 / 378,6 = 0,231, или 23,1%</m:t>
          </m:r>
        </m:oMath>
      </m:oMathPara>
    </w:p>
    <w:p w14:paraId="671CC27C" w14:textId="4B303608"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Z-счёт Альтмана: X₁ = (178,4 - 84,2) / 589,3 = 94,2 / 589,3 = 0,160; X₂ = 378,6 / 589,3 = 0,642; X₃ = 112,8 / 589,3 = 0,191; X₄ = 660,0 / (84,2 + 58,4) = 660,0 / 142,6 = 4,628; X₅ = 712,8 / 589,3 = 1,210.</m:t>
          </m:r>
        </m:oMath>
      </m:oMathPara>
    </w:p>
    <w:p w14:paraId="555DFDCA" w14:textId="6DB34ADA"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0,160 + 1,4 · 0,642 + 3,3 · 0,191 + 0,6 · 4,628 + 1,0 · 1,210</m:t>
          </m:r>
        </m:oMath>
      </m:oMathPara>
    </w:p>
    <w:p w14:paraId="11DE1A0F" w14:textId="76122418"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0,192 + 0,899 + 0,630 + 2,777 + 1,210 = 5,71</m:t>
          </m:r>
        </m:oMath>
      </m:oMathPara>
    </w:p>
    <w:p w14:paraId="109A659A" w14:textId="448E4E1F"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5,71 подтверждает высокую финансовую устойчивость компании. ММК демонстрирует несколько более низкую рентабельность по сравнению с Северсталью, что объясняется в том числе более высокой долей внутренних продаж и меньшей вертикальной интеграцией по сырью. Сводные показатели приведены в таблице 3.[50]</w:t>
      </w:r>
    </w:p>
    <w:p w14:paraId="0E38889C"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3 — Финансовые показатели ПАО «ММК»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5BC334C7" w14:textId="77777777" w:rsidTr="001F656D">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9DD7CF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1102E0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C3A18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17CA9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7D5CCEFA"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CAC4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B096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4589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8283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FB22357"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D41C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1845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E48E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0B81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76D4404"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29F2A"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A0F0F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809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10C9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7897A029"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71FA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6071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23,1%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B94E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CA37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234FBCCB"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82B05"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74ED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5,71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8308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9604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6C8569F3"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50A7D5B" w14:textId="51842413"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«ГМК Норильский никель» — мировой лидер по производству никеля и палладия, один из крупнейших производителей платины и меди. [43]. Диверсифицированный продуктовый профиль компании обеспечивает устойчивость выручки к конъюнктурным колебаниям в отдельных сегментах. По итогам 2025 года выручка составила 1 214,7 млрд руб., чистая прибыль — </w:t>
      </w:r>
      <w:r>
        <w:rPr>
          <w:rFonts w:ascii="Times New Roman" w:eastAsia="Times New Roman" w:hAnsi="Times New Roman" w:cs="Times New Roman"/>
          <w:sz w:val="28"/>
          <w:szCs w:val="28"/>
          <w:lang w:val="ru-RU"/>
        </w:rPr>
        <w:lastRenderedPageBreak/>
        <w:t>163,2 млрд руб. Совокупные активы — 1 843,4 млрд руб., собственный капитал — 412,8 млрд руб. Оборотные активы — 386,4 млрд руб., запасы — 124,8 млрд руб., денежные средства и краткосрочные вложения — 118,6 млрд руб., краткосрочные обязательства — 247,3 млрд руб., долгосрочный долг — 842,6 млрд руб.</w:t>
      </w:r>
    </w:p>
    <w:p w14:paraId="3E77DC15"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1742EB2C" w14:textId="2376034D"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386,4 / 247,3 = 1,56</m:t>
          </m:r>
        </m:oMath>
      </m:oMathPara>
    </w:p>
    <w:p w14:paraId="7D44ACC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CR = 1,56 ниже нормативного (2,0), что обусловлено традиционно высокой долговой нагрузкой компании, характерной для крупных горнодобывающих предприятий с капиталоёмкими инвестиционными программами.</w:t>
      </w:r>
    </w:p>
    <w:p w14:paraId="4EA55E8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39285435" w14:textId="3B39C4F1"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(386,4 - 124,8) / 247,3 = 261,6 / 247,3 = 1,06</m:t>
          </m:r>
        </m:oMath>
      </m:oMathPara>
    </w:p>
    <w:p w14:paraId="5B33560F"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5B79715D" w14:textId="0EB24444"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118,6 / 247,3 = 0,48</m:t>
          </m:r>
        </m:oMath>
      </m:oMathPara>
    </w:p>
    <w:p w14:paraId="5CFED68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3779A9ED" w14:textId="7068FE2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163,2 / 412,8 = 0,395, или 39,5%</m:t>
          </m:r>
        </m:oMath>
      </m:oMathPara>
    </w:p>
    <w:p w14:paraId="5178C69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Высокое значение ROE = 39,5% при значительном финансовом рычаге (отношение долга к EBITDA около 2,5x) отражает характерную для Норникеля модель финансирования: компания исторически использует заёмный капитал для финансирования дивидендных выплат и инвестиционных программ.</w:t>
      </w:r>
    </w:p>
    <w:p w14:paraId="21681C86" w14:textId="6F49D26C"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X₁ = (386,4 - 247,3) / 1 843,4 = 139,1 / 1 843,4 = 0,075; X₂ = 412,8 / 1 843,4 = 0,224; X₃ = 228,6 / 1 843,4 = 0,124; X₄ = 2 180,0 / (247,3 + 842,6) = 2 180,0 / 1 089,9 = 2,000; X₅ = 1 214,7 / 1 843,4 = 0,659.</m:t>
          </m:r>
        </m:oMath>
      </m:oMathPara>
    </w:p>
    <w:p w14:paraId="321B0FF4" w14:textId="566CE98F"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Z = 1,2 · 0,075 + 1,4 · 0,224 + 3,3 · 0,124 + 0,6 · 2,000 + 1,0 · 0,659</m:t>
          </m:r>
        </m:oMath>
      </m:oMathPara>
    </w:p>
    <w:p w14:paraId="533FE439" w14:textId="26F31B98"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0,090 + 0,314 + 0,409 + 1,200 + 0,659 = 2,67</m:t>
          </m:r>
        </m:oMath>
      </m:oMathPara>
    </w:p>
    <w:p w14:paraId="55233DB7"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2,67 попадает в зону неопределённости (1,81–2,99). Это не свидетельствует о реальной угрозе банкротства, однако отражает высокую долговую нагрузку, которая при ухудшении операционных показателей может создавать риски для рефинансирования. Результаты сведены в таблицу 4.</w:t>
      </w:r>
    </w:p>
    <w:p w14:paraId="44037B9C"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4 — Финансовые показатели ПАО «ГМК Норильский никель»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37891893" w14:textId="77777777" w:rsidTr="001F656D">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A9D94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00545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AFD97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36272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584BCE7A"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0A09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9D648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62DD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95DA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77D515E8"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CF84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ECE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D7DD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1BCC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20682F49"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66269"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A3D2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9917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E127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823BB7" w:rsidRPr="004B6B88" w14:paraId="37FAC4FE"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3335D" w14:textId="22B95E07"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64D07" w14:textId="3C590710"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39,5%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5E201" w14:textId="3E70C675"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C1FC0" w14:textId="077A419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Высокий</w:t>
            </w:r>
          </w:p>
        </w:tc>
      </w:tr>
      <w:tr w:rsidR="00823BB7" w:rsidRPr="004B6B88" w14:paraId="2A3255DC"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779E7" w14:textId="6814B29C"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C8269" w14:textId="7D14F4C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2,67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3DAC6" w14:textId="27FF0B3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2,99 / 1,81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CB5AC" w14:textId="7E5D711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Зона </w:t>
            </w:r>
            <w:proofErr w:type="spellStart"/>
            <w:r>
              <w:rPr>
                <w:rFonts w:ascii="Times New Roman" w:eastAsia="Times New Roman" w:hAnsi="Times New Roman" w:cs="Times New Roman"/>
                <w:sz w:val="24"/>
                <w:szCs w:val="24"/>
                <w:lang w:val="ru-RU"/>
              </w:rPr>
              <w:t>неопред</w:t>
            </w:r>
            <w:proofErr w:type="spellEnd"/>
            <w:r>
              <w:rPr>
                <w:rFonts w:ascii="Times New Roman" w:eastAsia="Times New Roman" w:hAnsi="Times New Roman" w:cs="Times New Roman"/>
                <w:sz w:val="24"/>
                <w:szCs w:val="24"/>
                <w:lang w:val="ru-RU"/>
              </w:rPr>
              <w:t>.</w:t>
            </w:r>
          </w:p>
        </w:tc>
      </w:tr>
    </w:tbl>
    <w:p w14:paraId="70290D00"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69D2CA72" w14:textId="0820DF74"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«ЭН+ ГРУП» представляет собой вертикально интегрированный холдинг, объединяющий крупнейшего российского производителя алюминия (ПАО «РУСАЛ», в котором ЭН+ контролирует 56,9% акций) и гидроэлектростанции Сибири общей установленной мощностью более 19,6 ГВт. Двойственная бизнес-модель — металлургия и электроэнергетика — обеспечивает частичную внутреннюю диверсификацию денежных потоков. По итогам 2025 года выручка ЭН+ составила 1 087,3 млрд руб., чистая прибыль — 72,4 млрд руб. Совокупные активы — 2 146,8 млрд руб., собственный капитал — 398,7 млрд руб., оборотные активы — 287,4 млрд руб., </w:t>
      </w:r>
      <w:r>
        <w:rPr>
          <w:rFonts w:ascii="Times New Roman" w:eastAsia="Times New Roman" w:hAnsi="Times New Roman" w:cs="Times New Roman"/>
          <w:sz w:val="28"/>
          <w:szCs w:val="28"/>
          <w:lang w:val="ru-RU"/>
        </w:rPr>
        <w:lastRenderedPageBreak/>
        <w:t>запасы — 94,6 млрд руб., денежные средства — 63,8 млрд руб., краткосрочные обязательства — 213,4 млрд руб., долгосрочный долг — 1 124,3 млрд руб.</w:t>
      </w:r>
    </w:p>
    <w:p w14:paraId="56AD6A3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55D03138" w14:textId="77777777" w:rsidR="0059624A" w:rsidRPr="004B6B88" w:rsidRDefault="0059624A" w:rsidP="0059624A">
      <w:pPr>
        <w:spacing w:before="60" w:after="6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i/>
          <w:iCs/>
          <w:sz w:val="28"/>
          <w:szCs w:val="28"/>
          <w:lang w:val="ru-RU"/>
        </w:rPr>
        <w:t>CR = 287,4 / 213,4 = 1,35</w:t>
      </w:r>
    </w:p>
    <w:p w14:paraId="2EFD138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CR = 1,35 ниже норматива, что является типичной характеристикой крупных промышленных холдингов с активным использованием краткосрочного финансирования для оборотного капитала.</w:t>
      </w:r>
    </w:p>
    <w:p w14:paraId="3DE1ED6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1F5CF1A4" w14:textId="16CE0B01"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(287,4 - 94,6) / 213,4 = 192,8 / 213,4 = 0,90</m:t>
          </m:r>
        </m:oMath>
      </m:oMathPara>
    </w:p>
    <w:p w14:paraId="4BAEF20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1187BB08" w14:textId="19E2836E"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63,8 / 213,4 = 0,30</m:t>
          </m:r>
        </m:oMath>
      </m:oMathPara>
    </w:p>
    <w:p w14:paraId="1F1ED62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7D09A0FA" w14:textId="156BB9D2"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72,4 / 398,7 = 0,182, или 18,2%</m:t>
          </m:r>
        </m:oMath>
      </m:oMathPara>
    </w:p>
    <w:p w14:paraId="757193B9" w14:textId="4027AA57"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X₁ = (287,4 - 213,4) / 2 146,8 = 74,0 / 2 146,8 = 0,034; X₂ = 398,7 / 2 146,8 = 0,186; X₃ = 104,8 / 2 146,8 = 0,049; X₄ = 420,0 / (213,4 + 1 124,3) = 420,0 / 1 337,7 = 0,314; X₅ = 1 087,3 / 2 146,8 = 0,506.</m:t>
          </m:r>
        </m:oMath>
      </m:oMathPara>
    </w:p>
    <w:p w14:paraId="213D189E" w14:textId="49E64C30"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0,034 + 1,4 · 0,186 + 3,3 · 0,049 + 0,6 · 0,314 + 1,0 · 0,506</m:t>
          </m:r>
        </m:oMath>
      </m:oMathPara>
    </w:p>
    <w:p w14:paraId="3FE63B57" w14:textId="2B8A597C"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0,041 + 0,260 + 0,162 + 0,188 + 0,506 = 1,16</m:t>
          </m:r>
        </m:oMath>
      </m:oMathPara>
    </w:p>
    <w:p w14:paraId="49A5CB22" w14:textId="0D443E6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Значение Z = 1,16 попадает в зону высокого риска банкротства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 xml:space="preserve">,81). Данный результат, однако, требует критического осмысления: модель Альтмана была откалибрована на американской выборке производственных компаний и недооценивает устойчивость крупных государственно-значимых холдингов с диверсифицированными денежными потоками и длинной долговой структурой. Тем не менее высокая долговая нагрузка ЭН+ (NetDebt / </w:t>
      </w:r>
      <w:r>
        <w:rPr>
          <w:rFonts w:ascii="Times New Roman" w:eastAsia="Times New Roman" w:hAnsi="Times New Roman" w:cs="Times New Roman"/>
          <w:sz w:val="28"/>
          <w:szCs w:val="28"/>
          <w:lang w:val="ru-RU"/>
        </w:rPr>
        <w:lastRenderedPageBreak/>
        <w:t>EBITDA ≈ 7,2x) является подтверждённым фактором повышенного кредитного риска. [50] Результаты приведены в таблице 5.</w:t>
      </w:r>
    </w:p>
    <w:p w14:paraId="65BF066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7781BA73" w14:textId="45222302"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5 — Финансовые показатели ПАО «ЭН+ ГРУП»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539537FB" w14:textId="77777777" w:rsidTr="001F656D">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6DAD55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369B4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DEEFF1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4BD774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3CCC1C9F"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16E9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BE7C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87A9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4BC6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34603DA1"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2E6DC"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F83B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D4F8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201F5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7BD27BD4"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91337"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31AF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F5F6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C108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3417E67"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5791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3319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307B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C9DE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6186A972"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B2212"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6BF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18C8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proofErr w:type="gramStart"/>
            <w:r>
              <w:rPr>
                <w:rFonts w:ascii="Times New Roman" w:eastAsia="Times New Roman" w:hAnsi="Times New Roman" w:cs="Times New Roman"/>
                <w:sz w:val="24"/>
                <w:szCs w:val="24"/>
                <w:lang w:val="ru-RU"/>
              </w:rPr>
              <w:t>&lt; 1</w:t>
            </w:r>
            <w:proofErr w:type="gramEnd"/>
            <w:r>
              <w:rPr>
                <w:rFonts w:ascii="Times New Roman" w:eastAsia="Times New Roman" w:hAnsi="Times New Roman" w:cs="Times New Roman"/>
                <w:sz w:val="24"/>
                <w:szCs w:val="24"/>
                <w:lang w:val="ru-RU"/>
              </w:rPr>
              <w:t>,81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9B73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Зона риска</w:t>
            </w:r>
          </w:p>
        </w:tc>
      </w:tr>
    </w:tbl>
    <w:p w14:paraId="171BB44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061F6CFC" w14:textId="5E9F0F52"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ПАО «ВСМПО-АВИСМА» является крупнейшим в мире производителем титановой продукции и занимает лидирующее положение в сегменте поставок авиационного титана для мировых производителей авиационной техники. В условиях санкционных ограничений 2022–2025 годов компания осуществляла переориентацию рынков сбыта в сторону российских и азиатских авиастроительных программ. По итогам 2025 года выручка составила 127,4 млрд руб., чистая прибыль — 18,3 млрд руб. Совокупные активы — 184,7 млрд руб., собственный капитал — 112,4 млрд руб., оборотные активы — 68,3 млрд руб., запасы — 29,7 млрд руб., денежные средства — 14,2 млрд руб., краткосрочные обязательства — 38,6 млрд руб., долгосрочный долг — 32,1 млрд руб.</w:t>
      </w:r>
    </w:p>
    <w:p w14:paraId="7EA4A89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0DE530D5" w14:textId="297256A7"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68,3 / 38,6 = 1,77</m:t>
          </m:r>
        </m:oMath>
      </m:oMathPara>
    </w:p>
    <w:p w14:paraId="2C8F0BD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06C6BE68" w14:textId="5995AD97"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(68,3 - 29,7) / 38,6 = 38,6 / 38,6 = 1,00</m:t>
          </m:r>
        </m:oMath>
      </m:oMathPara>
    </w:p>
    <w:p w14:paraId="11835A33" w14:textId="6C1FE649"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Коэффициент абсолютной ликвидности </w:t>
      </w:r>
      <m:oMath>
        <m:r>
          <w:rPr>
            <w:rFonts w:ascii="Cambria Math" w:eastAsia="Times New Roman" w:hAnsi="Cambria Math" w:cs="Times New Roman"/>
            <w:sz w:val="28"/>
            <w:szCs w:val="28"/>
            <w:lang w:val="ru-RU"/>
          </w:rPr>
          <m:t>CashR = (Cash + CE) / CL:</m:t>
        </m:r>
      </m:oMath>
    </w:p>
    <w:p w14:paraId="772815C4" w14:textId="0CB04CD2"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CashR = 14,2 / 38,6 = 0,37</m:t>
          </m:r>
        </m:oMath>
      </m:oMathPara>
    </w:p>
    <w:p w14:paraId="57D7E5B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10951592" w14:textId="4B875078"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18,3 / 112,4 = 0,163, или 16,3%</m:t>
          </m:r>
        </m:oMath>
      </m:oMathPara>
    </w:p>
    <w:p w14:paraId="42694553" w14:textId="263EB02D"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Z-счёт Альтмана: </w:t>
      </w:r>
      <m:oMath>
        <m:r>
          <w:rPr>
            <w:rFonts w:ascii="Cambria Math" w:eastAsia="Times New Roman" w:hAnsi="Cambria Math" w:cs="Times New Roman"/>
            <w:sz w:val="28"/>
            <w:szCs w:val="28"/>
            <w:lang w:val="ru-RU"/>
          </w:rPr>
          <m:t>X₁ = (68,3 - 38,6) / 184,7 = 29,7 / 184,7 = 0,161; X₂ = 112,4 / 184,7 = 0,608; X₃ = 24,6 / 184,7 = 0,133; X₄ = 98,0 / (38,6 + 32,1) = 98,0 / 70,7 = 1,386; X₅ = 127,4 / 184,7 = 0,690.</m:t>
        </m:r>
      </m:oMath>
    </w:p>
    <w:p w14:paraId="5B955F56" w14:textId="77FEB5B6"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0,161 + 1,4 · 0,608 + 3,3 · 0,133 + 0,6 · 1,386 + 1,0 · 0,690</m:t>
          </m:r>
        </m:oMath>
      </m:oMathPara>
    </w:p>
    <w:p w14:paraId="0C774C73" w14:textId="3F90B3FC"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0,193 + 0,851 + 0,439 + 0,832 + 0,690 = 3,01</m:t>
          </m:r>
        </m:oMath>
      </m:oMathPara>
    </w:p>
    <w:p w14:paraId="57BC81F6" w14:textId="264027F6"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Значение Z = 3,01 незначительно превышает нижнюю границу зоны финансовой устойчивости (2,99). Компания находится вблизи пограничного значения, что в совокупности с умеренным текущим коэффициентом ликвидности и рисками переориентации рынков сбыта требует мониторинга. [43,50]. Результаты приведены в таблице 6 </w:t>
      </w:r>
    </w:p>
    <w:p w14:paraId="75D29E52"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6 — Финансовые показатели ПАО «ВСМПО-АВИСМА»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7865AEA4" w14:textId="77777777" w:rsidTr="001F656D">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10957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42E2C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803B3E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189DA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2B2ED33E"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9BDA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D245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1,77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8808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38F5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227CCC19"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ABDA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A782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F2FE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D87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 (граница)</w:t>
            </w:r>
          </w:p>
        </w:tc>
      </w:tr>
      <w:tr w:rsidR="0059624A" w:rsidRPr="004B6B88" w14:paraId="66A2AE15"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EB23A"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8181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FF21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7DCE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3F140ACC"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D5ADC"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36DB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5878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D5C1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3E6C42B"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EEFF8F"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F0DC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3,01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07CC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0F22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22EFA52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57008527" w14:textId="33D2395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удобства сравнительного анализа финансовые показатели всех пяти ключевых эмитентов портфеля сведены в таблице 7.</w:t>
      </w:r>
    </w:p>
    <w:p w14:paraId="4A0119B6"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7 — Сравнительный анализ финансовых показателей эмитентов за 2025 год</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100"/>
        <w:gridCol w:w="1200"/>
        <w:gridCol w:w="1592"/>
        <w:gridCol w:w="1417"/>
      </w:tblGrid>
      <w:tr w:rsidR="0059624A" w:rsidRPr="004B6B88" w14:paraId="69CD0679" w14:textId="77777777" w:rsidTr="008D7CA4">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442E3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ADB8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CR</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C84C81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QR</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FC7A3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b/>
                <w:bCs/>
                <w:sz w:val="24"/>
                <w:szCs w:val="24"/>
                <w:lang w:val="ru-RU"/>
              </w:rPr>
              <w:t>CashR</w:t>
            </w:r>
            <w:proofErr w:type="spellEnd"/>
          </w:p>
        </w:tc>
        <w:tc>
          <w:tcPr>
            <w:tcW w:w="159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E9466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ROE,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C3DCC2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Z-счёт</w:t>
            </w:r>
          </w:p>
        </w:tc>
      </w:tr>
      <w:tr w:rsidR="0059624A" w:rsidRPr="004B6B88" w14:paraId="1DE2E24A"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E2CCA"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9439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385D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1B48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0,92</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6DCA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33,6</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BF56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6,16</w:t>
            </w:r>
          </w:p>
        </w:tc>
      </w:tr>
      <w:tr w:rsidR="0059624A" w:rsidRPr="004B6B88" w14:paraId="40A82FCC"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FF14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6D8D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9EA4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E744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0,85</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F754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23,1</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2E21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5,71</w:t>
            </w:r>
          </w:p>
        </w:tc>
      </w:tr>
      <w:tr w:rsidR="0059624A" w:rsidRPr="004B6B88" w14:paraId="6273F77B"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E7BB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D678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18D75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B15C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0,48</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F4AF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39,5</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B86E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r>
      <w:tr w:rsidR="0059624A" w:rsidRPr="004B6B88" w14:paraId="75F9A3DD"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A0B2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B302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36FE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9F1E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0,30</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1E8E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18,2</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0084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1,16</w:t>
            </w:r>
          </w:p>
        </w:tc>
      </w:tr>
      <w:tr w:rsidR="00823BB7" w:rsidRPr="004B6B88" w14:paraId="0C3CC9AB"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C7906" w14:textId="0EC24C8E"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ПАО «ВСМПО-АВИСМА»</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ABC668" w14:textId="4EFFA46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1,77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742DE" w14:textId="4052BB77"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D3C9A" w14:textId="40EE98F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0,37</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AC6D3" w14:textId="1C6F730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16,3</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A4F30" w14:textId="7A9BD270"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3,01</w:t>
            </w:r>
          </w:p>
        </w:tc>
      </w:tr>
    </w:tbl>
    <w:p w14:paraId="65904F54"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3F2E0E1F" w14:textId="062F7461"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сводных данных позволяет сделать следующие выводы. Во-первых, стальные компании — Северсталь и ММК — демонстрируют наиболее устойчивые показатели ликвидности и минимальный кредитный риск по модели Альтмана, что делает их опорными позициями портфеля с точки зрения фундаментального качества. Во-вторых, Норильский никель обеспечивает наивысшую рентабельность капитала в выборке, однако его кредитный профиль по Z-счёту остаётся в зоне неопределённости ввиду значительного долгового бремени. В-третьих, ЭН+ демонстрирует признаки повышенного финансового риска: пониженная ликвидность, высокий леверидж и Z-счёт в зоне риска требуют взвешенной оценки доли этого </w:t>
      </w:r>
      <w:r>
        <w:rPr>
          <w:rFonts w:ascii="Times New Roman" w:eastAsia="Times New Roman" w:hAnsi="Times New Roman" w:cs="Times New Roman"/>
          <w:sz w:val="28"/>
          <w:szCs w:val="28"/>
          <w:lang w:val="ru-RU"/>
        </w:rPr>
        <w:lastRenderedPageBreak/>
        <w:t>эмитента в портфеле. ВСМПО-АВИСМА занимает промежуточную позицию с умеренными показателями и специфическими отраслевыми рисками, связанными с санкционным давлением на авиационный сектор.</w:t>
      </w:r>
    </w:p>
    <w:p w14:paraId="20E70143" w14:textId="7777777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p>
    <w:p w14:paraId="64E09F5D" w14:textId="77777777" w:rsidR="0059624A" w:rsidRPr="004B6B88" w:rsidRDefault="0059624A" w:rsidP="004B6B88">
      <w:pPr>
        <w:pStyle w:val="2"/>
        <w:spacing w:line="360" w:lineRule="auto"/>
        <w:rPr>
          <w:rFonts w:cs="Times New Roman"/>
          <w:lang w:val="ru-RU"/>
        </w:rPr>
      </w:pPr>
      <w:bookmarkStart w:id="8" w:name="_Toc233526125"/>
      <w:r>
        <w:rPr>
          <w:rFonts w:cs="Times New Roman"/>
          <w:lang w:val="ru-RU"/>
        </w:rPr>
        <w:t>2.3. Анализ показателей качества инвестиционного портфеля</w:t>
      </w:r>
      <w:bookmarkEnd w:id="8"/>
    </w:p>
    <w:p w14:paraId="3D6E517B" w14:textId="77777777" w:rsidR="0059624A" w:rsidRPr="004B6B88" w:rsidRDefault="0059624A" w:rsidP="004B6B88">
      <w:pPr>
        <w:spacing w:before="240" w:after="120" w:line="360" w:lineRule="auto"/>
        <w:jc w:val="center"/>
        <w:outlineLvl w:val="1"/>
        <w:rPr>
          <w:rFonts w:ascii="Times New Roman" w:eastAsia="Times New Roman" w:hAnsi="Times New Roman" w:cs="Times New Roman"/>
          <w:b/>
          <w:bCs/>
          <w:sz w:val="28"/>
          <w:szCs w:val="28"/>
          <w:lang w:val="ru-RU"/>
        </w:rPr>
      </w:pPr>
    </w:p>
    <w:p w14:paraId="184EA667" w14:textId="1B515202"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Оценка качества портфеля ОПИФ РФИ «ВИМ-Металлургия» проводится по методологии, разработанной в разделе 1.2: последовательно рассчитываются матрица корреляций активов, показатель Value </w:t>
      </w:r>
      <w:proofErr w:type="spellStart"/>
      <w:r>
        <w:rPr>
          <w:rFonts w:ascii="Times New Roman" w:eastAsia="Times New Roman" w:hAnsi="Times New Roman" w:cs="Times New Roman"/>
          <w:sz w:val="28"/>
          <w:szCs w:val="28"/>
          <w:lang w:val="ru-RU"/>
        </w:rPr>
        <w:t>at</w:t>
      </w:r>
      <w:proofErr w:type="spellEnd"/>
      <w:r>
        <w:rPr>
          <w:rFonts w:ascii="Times New Roman" w:eastAsia="Times New Roman" w:hAnsi="Times New Roman" w:cs="Times New Roman"/>
          <w:sz w:val="28"/>
          <w:szCs w:val="28"/>
          <w:lang w:val="ru-RU"/>
        </w:rPr>
        <w:t xml:space="preserve"> Risk, а также риск-скорректированные коэффициенты эффективности управления. Расчёты основаны на исторических данных о доходностях позиций портфеля за 2024–2025 годы (504 торговых дня) [47,50].</w:t>
      </w:r>
    </w:p>
    <w:p w14:paraId="1C527B50" w14:textId="4B471454"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Матрица корреляций. Для оценки внутренней диверсификации портфеля рассчитана матрица парных коэффициентов корреляции доходностей ключевых эмитентов по формуле (8): </w:t>
      </w:r>
      <m:oMath>
        <m:r>
          <w:rPr>
            <w:rFonts w:ascii="Cambria Math" w:eastAsia="Times New Roman" w:hAnsi="Cambria Math" w:cs="Times New Roman"/>
            <w:sz w:val="28"/>
            <w:szCs w:val="28"/>
            <w:lang w:val="ru-RU"/>
          </w:rPr>
          <m:t>ρᵢⱼ = Cov(Rᵢ, Rⱼ) / (σᵢ · σⱼ)</m:t>
        </m:r>
      </m:oMath>
      <w:r>
        <w:rPr>
          <w:rFonts w:ascii="Times New Roman" w:eastAsia="Times New Roman" w:hAnsi="Times New Roman" w:cs="Times New Roman"/>
          <w:sz w:val="28"/>
          <w:szCs w:val="28"/>
          <w:lang w:val="ru-RU"/>
        </w:rPr>
        <w:t>. В основу расчёта положены ежедневные логарифмические доходности акций за 2024–2025 годы. Полученные значения представлены в таблице 8[28].</w:t>
      </w:r>
    </w:p>
    <w:p w14:paraId="41BCEBD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235160E4"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8 — Матрица корреляций доходностей акций эмитентов портфеля (2024–2025 гг.)</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165"/>
        <w:gridCol w:w="1537"/>
        <w:gridCol w:w="1542"/>
        <w:gridCol w:w="1276"/>
        <w:gridCol w:w="1276"/>
      </w:tblGrid>
      <w:tr w:rsidR="0059624A" w:rsidRPr="004B6B88" w14:paraId="0232C259" w14:textId="77777777" w:rsidTr="008D7CA4">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FEC07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16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F2AE441"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Северсталь</w:t>
            </w:r>
          </w:p>
        </w:tc>
        <w:tc>
          <w:tcPr>
            <w:tcW w:w="15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838CF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ММК</w:t>
            </w:r>
          </w:p>
        </w:tc>
        <w:tc>
          <w:tcPr>
            <w:tcW w:w="15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0C2F901"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Норникель</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2D77414"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ЭН+</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8CFF80"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ВСМПО</w:t>
            </w:r>
          </w:p>
        </w:tc>
      </w:tr>
      <w:tr w:rsidR="0059624A" w:rsidRPr="004B6B88" w14:paraId="38F111E5"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5672B9"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Северсталь</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C0B5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CA569"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27095"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5C9E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0,587</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EE76E"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r>
      <w:tr w:rsidR="0059624A" w:rsidRPr="004B6B88" w14:paraId="27E4E75D"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85B1B"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ММК</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BD746"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E88A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E0C12"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1E35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0,561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C0B9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r>
      <w:tr w:rsidR="0059624A" w:rsidRPr="004B6B88" w14:paraId="28BAE030"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8C8FEA"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Норникель</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9AF2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1D012"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83F5F"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3EA8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0,743</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89CFA"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r>
      <w:tr w:rsidR="0059624A" w:rsidRPr="004B6B88" w14:paraId="4DC0C961"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76236"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ЭН+</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BF841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0,587</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3C25D9"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0,561</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4E375"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0,743</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6A918"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1A9ED"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0,341</w:t>
            </w:r>
          </w:p>
        </w:tc>
      </w:tr>
      <w:tr w:rsidR="0059624A" w:rsidRPr="004B6B88" w14:paraId="3959FDA2"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A77BC"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ВСМПО</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05DE8"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AF7BC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D3E3E"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99130"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0,341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3AEE9"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r>
    </w:tbl>
    <w:p w14:paraId="7E65056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C63F349" w14:textId="3684949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матрицы корреляций выявляет следующие закономерности. Попарная корреляция между двумя сталелитейными компаниями — Северсталью и ММК — составляет ρ = 0,874, что является высоким значением и свидетельствует о практически синхронном движении котировок. Это закономерно: обе компании реагируют на одни и те же внутренние и внешние драйверы — цены на сталь, строительный спрос и политику в отношении отрасли. Высокое значение ρ = 0,743 между Норильским никелем и ЭН+ объясняется структурной связью: алюминий и цветные металлы испытывают схожую зависимость от глобального промышленного спроса. Средние значения корреляции в диапазоне 0,56–0,63 между стальным и цветным </w:t>
      </w:r>
      <w:proofErr w:type="spellStart"/>
      <w:r>
        <w:rPr>
          <w:rFonts w:ascii="Times New Roman" w:eastAsia="Times New Roman" w:hAnsi="Times New Roman" w:cs="Times New Roman"/>
          <w:sz w:val="28"/>
          <w:szCs w:val="28"/>
          <w:lang w:val="ru-RU"/>
        </w:rPr>
        <w:t>субсекторами</w:t>
      </w:r>
      <w:proofErr w:type="spellEnd"/>
      <w:r>
        <w:rPr>
          <w:rFonts w:ascii="Times New Roman" w:eastAsia="Times New Roman" w:hAnsi="Times New Roman" w:cs="Times New Roman"/>
          <w:sz w:val="28"/>
          <w:szCs w:val="28"/>
          <w:lang w:val="ru-RU"/>
        </w:rPr>
        <w:t xml:space="preserve"> отражают определённую отраслевую взаимосвязь, обусловленную общей зависимостью от макроэкономического цикла.[35]</w:t>
      </w:r>
    </w:p>
    <w:p w14:paraId="317923A4" w14:textId="59C97ED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Наиболее низкие коэффициенты корреляции демонстрирует ВСМПО-АВИСМА (ρ = 0,341–0,412), что объясняется специфичностью её продуктового профиля и клиентской базы (авиационный сектор). Однако небольшой вес этой позиции (9,3%) в портфеле не позволяет ей оказать существенного </w:t>
      </w:r>
      <w:proofErr w:type="spellStart"/>
      <w:r>
        <w:rPr>
          <w:rFonts w:ascii="Times New Roman" w:eastAsia="Times New Roman" w:hAnsi="Times New Roman" w:cs="Times New Roman"/>
          <w:sz w:val="28"/>
          <w:szCs w:val="28"/>
          <w:lang w:val="ru-RU"/>
        </w:rPr>
        <w:t>диверсификационного</w:t>
      </w:r>
      <w:proofErr w:type="spellEnd"/>
      <w:r>
        <w:rPr>
          <w:rFonts w:ascii="Times New Roman" w:eastAsia="Times New Roman" w:hAnsi="Times New Roman" w:cs="Times New Roman"/>
          <w:sz w:val="28"/>
          <w:szCs w:val="28"/>
          <w:lang w:val="ru-RU"/>
        </w:rPr>
        <w:t xml:space="preserve"> воздействия на совокупный риск.[42]</w:t>
      </w:r>
    </w:p>
    <w:p w14:paraId="0F59288B" w14:textId="1E3BA9F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совокупности средняя попарная корреляция по портфелю составляет порядка 0,61, что соответствует высокому уровню взаимосвязи. Для сравнения: при полностью диверсифицированном портфеле из некоррелированных активов среднее ρ стремится к нулю. Значение 0,61 свидетельствует о том, что портфель Фонда в значительной мере является </w:t>
      </w:r>
      <w:r>
        <w:rPr>
          <w:rFonts w:ascii="Times New Roman" w:eastAsia="Times New Roman" w:hAnsi="Times New Roman" w:cs="Times New Roman"/>
          <w:sz w:val="28"/>
          <w:szCs w:val="28"/>
          <w:lang w:val="ru-RU"/>
        </w:rPr>
        <w:lastRenderedPageBreak/>
        <w:t>концентрированным отраслевым, а не диверсифицированным: в условиях общеотраслевого спада (например, падения глобального спроса на металлы или ужесточения санкций) большинство позиций будут снижаться одновременно.[28]</w:t>
      </w:r>
    </w:p>
    <w:p w14:paraId="6A75076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Параметры доходности и риска. На основе исторических данных за 2024–2025 годы рассчитаны основные параметры портфеля. Средневзвешенная дневная доходность портфеля составила </w:t>
      </w:r>
      <w:proofErr w:type="spellStart"/>
      <w:r>
        <w:rPr>
          <w:rFonts w:ascii="Times New Roman" w:eastAsia="Times New Roman" w:hAnsi="Times New Roman" w:cs="Times New Roman"/>
          <w:sz w:val="28"/>
          <w:szCs w:val="28"/>
          <w:lang w:val="ru-RU"/>
        </w:rPr>
        <w:t>μp</w:t>
      </w:r>
      <w:proofErr w:type="spellEnd"/>
      <w:r>
        <w:rPr>
          <w:rFonts w:ascii="Times New Roman" w:eastAsia="Times New Roman" w:hAnsi="Times New Roman" w:cs="Times New Roman"/>
          <w:sz w:val="28"/>
          <w:szCs w:val="28"/>
          <w:lang w:val="ru-RU"/>
        </w:rPr>
        <w:t xml:space="preserve"> = 0,029% (порядка 7,3% годовых). Стандартное отклонение дневных доходностей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 1,84%. Для сравнения: доходность индекса </w:t>
      </w:r>
      <w:proofErr w:type="spellStart"/>
      <w:r>
        <w:rPr>
          <w:rFonts w:ascii="Times New Roman" w:eastAsia="Times New Roman" w:hAnsi="Times New Roman" w:cs="Times New Roman"/>
          <w:sz w:val="28"/>
          <w:szCs w:val="28"/>
          <w:lang w:val="ru-RU"/>
        </w:rPr>
        <w:t>МосБиржи</w:t>
      </w:r>
      <w:proofErr w:type="spellEnd"/>
      <w:r>
        <w:rPr>
          <w:rFonts w:ascii="Times New Roman" w:eastAsia="Times New Roman" w:hAnsi="Times New Roman" w:cs="Times New Roman"/>
          <w:sz w:val="28"/>
          <w:szCs w:val="28"/>
          <w:lang w:val="ru-RU"/>
        </w:rPr>
        <w:t xml:space="preserve"> за тот же период составила около 4,1% годовых при </w:t>
      </w:r>
      <w:proofErr w:type="spellStart"/>
      <w:r>
        <w:rPr>
          <w:rFonts w:ascii="Times New Roman" w:eastAsia="Times New Roman" w:hAnsi="Times New Roman" w:cs="Times New Roman"/>
          <w:sz w:val="28"/>
          <w:szCs w:val="28"/>
          <w:lang w:val="ru-RU"/>
        </w:rPr>
        <w:t>σm</w:t>
      </w:r>
      <w:proofErr w:type="spellEnd"/>
      <w:r>
        <w:rPr>
          <w:rFonts w:ascii="Times New Roman" w:eastAsia="Times New Roman" w:hAnsi="Times New Roman" w:cs="Times New Roman"/>
          <w:sz w:val="28"/>
          <w:szCs w:val="28"/>
          <w:lang w:val="ru-RU"/>
        </w:rPr>
        <w:t xml:space="preserve"> = 1,52%.</w:t>
      </w:r>
    </w:p>
    <w:p w14:paraId="26AAE3E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Дисперсия портфеля рассчитана по формуле (7): σ²p = ΣᵢΣⱼ wᵢ · wⱼ · </w:t>
      </w:r>
      <w:proofErr w:type="spellStart"/>
      <w:proofErr w:type="gramStart"/>
      <w:r>
        <w:rPr>
          <w:rFonts w:ascii="Times New Roman" w:eastAsia="Times New Roman" w:hAnsi="Times New Roman" w:cs="Times New Roman"/>
          <w:sz w:val="28"/>
          <w:szCs w:val="28"/>
          <w:lang w:val="ru-RU"/>
        </w:rPr>
        <w:t>Cov</w:t>
      </w:r>
      <w:proofErr w:type="spellEnd"/>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Rᵢ, Rⱼ), где веса wᵢ соответствуют структуре портфеля на 31.12.2025. Полученное значение σ²p = 0,000338 (в единицах дневных доходностей) соответствует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 1,84%. Более высокая волатильность портфеля по сравнению с рыночным индексом (</w:t>
      </w:r>
      <w:proofErr w:type="spellStart"/>
      <w:r>
        <w:rPr>
          <w:rFonts w:ascii="Times New Roman" w:eastAsia="Times New Roman" w:hAnsi="Times New Roman" w:cs="Times New Roman"/>
          <w:sz w:val="28"/>
          <w:szCs w:val="28"/>
          <w:lang w:val="ru-RU"/>
        </w:rPr>
        <w:t>σm</w:t>
      </w:r>
      <w:proofErr w:type="spellEnd"/>
      <w:r>
        <w:rPr>
          <w:rFonts w:ascii="Times New Roman" w:eastAsia="Times New Roman" w:hAnsi="Times New Roman" w:cs="Times New Roman"/>
          <w:sz w:val="28"/>
          <w:szCs w:val="28"/>
          <w:lang w:val="ru-RU"/>
        </w:rPr>
        <w:t xml:space="preserve"> = 1,52%) подтверждает агрессивный профиль отраслевого фонда.</w:t>
      </w:r>
    </w:p>
    <w:p w14:paraId="53DF90DB" w14:textId="77777777" w:rsidR="003E1833"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Показатель Value </w:t>
      </w:r>
      <w:proofErr w:type="spellStart"/>
      <w:r>
        <w:rPr>
          <w:rFonts w:ascii="Times New Roman" w:eastAsia="Times New Roman" w:hAnsi="Times New Roman" w:cs="Times New Roman"/>
          <w:sz w:val="28"/>
          <w:szCs w:val="28"/>
          <w:lang w:val="ru-RU"/>
        </w:rPr>
        <w:t>at</w:t>
      </w:r>
      <w:proofErr w:type="spellEnd"/>
      <w:r>
        <w:rPr>
          <w:rFonts w:ascii="Times New Roman" w:eastAsia="Times New Roman" w:hAnsi="Times New Roman" w:cs="Times New Roman"/>
          <w:sz w:val="28"/>
          <w:szCs w:val="28"/>
          <w:lang w:val="ru-RU"/>
        </w:rPr>
        <w:t xml:space="preserve"> Risk. Параметрический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рассчитан по формуле (11): </w:t>
      </w:r>
      <m:oMath>
        <m:r>
          <w:rPr>
            <w:rFonts w:ascii="Cambria Math" w:eastAsia="Times New Roman" w:hAnsi="Cambria Math" w:cs="Times New Roman"/>
            <w:sz w:val="28"/>
            <w:szCs w:val="28"/>
            <w:lang w:val="ru-RU"/>
          </w:rPr>
          <m:t xml:space="preserve">VaR(α, T) = -(μp · T - zα · σp · √T) · V, где T = 1 торговый день, α = 5%, zα = 1,645, V = 860 млн руб. (СЧА на 31.12.2025). </m:t>
        </m:r>
      </m:oMath>
    </w:p>
    <w:p w14:paraId="04F4C4D9" w14:textId="3D2F1FB1"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Подстановка значений:</w:t>
      </w:r>
    </w:p>
    <w:p w14:paraId="3D305C59" w14:textId="27976380"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-(0,00029 · 1 - 1,645 · 0,0184 · √1) · 860 000 000</m:t>
          </m:r>
        </m:oMath>
      </m:oMathPara>
    </w:p>
    <w:p w14:paraId="03539FEC" w14:textId="6DBB1FF5"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-(0,00029 - 0,03027) · 860 000 000</m:t>
          </m:r>
        </m:oMath>
      </m:oMathPara>
    </w:p>
    <w:p w14:paraId="3A2ACF31" w14:textId="4895FD9C"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-(-0,02998) · 860 000 000 = 25,78 млн руб.</m:t>
          </m:r>
        </m:oMath>
      </m:oMathPara>
    </w:p>
    <w:p w14:paraId="175B55F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Экономическая интерпретация: при нормальных рыночных условиях с вероятностью 95% однодневные потери портфеля не превысят 25,78 млн </w:t>
      </w:r>
      <w:r>
        <w:rPr>
          <w:rFonts w:ascii="Times New Roman" w:eastAsia="Times New Roman" w:hAnsi="Times New Roman" w:cs="Times New Roman"/>
          <w:sz w:val="28"/>
          <w:szCs w:val="28"/>
          <w:lang w:val="ru-RU"/>
        </w:rPr>
        <w:lastRenderedPageBreak/>
        <w:t>рублей, или 3,0% от СЧА. Для горизонта T = 20 торговых дней (календарный месяц) VaR масштабируется с применением правила квадратного корня:</w:t>
      </w:r>
    </w:p>
    <w:p w14:paraId="25FD699A" w14:textId="737826AE"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-(0,00029 · 20 - 1,645 · 0,0184 · √20) · 860 000 000</m:t>
          </m:r>
        </m:oMath>
      </m:oMathPara>
    </w:p>
    <w:p w14:paraId="05C90B5F" w14:textId="2B5D6BEB"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-(0,0058 - 0,13534) · 860 000 000 = 111,1 млн руб.</m:t>
          </m:r>
        </m:oMath>
      </m:oMathPara>
    </w:p>
    <w:p w14:paraId="0CC5E78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Таким образом, с вероятностью 95% в течение одного торгового месяца потери портфеля не превысят 111,1 млн рублей, или 12,9% от СЧА. Данное значение является значимым для портфеля с отраслевой концентрацией и подчёркивает необходимость мониторинга и управления рисками.</w:t>
      </w:r>
    </w:p>
    <w:p w14:paraId="1F4EBE8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качестве безрисковой ставки принята доходность годовых ОФЗ на конец 2025 года: </w:t>
      </w:r>
      <w:proofErr w:type="spellStart"/>
      <w:r>
        <w:rPr>
          <w:rFonts w:ascii="Times New Roman" w:eastAsia="Times New Roman" w:hAnsi="Times New Roman" w:cs="Times New Roman"/>
          <w:sz w:val="28"/>
          <w:szCs w:val="28"/>
          <w:lang w:val="ru-RU"/>
        </w:rPr>
        <w:t>Rf</w:t>
      </w:r>
      <w:proofErr w:type="spellEnd"/>
      <w:r>
        <w:rPr>
          <w:rFonts w:ascii="Times New Roman" w:eastAsia="Times New Roman" w:hAnsi="Times New Roman" w:cs="Times New Roman"/>
          <w:sz w:val="28"/>
          <w:szCs w:val="28"/>
          <w:lang w:val="ru-RU"/>
        </w:rPr>
        <w:t xml:space="preserve"> = 16,5% годовых (0,0654% в день). Доходность индекса </w:t>
      </w:r>
      <w:proofErr w:type="spellStart"/>
      <w:r>
        <w:rPr>
          <w:rFonts w:ascii="Times New Roman" w:eastAsia="Times New Roman" w:hAnsi="Times New Roman" w:cs="Times New Roman"/>
          <w:sz w:val="28"/>
          <w:szCs w:val="28"/>
          <w:lang w:val="ru-RU"/>
        </w:rPr>
        <w:t>МосБиржи</w:t>
      </w:r>
      <w:proofErr w:type="spellEnd"/>
      <w:r>
        <w:rPr>
          <w:rFonts w:ascii="Times New Roman" w:eastAsia="Times New Roman" w:hAnsi="Times New Roman" w:cs="Times New Roman"/>
          <w:sz w:val="28"/>
          <w:szCs w:val="28"/>
          <w:lang w:val="ru-RU"/>
        </w:rPr>
        <w:t xml:space="preserve"> (металлургия) принята в качестве рыночного бенчмарка: </w:t>
      </w:r>
      <w:proofErr w:type="spellStart"/>
      <w:r>
        <w:rPr>
          <w:rFonts w:ascii="Times New Roman" w:eastAsia="Times New Roman" w:hAnsi="Times New Roman" w:cs="Times New Roman"/>
          <w:sz w:val="28"/>
          <w:szCs w:val="28"/>
          <w:lang w:val="ru-RU"/>
        </w:rPr>
        <w:t>Rm</w:t>
      </w:r>
      <w:proofErr w:type="spellEnd"/>
      <w:r>
        <w:rPr>
          <w:rFonts w:ascii="Times New Roman" w:eastAsia="Times New Roman" w:hAnsi="Times New Roman" w:cs="Times New Roman"/>
          <w:sz w:val="28"/>
          <w:szCs w:val="28"/>
          <w:lang w:val="ru-RU"/>
        </w:rPr>
        <w:t xml:space="preserve"> = 4,1% годовых.</w:t>
      </w:r>
    </w:p>
    <w:p w14:paraId="2AEF9D74" w14:textId="233541A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Шарпа по формуле (12): </w:t>
      </w:r>
      <m:oMath>
        <m:r>
          <w:rPr>
            <w:rFonts w:ascii="Cambria Math" w:eastAsia="Times New Roman" w:hAnsi="Cambria Math" w:cs="Times New Roman"/>
            <w:sz w:val="28"/>
            <w:szCs w:val="28"/>
            <w:lang w:val="ru-RU"/>
          </w:rPr>
          <m:t>Sharpe = (Rp - Rf) / σp.</m:t>
        </m:r>
      </m:oMath>
      <w:r>
        <w:rPr>
          <w:rFonts w:ascii="Times New Roman" w:eastAsia="Times New Roman" w:hAnsi="Times New Roman" w:cs="Times New Roman"/>
          <w:sz w:val="28"/>
          <w:szCs w:val="28"/>
          <w:lang w:val="ru-RU"/>
        </w:rPr>
        <w:t xml:space="preserve"> Приводятся годовые значения: </w:t>
      </w:r>
      <m:oMath>
        <m:r>
          <w:rPr>
            <w:rFonts w:ascii="Cambria Math" w:eastAsia="Times New Roman" w:hAnsi="Cambria Math" w:cs="Times New Roman"/>
            <w:sz w:val="28"/>
            <w:szCs w:val="28"/>
            <w:lang w:val="ru-RU"/>
          </w:rPr>
          <m:t>Rp = 7,3%; Rf = 16,5%; σp годовое = 1,84% · √252 = 29,2%.</m:t>
        </m:r>
      </m:oMath>
    </w:p>
    <w:p w14:paraId="45783A44" w14:textId="7E80E642"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Sharpe = (7,3% - 16,5%) / 29,2% = -9,2% / 29,2% = -0,315</m:t>
          </m:r>
        </m:oMath>
      </m:oMathPara>
    </w:p>
    <w:p w14:paraId="3060155A"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Отрицательное значение коэффициента Шарпа (−0,315) означает, что за анализируемый период портфель Фонда не компенсировал инвесторам альтернативную стоимость капитала: доходность портфеля оказалась ниже безрисковой ставки. Это является следствием высокого уровня ключевой ставки Банка России, существенно повысившего «планку» безрисковой доходности (ОФЗ, депозиты), а не только результатом управленческих решений по портфелю.</w:t>
      </w:r>
    </w:p>
    <w:p w14:paraId="711FDE95" w14:textId="7CB436A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по формуле (13): </w:t>
      </w:r>
      <m:oMath>
        <m:r>
          <w:rPr>
            <w:rFonts w:ascii="Cambria Math" w:eastAsia="Times New Roman" w:hAnsi="Cambria Math" w:cs="Times New Roman"/>
            <w:sz w:val="28"/>
            <w:szCs w:val="28"/>
            <w:lang w:val="ru-RU"/>
          </w:rPr>
          <m:t>Sortino = (Rp - Rf) / σd</m:t>
        </m:r>
      </m:oMath>
      <w:r>
        <w:rPr>
          <w:rFonts w:ascii="Times New Roman" w:eastAsia="Times New Roman" w:hAnsi="Times New Roman" w:cs="Times New Roman"/>
          <w:sz w:val="28"/>
          <w:szCs w:val="28"/>
          <w:lang w:val="ru-RU"/>
        </w:rPr>
        <w:t>. Полустандартное отклонение σd рассчитано только по дням с отрицательной доходностью: σd = 1,24% в день, или 19,7% годовых.</w:t>
      </w:r>
    </w:p>
    <w:p w14:paraId="6EAADF81" w14:textId="35493642"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w:lastRenderedPageBreak/>
            <m:t>Sortino = (7,3% - 16,5%) / 19,7% = -9,2% / 19,7% = -0,467</m:t>
          </m:r>
        </m:oMath>
      </m:oMathPara>
    </w:p>
    <w:p w14:paraId="2C4D4EE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также принимает отрицательное значение (−0,467), что согласуется с результатом по Шарпу. При этом его абсолютное значение выше, что отражает существенную долю отрицательных отклонений в распределении доходностей.</w:t>
      </w:r>
    </w:p>
    <w:p w14:paraId="2CD9A5B4" w14:textId="3C05E20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Бета-коэффициент портфеля по формуле (10): </w:t>
      </w:r>
      <m:oMath>
        <m:r>
          <w:rPr>
            <w:rFonts w:ascii="Cambria Math" w:eastAsia="Times New Roman" w:hAnsi="Cambria Math" w:cs="Times New Roman"/>
            <w:sz w:val="28"/>
            <w:szCs w:val="28"/>
            <w:lang w:val="ru-RU"/>
          </w:rPr>
          <m:t>βp = Cov(Rp, Rm) / Var(Rm)</m:t>
        </m:r>
      </m:oMath>
      <w:r>
        <w:rPr>
          <w:rFonts w:ascii="Times New Roman" w:eastAsia="Times New Roman" w:hAnsi="Times New Roman" w:cs="Times New Roman"/>
          <w:sz w:val="28"/>
          <w:szCs w:val="28"/>
          <w:lang w:val="ru-RU"/>
        </w:rPr>
        <w:t>. На основе регрессии дневных доходностей портфеля на доходности индекса МосБиржи:</w:t>
      </w:r>
    </w:p>
    <w:p w14:paraId="34B6A86F" w14:textId="6EA1F576"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βp = 0,000312 / 0,000231 = 1,35</m:t>
          </m:r>
        </m:oMath>
      </m:oMathPara>
    </w:p>
    <w:p w14:paraId="5E686D15"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βp = 1,35 свидетельствует о том, что портфель более чувствителен к рыночным движениям, чем бенчмарк: при росте индекса на 1% портфель в среднем прирастает на 1,35%, при падении — снижается соразмерно. Это типично для концентрированного отраслевого фонда сырьевого сектора.</w:t>
      </w:r>
    </w:p>
    <w:p w14:paraId="672DB8C3" w14:textId="008EED0F"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Коэффициент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по формуле (14): </w:t>
      </w:r>
      <m:oMath>
        <m:r>
          <w:rPr>
            <w:rFonts w:ascii="Cambria Math" w:eastAsia="Times New Roman" w:hAnsi="Cambria Math" w:cs="Times New Roman"/>
            <w:sz w:val="28"/>
            <w:szCs w:val="28"/>
            <w:lang w:val="ru-RU"/>
          </w:rPr>
          <m:t>Treynor = (Rp - Rf) / βp:</m:t>
        </m:r>
      </m:oMath>
    </w:p>
    <w:p w14:paraId="6015ED86" w14:textId="6D850E3F"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Treynor = (7,3% - 16,5%) / 1,35 = -9,2% / 1,35 = -6,81%</m:t>
          </m:r>
        </m:oMath>
      </m:oMathPara>
    </w:p>
    <w:p w14:paraId="444621F8" w14:textId="332CF9C7"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Альфа Дженсена по формуле (15): </w:t>
      </w:r>
      <m:oMath>
        <m:r>
          <w:rPr>
            <w:rFonts w:ascii="Cambria Math" w:eastAsia="Times New Roman" w:hAnsi="Cambria Math" w:cs="Times New Roman"/>
            <w:sz w:val="28"/>
            <w:szCs w:val="28"/>
            <w:lang w:val="ru-RU"/>
          </w:rPr>
          <m:t>α = Rp - [Rf + βp · (Rm - Rf)]:</m:t>
        </m:r>
      </m:oMath>
    </w:p>
    <w:p w14:paraId="5191FD56" w14:textId="74341594"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α = 7,3% - [16,5% + 1,35 · (4,1% - 16,5%)]</m:t>
          </m:r>
        </m:oMath>
      </m:oMathPara>
    </w:p>
    <w:p w14:paraId="68B0A8B4" w14:textId="0918A859"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α = 7,3% - [16,5% + 1,35 · (-12,4%)] = 7,3% - [16,5% - 16,74%] = 7,3% - (-0,24%) = 7,54%</m:t>
          </m:r>
        </m:oMath>
      </m:oMathPara>
    </w:p>
    <w:p w14:paraId="5C44E0C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Положительная альфа Дженсена (α = 7,54%) в сложившихся условиях означает, что с поправкой на CAPM портфель показал доходность выше теоретически предсказанной для его уровня систематического риска. Данный результат обусловлен прежде всего тем, что CAPM-прогноз при </w:t>
      </w:r>
      <w:r>
        <w:rPr>
          <w:rFonts w:ascii="Times New Roman" w:eastAsia="Times New Roman" w:hAnsi="Times New Roman" w:cs="Times New Roman"/>
          <w:sz w:val="28"/>
          <w:szCs w:val="28"/>
          <w:lang w:val="ru-RU"/>
        </w:rPr>
        <w:lastRenderedPageBreak/>
        <w:t xml:space="preserve">отрицательной ожидаемой рыночной премии (Rm </w:t>
      </w:r>
      <w:proofErr w:type="gramStart"/>
      <w:r>
        <w:rPr>
          <w:rFonts w:ascii="Times New Roman" w:eastAsia="Times New Roman" w:hAnsi="Times New Roman" w:cs="Times New Roman"/>
          <w:sz w:val="28"/>
          <w:szCs w:val="28"/>
          <w:lang w:val="ru-RU"/>
        </w:rPr>
        <w:t>&lt; Rf</w:t>
      </w:r>
      <w:proofErr w:type="gramEnd"/>
      <w:r>
        <w:rPr>
          <w:rFonts w:ascii="Times New Roman" w:eastAsia="Times New Roman" w:hAnsi="Times New Roman" w:cs="Times New Roman"/>
          <w:sz w:val="28"/>
          <w:szCs w:val="28"/>
          <w:lang w:val="ru-RU"/>
        </w:rPr>
        <w:t>) предсказывал ещё более низкую доходность, чем фактически реализованная. Таким образом, положительная альфа в данном контексте не является свидетельством «победы над рынком» в классическом смысле, а отражает особенности применения CAPM в среде высоких безрисковых ставок.</w:t>
      </w:r>
    </w:p>
    <w:p w14:paraId="596FEE89"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Показатель максимальной просадки. За период 2024–2025 годов максимальная стоимость портфеля (</w:t>
      </w:r>
      <w:proofErr w:type="spellStart"/>
      <w:r>
        <w:rPr>
          <w:rFonts w:ascii="Times New Roman" w:eastAsia="Times New Roman" w:hAnsi="Times New Roman" w:cs="Times New Roman"/>
          <w:sz w:val="28"/>
          <w:szCs w:val="28"/>
          <w:lang w:val="ru-RU"/>
        </w:rPr>
        <w:t>Vpeak</w:t>
      </w:r>
      <w:proofErr w:type="spellEnd"/>
      <w:r>
        <w:rPr>
          <w:rFonts w:ascii="Times New Roman" w:eastAsia="Times New Roman" w:hAnsi="Times New Roman" w:cs="Times New Roman"/>
          <w:sz w:val="28"/>
          <w:szCs w:val="28"/>
          <w:lang w:val="ru-RU"/>
        </w:rPr>
        <w:t>) фиксировалась в мае 2024 года и составляла 940 млн руб. Минимальное значение СЧА (</w:t>
      </w:r>
      <w:proofErr w:type="spellStart"/>
      <w:r>
        <w:rPr>
          <w:rFonts w:ascii="Times New Roman" w:eastAsia="Times New Roman" w:hAnsi="Times New Roman" w:cs="Times New Roman"/>
          <w:sz w:val="28"/>
          <w:szCs w:val="28"/>
          <w:lang w:val="ru-RU"/>
        </w:rPr>
        <w:t>Vtrough</w:t>
      </w:r>
      <w:proofErr w:type="spellEnd"/>
      <w:r>
        <w:rPr>
          <w:rFonts w:ascii="Times New Roman" w:eastAsia="Times New Roman" w:hAnsi="Times New Roman" w:cs="Times New Roman"/>
          <w:sz w:val="28"/>
          <w:szCs w:val="28"/>
          <w:lang w:val="ru-RU"/>
        </w:rPr>
        <w:t>) после этого пика было зафиксировано в октябре 2024 года на уровне 742 млн руб. По формуле (16):</w:t>
      </w:r>
    </w:p>
    <w:p w14:paraId="361ED91C" w14:textId="0B270A95"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MDD = (940 - 742) / 940 = 198 / 940 = 0,211, или 21,1%</m:t>
          </m:r>
        </m:oMath>
      </m:oMathPara>
    </w:p>
    <w:p w14:paraId="587BCAC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Максимальная просадка в 21,1% является значимым показателем риска: инвестор, вошедший в фонд на пике мая 2024 года, потерял бы пятую часть вложенного капитала к октябрю 2024 года. Данная величина просадки характерна для концентрированных отраслевых фондов в периоды отраслевых коррекций и должна быть принята во внимание при риск-профилировании пайщиков.</w:t>
      </w:r>
    </w:p>
    <w:p w14:paraId="201E482C" w14:textId="5A53A8D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Все рассчитанные портфельные показатели сведены в таблице 9 для удобства интерпретации.[35]</w:t>
      </w:r>
    </w:p>
    <w:p w14:paraId="44C395B4"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9 — Сводные показатели качества портфеля ОПИФ РФИ «ВИМ-Металлургия» (2024–2025 гг.)</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51"/>
      </w:tblGrid>
      <w:tr w:rsidR="0059624A" w:rsidRPr="004B6B88" w14:paraId="763A83BD" w14:textId="77777777" w:rsidTr="008D7CA4">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E52EC7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E455A8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38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5AFD99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Интерпретация</w:t>
            </w:r>
          </w:p>
        </w:tc>
      </w:tr>
      <w:tr w:rsidR="0059624A" w:rsidRPr="004B6B88" w14:paraId="7A71BCB4"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CD17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Доходность портфеля (</w:t>
            </w:r>
            <w:proofErr w:type="spellStart"/>
            <w:r>
              <w:rPr>
                <w:rFonts w:ascii="Times New Roman" w:eastAsia="Times New Roman" w:hAnsi="Times New Roman" w:cs="Times New Roman"/>
                <w:sz w:val="24"/>
                <w:szCs w:val="24"/>
                <w:lang w:val="ru-RU"/>
              </w:rPr>
              <w:t>Rp</w:t>
            </w:r>
            <w:proofErr w:type="spellEnd"/>
            <w:r>
              <w:rPr>
                <w:rFonts w:ascii="Times New Roman" w:eastAsia="Times New Roman" w:hAnsi="Times New Roman" w:cs="Times New Roman"/>
                <w:sz w:val="24"/>
                <w:szCs w:val="24"/>
                <w:lang w:val="ru-RU"/>
              </w:rPr>
              <w:t>), % год.</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B7F3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7,3</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B5BE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безрисковой ставки</w:t>
            </w:r>
          </w:p>
        </w:tc>
      </w:tr>
      <w:tr w:rsidR="0059624A" w:rsidRPr="004B6B88" w14:paraId="2E68CE69"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1350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Стандартное отклонение (</w:t>
            </w:r>
            <w:proofErr w:type="spellStart"/>
            <w:r>
              <w:rPr>
                <w:rFonts w:ascii="Times New Roman" w:eastAsia="Times New Roman" w:hAnsi="Times New Roman" w:cs="Times New Roman"/>
                <w:sz w:val="24"/>
                <w:szCs w:val="24"/>
                <w:lang w:val="ru-RU"/>
              </w:rPr>
              <w:t>σp</w:t>
            </w:r>
            <w:proofErr w:type="spellEnd"/>
            <w:r>
              <w:rPr>
                <w:rFonts w:ascii="Times New Roman" w:eastAsia="Times New Roman" w:hAnsi="Times New Roman" w:cs="Times New Roman"/>
                <w:sz w:val="24"/>
                <w:szCs w:val="24"/>
                <w:lang w:val="ru-RU"/>
              </w:rPr>
              <w:t>), % год.</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C669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29,2</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9BF3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 уровень риска</w:t>
            </w:r>
          </w:p>
        </w:tc>
      </w:tr>
      <w:tr w:rsidR="0059624A" w:rsidRPr="004B6B88" w14:paraId="546C4615"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3658B"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1 день), млн руб.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B3F5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25,78</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9CF2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3,0% от СЧА</w:t>
            </w:r>
          </w:p>
        </w:tc>
      </w:tr>
      <w:tr w:rsidR="0059624A" w:rsidRPr="004B6B88" w14:paraId="4406B5B1"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981B3"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20 дней), млн руб.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1835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111,1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8C69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12,9% от СЧА</w:t>
            </w:r>
          </w:p>
        </w:tc>
      </w:tr>
      <w:tr w:rsidR="0059624A" w:rsidRPr="004B6B88" w14:paraId="69C6917C"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51B4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Бета-коэффициент (βp)</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4FDD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AE2A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Агрессивный профиль</w:t>
            </w:r>
          </w:p>
        </w:tc>
      </w:tr>
      <w:tr w:rsidR="0059624A" w:rsidRPr="004B6B88" w14:paraId="0FFF685D"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83A5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Шарпа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1B0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−0,315</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91F8B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безрискового актива</w:t>
            </w:r>
          </w:p>
        </w:tc>
      </w:tr>
      <w:tr w:rsidR="0059624A" w:rsidRPr="004B6B88" w14:paraId="0A340918"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37021"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Коэффициент </w:t>
            </w:r>
            <w:proofErr w:type="spellStart"/>
            <w:r>
              <w:rPr>
                <w:rFonts w:ascii="Times New Roman" w:eastAsia="Times New Roman" w:hAnsi="Times New Roman" w:cs="Times New Roman"/>
                <w:sz w:val="24"/>
                <w:szCs w:val="24"/>
                <w:lang w:val="ru-RU"/>
              </w:rPr>
              <w:t>Сортино</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01929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−0,467</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21E5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Значимый </w:t>
            </w:r>
            <w:proofErr w:type="spellStart"/>
            <w:r>
              <w:rPr>
                <w:rFonts w:ascii="Times New Roman" w:eastAsia="Times New Roman" w:hAnsi="Times New Roman" w:cs="Times New Roman"/>
                <w:sz w:val="24"/>
                <w:szCs w:val="24"/>
                <w:lang w:val="ru-RU"/>
              </w:rPr>
              <w:t>downside</w:t>
            </w:r>
            <w:proofErr w:type="spellEnd"/>
            <w:r>
              <w:rPr>
                <w:rFonts w:ascii="Times New Roman" w:eastAsia="Times New Roman" w:hAnsi="Times New Roman" w:cs="Times New Roman"/>
                <w:sz w:val="24"/>
                <w:szCs w:val="24"/>
                <w:lang w:val="ru-RU"/>
              </w:rPr>
              <w:t xml:space="preserve"> </w:t>
            </w:r>
            <w:proofErr w:type="spellStart"/>
            <w:r>
              <w:rPr>
                <w:rFonts w:ascii="Times New Roman" w:eastAsia="Times New Roman" w:hAnsi="Times New Roman" w:cs="Times New Roman"/>
                <w:sz w:val="24"/>
                <w:szCs w:val="24"/>
                <w:lang w:val="ru-RU"/>
              </w:rPr>
              <w:t>risk</w:t>
            </w:r>
            <w:proofErr w:type="spellEnd"/>
          </w:p>
        </w:tc>
      </w:tr>
      <w:tr w:rsidR="0059624A" w:rsidRPr="00BA7AD7" w14:paraId="71A8DF2E"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D847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Коэффициент </w:t>
            </w:r>
            <w:proofErr w:type="spellStart"/>
            <w:r>
              <w:rPr>
                <w:rFonts w:ascii="Times New Roman" w:eastAsia="Times New Roman" w:hAnsi="Times New Roman" w:cs="Times New Roman"/>
                <w:sz w:val="24"/>
                <w:szCs w:val="24"/>
                <w:lang w:val="ru-RU"/>
              </w:rPr>
              <w:t>Трейнора</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F52D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−6,81%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925B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Отриц. на ед. </w:t>
            </w:r>
            <w:proofErr w:type="spellStart"/>
            <w:r>
              <w:rPr>
                <w:rFonts w:ascii="Times New Roman" w:eastAsia="Times New Roman" w:hAnsi="Times New Roman" w:cs="Times New Roman"/>
                <w:sz w:val="24"/>
                <w:szCs w:val="24"/>
                <w:lang w:val="ru-RU"/>
              </w:rPr>
              <w:t>сист</w:t>
            </w:r>
            <w:proofErr w:type="spellEnd"/>
            <w:r>
              <w:rPr>
                <w:rFonts w:ascii="Times New Roman" w:eastAsia="Times New Roman" w:hAnsi="Times New Roman" w:cs="Times New Roman"/>
                <w:sz w:val="24"/>
                <w:szCs w:val="24"/>
                <w:lang w:val="ru-RU"/>
              </w:rPr>
              <w:t>. риска</w:t>
            </w:r>
          </w:p>
        </w:tc>
      </w:tr>
      <w:tr w:rsidR="0059624A" w:rsidRPr="004B6B88" w14:paraId="47E920EA"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6D1B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Альфа Дженсена (α)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8F40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+7,54%</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6D5E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Выше CAPM-прогноза</w:t>
            </w:r>
          </w:p>
        </w:tc>
      </w:tr>
      <w:tr w:rsidR="0059624A" w:rsidRPr="004B6B88" w14:paraId="1CED7B6D"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07F9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Максимальная просадка (MDD)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C4BE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8BAA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Значимый риск просадки</w:t>
            </w:r>
          </w:p>
        </w:tc>
      </w:tr>
      <w:tr w:rsidR="0059624A" w:rsidRPr="004B6B88" w14:paraId="1D4535BE"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4C782"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Средн. корреляция в портфеле</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86A7F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0,61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5504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Высокая взаимозависимость</w:t>
            </w:r>
          </w:p>
        </w:tc>
      </w:tr>
    </w:tbl>
    <w:p w14:paraId="57F3782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032B893A" w14:textId="1B0F1E0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Совокупность полученных показателей формирует следующую картину качества портфеля. Фонд демонстрирует высокую волатильность (</w:t>
      </w:r>
      <m:oMath>
        <m:r>
          <w:rPr>
            <w:rFonts w:ascii="Cambria Math" w:eastAsia="Times New Roman" w:hAnsi="Cambria Math" w:cs="Times New Roman"/>
            <w:sz w:val="28"/>
            <w:szCs w:val="28"/>
            <w:lang w:val="ru-RU"/>
          </w:rPr>
          <m:t xml:space="preserve">σp = 29,2% </m:t>
        </m:r>
      </m:oMath>
      <w:r>
        <w:rPr>
          <w:rFonts w:ascii="Times New Roman" w:eastAsia="Times New Roman" w:hAnsi="Times New Roman" w:cs="Times New Roman"/>
          <w:sz w:val="28"/>
          <w:szCs w:val="28"/>
          <w:lang w:val="ru-RU"/>
        </w:rPr>
        <w:t>годовых) и значимые риски просадки (MDD = 21,1%, VaR = 12,9% СЧА за месяц), обусловленные концентрированной отраслевой структурой с высокой попарной корреляцией активов (среднее ρ ≈ 0,61). В анализируемый период абсолютная доходность портфеля (7,3% годовых) не компенсировала безрисковую ставку (16,5%), что выражается в отрицательных коэффициентах Шарпа, Сортино и Трейнора. Данные результаты не являются уникальной особенностью управления фондом, а отражают как общее давление высокой ключевой ставки на фондовый рынок, так и специфические отраслевые факторы — санкционные ограничения, коррекцию цен на металлы и замедление строительного спроса.[40]</w:t>
      </w:r>
    </w:p>
    <w:p w14:paraId="770A11E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Вывод по второй главе. Проведённый анализ позволяет сформулировать следующие ключевые выводы. Во-первых, с точки зрения фундаментального состояния эмитентов портфель является неоднородным: Северсталь и ММК демонстрируют высокую финансовую устойчивость (</w:t>
      </w:r>
      <w:proofErr w:type="gramStart"/>
      <w:r>
        <w:rPr>
          <w:rFonts w:ascii="Times New Roman" w:eastAsia="Times New Roman" w:hAnsi="Times New Roman" w:cs="Times New Roman"/>
          <w:sz w:val="28"/>
          <w:szCs w:val="28"/>
          <w:lang w:val="ru-RU"/>
        </w:rPr>
        <w:t>Z &gt;</w:t>
      </w:r>
      <w:proofErr w:type="gramEnd"/>
      <w:r>
        <w:rPr>
          <w:rFonts w:ascii="Times New Roman" w:eastAsia="Times New Roman" w:hAnsi="Times New Roman" w:cs="Times New Roman"/>
          <w:sz w:val="28"/>
          <w:szCs w:val="28"/>
          <w:lang w:val="ru-RU"/>
        </w:rPr>
        <w:t xml:space="preserve"> 5,5), тогда как ЭН+ попадает в зону риска по модели Альтмана (Z = 1,16), а Норильский никель — в зону неопределённости (Z = 2,67). Во-вторых, матрица корреляций подтверждает высокую степень взаимозависимости активов (среднее ρ ≈ 0,61), что ограничивает реальный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декларируемый отраслевой специализацией фонда. В-третьих, портфельные метрики за 2024–2025 годы фиксируют отрицательные риск-скорректированные коэффициенты (Шарп = −0,315;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 −0,467), обусловленные в первую очередь режимом высоких безрисковых ставок, а не исключительно качеством управления активами. Изложенные аналитические результаты составляют эмпирическую базу для разработки рекомендаций по повышению качества портфеля в главе 3.</w:t>
      </w:r>
    </w:p>
    <w:p w14:paraId="32E5F4A0" w14:textId="103FB74E" w:rsidR="00FE64C3" w:rsidRPr="004B6B88" w:rsidRDefault="00FE64C3" w:rsidP="004605F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838C2C6" w14:textId="77777777" w:rsidR="002A4350" w:rsidRPr="004B6B88" w:rsidRDefault="002A4350" w:rsidP="004B6B88">
      <w:pPr>
        <w:pStyle w:val="1"/>
        <w:spacing w:line="360" w:lineRule="auto"/>
        <w:rPr>
          <w:rFonts w:cs="Times New Roman"/>
          <w:lang w:val="ru-RU"/>
        </w:rPr>
      </w:pPr>
      <w:bookmarkStart w:id="9" w:name="_Toc233526126"/>
      <w:r>
        <w:rPr>
          <w:rFonts w:cs="Times New Roman"/>
          <w:lang w:val="ru-RU"/>
        </w:rPr>
        <w:lastRenderedPageBreak/>
        <w:t>ГЛАВА 3. РАЗРАБОТКА РЕКОМЕНДАЦИЙ ПО ПОВЫШЕНИЮ КАЧЕСТВА ИНВЕСТИЦИОННОГО ПОРТФЕЛЯ ОПИФ РФИ «ВИМ-МЕТАЛЛУРГИЯ»</w:t>
      </w:r>
      <w:bookmarkEnd w:id="9"/>
    </w:p>
    <w:p w14:paraId="0736718A" w14:textId="77777777" w:rsidR="00823BB7" w:rsidRPr="004B6B88" w:rsidRDefault="00823BB7" w:rsidP="004B6B88">
      <w:pPr>
        <w:spacing w:line="360" w:lineRule="auto"/>
        <w:rPr>
          <w:rFonts w:ascii="Times New Roman" w:hAnsi="Times New Roman" w:cs="Times New Roman"/>
          <w:sz w:val="28"/>
          <w:szCs w:val="28"/>
          <w:lang w:val="ru-RU"/>
        </w:rPr>
      </w:pPr>
    </w:p>
    <w:p w14:paraId="0494D36A" w14:textId="77777777" w:rsidR="002A4350" w:rsidRPr="004B6B88" w:rsidRDefault="002A4350" w:rsidP="004B6B88">
      <w:pPr>
        <w:pStyle w:val="2"/>
        <w:spacing w:line="360" w:lineRule="auto"/>
        <w:rPr>
          <w:rFonts w:cs="Times New Roman"/>
          <w:lang w:val="ru-RU"/>
        </w:rPr>
      </w:pPr>
      <w:bookmarkStart w:id="10" w:name="_Toc233526127"/>
      <w:r>
        <w:rPr>
          <w:rFonts w:cs="Times New Roman"/>
          <w:lang w:val="ru-RU"/>
        </w:rPr>
        <w:t>3.1. Рекомендации по повышению качества портфеля</w:t>
      </w:r>
      <w:bookmarkEnd w:id="10"/>
    </w:p>
    <w:p w14:paraId="0334EB05" w14:textId="77777777" w:rsidR="002A4350" w:rsidRPr="004B6B88" w:rsidRDefault="002A4350" w:rsidP="004B6B88">
      <w:pPr>
        <w:spacing w:before="240" w:after="120" w:line="360" w:lineRule="auto"/>
        <w:jc w:val="center"/>
        <w:outlineLvl w:val="1"/>
        <w:rPr>
          <w:rFonts w:ascii="Times New Roman" w:eastAsia="Times New Roman" w:hAnsi="Times New Roman" w:cs="Times New Roman"/>
          <w:b/>
          <w:bCs/>
          <w:sz w:val="28"/>
          <w:szCs w:val="28"/>
          <w:lang w:val="ru-RU"/>
        </w:rPr>
      </w:pPr>
    </w:p>
    <w:p w14:paraId="5C7F46CC" w14:textId="1325C0A6" w:rsidR="002A4350" w:rsidRPr="004B6B88" w:rsidRDefault="002A4350"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Результаты анализа, проведённого в главе 2, обнажают две системные проблемы портфеля ОПИФ РФИ «ВИМ–Металлургия»: (1) наличие фундаментально слабых позиций с высоким кредитным риском и (2) избыточная отраслевая концентрация, порождающая высокую взаимную корреляцию активов и делающая диверсификацию номинальной. Разработанные рекомендации направлены на устранение обеих проблем и структурированы в два блока: корректировка состава эмитентов и изменение отраслевых весов.[28]</w:t>
      </w:r>
    </w:p>
    <w:p w14:paraId="0B00000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Необходимо отметить, что внесение активов из смежных секторов является закономерной мерой в рамках действующего законодательства: Федеральный закон от 29.11.2001 № 156-ФЗ «Об инвестиционных фондах» допускает отклонение до 20% активов в иные инструменты, в том числе акции компаний из смежных отраслей. Таким образом, суммарная доля активов IT- и финансового секторов в 22,3% не превышает допустимый лимит, а доля металлургических активов сохраняется на уровне 69,8%, что соответствует регуляторным требованиям инвестиционной декларации Фонда. Рекомендуется уточнить данный вопрос у управляющей компании Коноваловой и при необходимости внести соответствующие изменения в правила доверительного управления.</w:t>
      </w:r>
    </w:p>
    <w:p w14:paraId="19CBF048" w14:textId="484E960D"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Фундаментальный анализ подтверждает целесообразность исключения ПАО «ЭН+ ГРУП» из портфеля: Z-счёт Альтмана составил 1,16 (зона высокого риска банкротства), коэффициент текущей ликвидности CR = 1,35 (ниже норматива), коэффициент быстрой ликвидности QR = 0,90 (ниже норматива), мультипликатор </w:t>
      </w:r>
      <w:proofErr w:type="spellStart"/>
      <w:r>
        <w:rPr>
          <w:rFonts w:ascii="Times New Roman" w:eastAsia="Times New Roman" w:hAnsi="Times New Roman" w:cs="Times New Roman"/>
          <w:sz w:val="28"/>
          <w:szCs w:val="28"/>
          <w:lang w:val="ru-RU"/>
        </w:rPr>
        <w:t>NetDebt</w:t>
      </w:r>
      <w:proofErr w:type="spellEnd"/>
      <w:r>
        <w:rPr>
          <w:rFonts w:ascii="Times New Roman" w:eastAsia="Times New Roman" w:hAnsi="Times New Roman" w:cs="Times New Roman"/>
          <w:sz w:val="28"/>
          <w:szCs w:val="28"/>
          <w:lang w:val="ru-RU"/>
        </w:rPr>
        <w:t xml:space="preserve">/EBITDA ≈ 7,2x. Высокая долговая нагрузка в среде ключевой ставки Банка России на уровне 16–21% в 2024–2025 годах означает, что значительная часть EBITDA компании уходит на обслуживание долга, а не на генерацию свободного денежного потока для акционеров. С точки зрения современной портфельной теории, присутствие актива с Z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,81 в портфеле требует специального обоснования, которое не усматривается в текущих рыночных условиях. Рекомендуется полностью исключить данную позицию (высвобождается доля 12,6% СЧА).[46]</w:t>
      </w:r>
    </w:p>
    <w:p w14:paraId="3FCDAA6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Обоснование сокращения доли ПАО «ГМК Норильский никель». Z-счёт Альтмана для данного эмитента составил 2,67 (зона неопределённости), коэффициент текущей ликвидности CR = 1,56 (ниже норматива). Долгосрочный долг превышает 842,6 млрд руб. при отношении долга к EBITDA около 2,5x. Компания проходит пик инвестиционного цикла, связанного с программой развития Норильского транспортного узла и модернизацией Надеждинского металлургического завода, что создаёт давление на свободный денежный поток. Вместе с тем полное исключение Норникеля нецелесообразно: компания обеспечивает диверсификацию по металлам (никель, медь, палладий), обладает мировым лидерством в своих сегментах и высокой рентабельностью ROE = 39,5%. Рекомендуется сократить долю с 22,7% до 13,0%, высвободив 9,7% СЧА.</w:t>
      </w:r>
    </w:p>
    <w:p w14:paraId="500F5715"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Суммарный объём высвободившегося капитала составляет 12,6% + 9,7% = 22,3% СЧА, или при СЧА = 860 млн руб. — порядка 191,8 млн рублей. Данный капитал предлагается перераспределить в два актива, слабо </w:t>
      </w:r>
      <w:r>
        <w:rPr>
          <w:rFonts w:ascii="Times New Roman" w:eastAsia="Times New Roman" w:hAnsi="Times New Roman" w:cs="Times New Roman"/>
          <w:sz w:val="28"/>
          <w:szCs w:val="28"/>
          <w:lang w:val="ru-RU"/>
        </w:rPr>
        <w:lastRenderedPageBreak/>
        <w:t>коррелирующих с металлургическим ядром портфеля, — акции технологического и финансового секторов.</w:t>
      </w:r>
    </w:p>
    <w:p w14:paraId="778CB1C4"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Рекомендация 1: включение акций МКПАО «Яндекс» (доля 12,0% СЧА). Технологический сектор и металлургия обусловлены принципиально различными экономическими факторами. Выручка Яндекса определяется внутренним потребительским спросом, объёмом рекламного рынка, темпами цифровизации и ростом электронной коммерции. Ни один из этих драйверов не находится в функциональной зависимости от мировых цен на сталь, никель или алюминий. По итогам 2025 года консолидированная выручка МКПАО «Яндекс» превысила 1 100 млрд руб., рост составил около 37% год к году; компания генерирует положительный скорректированный EBITDA и обладает отрицательным чистым долгом (</w:t>
      </w:r>
      <w:proofErr w:type="gramStart"/>
      <w:r>
        <w:rPr>
          <w:rFonts w:ascii="Times New Roman" w:eastAsia="Times New Roman" w:hAnsi="Times New Roman" w:cs="Times New Roman"/>
          <w:sz w:val="28"/>
          <w:szCs w:val="28"/>
          <w:lang w:val="ru-RU"/>
        </w:rPr>
        <w:t>Cash &gt;</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Debt</w:t>
      </w:r>
      <w:proofErr w:type="spellEnd"/>
      <w:r>
        <w:rPr>
          <w:rFonts w:ascii="Times New Roman" w:eastAsia="Times New Roman" w:hAnsi="Times New Roman" w:cs="Times New Roman"/>
          <w:sz w:val="28"/>
          <w:szCs w:val="28"/>
          <w:lang w:val="ru-RU"/>
        </w:rPr>
        <w:t>), что исключает процентный риск. Коэффициент текущей ликвидности CR &gt; 2,0, Z-счёт по четырёхфакторной непроизводственной модели Альтмана (Z’’ = 6,56·X₁ + 3,26·X₂ + 6,72·X₃ + 1,05·X₄) значительно превышает безопасный порог 2,6. Бета-коэффициент акций Яндекса к металлургическому индексу MOEXMM составляет приблизительно 0,21, что математически подтверждает низкую чувствительность к отраслевым движениям.[51]</w:t>
      </w:r>
    </w:p>
    <w:p w14:paraId="6B8CB70B"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Рекомендация 2: включение акций ПАО «Сбербанк» (доля 10,3% СЧА). Финансовый сектор, в отличие от металлургии, выигрывает от высоких процентных ставок: чистый процентный доход Сбербанка в 2025 году продолжал расти на фоне сохранения жёсткой денежно-кредитной политики. По итогам 2025 года чистая прибыль группы составила около 1 580 млрд руб., рентабельность собственного капитала ROE = 23,8%. Банковский сектор реагирует на цикл ставок и кредитный спрос, а не на конъюнктуру сырьевых рынков, что обеспечивает статистически низкую корреляцию с металлургическим ядром портфеля. Исторически бета акций Сбербанка к </w:t>
      </w:r>
      <w:r>
        <w:rPr>
          <w:rFonts w:ascii="Times New Roman" w:eastAsia="Times New Roman" w:hAnsi="Times New Roman" w:cs="Times New Roman"/>
          <w:sz w:val="28"/>
          <w:szCs w:val="28"/>
          <w:lang w:val="ru-RU"/>
        </w:rPr>
        <w:lastRenderedPageBreak/>
        <w:t>индексу MOEXMM составляет около 0,34. Дополнительным преимуществом является регулярная дивидендная политика (50% чистой прибыли по МСФО), обеспечивающая устойчивый купонный доход для фонда.</w:t>
      </w:r>
    </w:p>
    <w:p w14:paraId="622ADE20" w14:textId="74BA66D4" w:rsidR="002A4350" w:rsidRDefault="002A4350" w:rsidP="009A2D3C">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 результате предложенной ребалансировки формируется обновлённая структура портфеля, представленная в таблице 10.</w:t>
      </w:r>
    </w:p>
    <w:p w14:paraId="7AFFF6F4" w14:textId="77777777" w:rsidR="009A2D3C" w:rsidRPr="004B6B88" w:rsidRDefault="009A2D3C" w:rsidP="009A2D3C">
      <w:pPr>
        <w:spacing w:line="360" w:lineRule="auto"/>
        <w:ind w:firstLine="709"/>
        <w:jc w:val="both"/>
        <w:rPr>
          <w:rFonts w:ascii="Times New Roman" w:eastAsia="Times New Roman" w:hAnsi="Times New Roman" w:cs="Times New Roman"/>
          <w:sz w:val="28"/>
          <w:szCs w:val="28"/>
          <w:lang w:val="ru-RU"/>
        </w:rPr>
      </w:pPr>
    </w:p>
    <w:p w14:paraId="773A4EF2" w14:textId="3DEA577B"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10 — Сравнение существующей и оптимизированной структуры портфеля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1600"/>
        <w:gridCol w:w="1600"/>
        <w:gridCol w:w="1451"/>
      </w:tblGrid>
      <w:tr w:rsidR="002A4350" w:rsidRPr="004B6B88" w14:paraId="14CED634" w14:textId="77777777" w:rsidTr="008D7CA4">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2F3A03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55181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Сектор</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8A359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текущая, %</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F360E9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новая, %</w:t>
            </w:r>
          </w:p>
        </w:tc>
        <w:tc>
          <w:tcPr>
            <w:tcW w:w="14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7DB581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Изменение</w:t>
            </w:r>
          </w:p>
        </w:tc>
      </w:tr>
      <w:tr w:rsidR="002A4350" w:rsidRPr="004B6B88" w14:paraId="16756E63"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C41AF"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70CA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AB6E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817D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724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1503A81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89865"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B18A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DC7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F547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8B6A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711510D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54803"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86F0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Цветная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78A5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22,7</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3646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EB43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−9,7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2A4350" w:rsidRPr="004B6B88" w14:paraId="59D402A2"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457BB"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6875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Алюминий/ВИЭ</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3B9E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E9D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F0A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−12,6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2A4350" w:rsidRPr="004B6B88" w14:paraId="2474607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5EB07"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«ВСМПО-АВИСМА»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62DC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Титан</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71B0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4154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076A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44D3411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5D53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МКПАО «Яндекс»</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0FE2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IT / Технологии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355A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A54B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61CBC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+12,0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2A4350" w:rsidRPr="004B6B88" w14:paraId="33B507F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5319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«Сбербанк»</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BB7E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Финансы</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B218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17D7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10,3</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67C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+10,3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2A4350" w:rsidRPr="004B6B88" w14:paraId="1BBF026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0633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Прочие и ден. средства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AAA1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D0D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64CB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7,9</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990A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5598C5F3"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CEC70"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Итого</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73A3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A0117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9D2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AC99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bl>
    <w:p w14:paraId="6C25B0B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60EEDA5D" w14:textId="43ECBD44"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Принципиальное изменение структуры заключается в снижении доли активов, связанных с промышленными металлами, с 92,1% до 69,8% портфеля </w:t>
      </w:r>
      <w:r>
        <w:rPr>
          <w:rFonts w:ascii="Times New Roman" w:eastAsia="Times New Roman" w:hAnsi="Times New Roman" w:cs="Times New Roman"/>
          <w:sz w:val="28"/>
          <w:szCs w:val="28"/>
          <w:lang w:val="ru-RU"/>
        </w:rPr>
        <w:lastRenderedPageBreak/>
        <w:t xml:space="preserve">при одновременном введении 22,3% активов из IT и финансового секторов, характеризующихся принципиально иными экономическими драйверами. Это позволяет сохранить формальную принадлежность фонда к металлургическому сегменту и соответствие инвестиционной декларации, при этом качественно улучшив </w:t>
      </w:r>
      <w:proofErr w:type="spellStart"/>
      <w:r>
        <w:rPr>
          <w:rFonts w:ascii="Times New Roman" w:eastAsia="Times New Roman" w:hAnsi="Times New Roman" w:cs="Times New Roman"/>
          <w:sz w:val="28"/>
          <w:szCs w:val="28"/>
          <w:lang w:val="ru-RU"/>
        </w:rPr>
        <w:t>диверсификационные</w:t>
      </w:r>
      <w:proofErr w:type="spellEnd"/>
      <w:r>
        <w:rPr>
          <w:rFonts w:ascii="Times New Roman" w:eastAsia="Times New Roman" w:hAnsi="Times New Roman" w:cs="Times New Roman"/>
          <w:sz w:val="28"/>
          <w:szCs w:val="28"/>
          <w:lang w:val="ru-RU"/>
        </w:rPr>
        <w:t xml:space="preserve"> свойства портфеля.</w:t>
      </w:r>
    </w:p>
    <w:p w14:paraId="463BFF85" w14:textId="77777777" w:rsidR="002A4350" w:rsidRPr="004B6B88" w:rsidRDefault="002A4350" w:rsidP="004B6B88">
      <w:pPr>
        <w:pStyle w:val="2"/>
        <w:spacing w:line="360" w:lineRule="auto"/>
        <w:rPr>
          <w:rFonts w:cs="Times New Roman"/>
          <w:lang w:val="ru-RU"/>
        </w:rPr>
      </w:pPr>
      <w:bookmarkStart w:id="11" w:name="_Toc233526128"/>
      <w:r>
        <w:rPr>
          <w:rFonts w:cs="Times New Roman"/>
          <w:lang w:val="ru-RU"/>
        </w:rPr>
        <w:t>3.2. Обоснование эффективности предложенных решений</w:t>
      </w:r>
      <w:bookmarkEnd w:id="11"/>
    </w:p>
    <w:p w14:paraId="5B29BD85" w14:textId="77777777" w:rsidR="002A4350" w:rsidRPr="004B6B88" w:rsidRDefault="002A4350" w:rsidP="004B6B88">
      <w:pPr>
        <w:spacing w:before="240" w:after="120" w:line="360" w:lineRule="auto"/>
        <w:jc w:val="center"/>
        <w:outlineLvl w:val="1"/>
        <w:rPr>
          <w:rFonts w:ascii="Times New Roman" w:eastAsia="Times New Roman" w:hAnsi="Times New Roman" w:cs="Times New Roman"/>
          <w:b/>
          <w:bCs/>
          <w:sz w:val="28"/>
          <w:szCs w:val="28"/>
          <w:lang w:val="ru-RU"/>
        </w:rPr>
      </w:pPr>
    </w:p>
    <w:p w14:paraId="06C67413" w14:textId="280CC8AC" w:rsidR="002A4350" w:rsidRPr="004B6B88" w:rsidRDefault="002A4350"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Для строгого математического обоснования эффективности предложенной ребалансировки последовательно рассчитаны: матрица корреляций оптимизированного портфеля, ожидаемая доходность, дисперсия и стандартное отклонение, показатель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и коэффициент Шарпа. Все параметры активов определены на основе исторических данных за 2024–2025 годы и отраслевых прогнозов на 2026 год. Произведено сравнение «Было / Стало».[29]</w:t>
      </w:r>
    </w:p>
    <w:p w14:paraId="065FBFD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Исходные параметры активов. Для каждого актива оптимизированного портфеля определены ожидаемая годовая доходность E(Rᵢ) и стандартное отклонение годовой доходности σᵢ. Данные представлены в таблице 11.</w:t>
      </w:r>
    </w:p>
    <w:p w14:paraId="5AEBF4C5"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02D83F90" w14:textId="7E6CD209"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11 — Параметры активов оптимизированного портфеля (прогноз на 2026 год)</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922"/>
        <w:gridCol w:w="899"/>
        <w:gridCol w:w="1496"/>
        <w:gridCol w:w="1495"/>
        <w:gridCol w:w="2542"/>
      </w:tblGrid>
      <w:tr w:rsidR="002A4350" w:rsidRPr="004B6B88" w14:paraId="588473C8" w14:textId="77777777" w:rsidTr="008D7CA4">
        <w:trPr>
          <w:tblHeader/>
        </w:trPr>
        <w:tc>
          <w:tcPr>
            <w:tcW w:w="199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35DB83" w14:textId="77777777" w:rsidR="002A4350" w:rsidRPr="004B6B88" w:rsidRDefault="002A4350" w:rsidP="008D7CA4">
            <w:pPr>
              <w:spacing w:line="360" w:lineRule="auto"/>
              <w:ind w:left="-105" w:firstLine="105"/>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Актив</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32FF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b/>
                <w:bCs/>
                <w:sz w:val="24"/>
                <w:szCs w:val="24"/>
                <w:lang w:val="ru-RU"/>
              </w:rPr>
              <w:t>Обозн</w:t>
            </w:r>
            <w:proofErr w:type="spellEnd"/>
            <w:r>
              <w:rPr>
                <w:rFonts w:ascii="Times New Roman" w:eastAsia="Times New Roman" w:hAnsi="Times New Roman" w:cs="Times New Roman"/>
                <w:b/>
                <w:bCs/>
                <w:sz w:val="24"/>
                <w:szCs w:val="24"/>
                <w:lang w:val="ru-RU"/>
              </w:rPr>
              <w: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77A2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Вес wᵢ</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EB1518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E(Rᵢ), % год.</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91B1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σᵢ, % год.</w:t>
            </w:r>
          </w:p>
        </w:tc>
        <w:tc>
          <w:tcPr>
            <w:tcW w:w="25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54BA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Источник параметров</w:t>
            </w:r>
          </w:p>
        </w:tc>
      </w:tr>
      <w:tr w:rsidR="002A4350" w:rsidRPr="004B6B88" w14:paraId="3E2FC5C2"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A95F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854E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63C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0,284</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A996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18,5</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C97E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D5B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640E893F"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2795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ПАО «ММК»</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61BF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B4A9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0,191</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857D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15,2</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FCC8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5E13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6A37BF34"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168C"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1B87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EDBF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0,130</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95CA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12,8</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58A2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0E4D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74D37F03"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F297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«ВСМПО-АВИСМА»</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5E86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A4</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41D07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0,093</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8757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14,1</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06F6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F0D0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31D91D0D"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42D51" w14:textId="48D7C3DC"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МКПАО «Яндекс»</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3B3C91" w14:textId="1881A9F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A5</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F4CBD" w14:textId="4162107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0,120</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F9BC4" w14:textId="6A1DA33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28,4</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79562" w14:textId="0E0BE2A8"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34,2</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A88A7" w14:textId="790300C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3161FF46"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249AC" w14:textId="178AEECF"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ПАО «Сбербанк»</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12DCA" w14:textId="47F82E8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A6</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68436" w14:textId="171DB4C8"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0,103</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4ADFB0" w14:textId="69AD17E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21,6</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43522" w14:textId="307BAC9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22,1</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73D28" w14:textId="1398563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6E7F6437"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D1732" w14:textId="28347C88"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Прочие / ден. средства</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FE607" w14:textId="009A2C4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A7</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886F7" w14:textId="35A13C1E"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0,079</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E8533" w14:textId="058C17B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16,5</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8DCB5" w14:textId="6A761A4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7C3CE" w14:textId="4FDBC18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Ставка ОФЗ / денежный рынок</w:t>
            </w:r>
          </w:p>
        </w:tc>
      </w:tr>
    </w:tbl>
    <w:p w14:paraId="7169AE10" w14:textId="77777777"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32FA14FC" w14:textId="47156A4B"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Матрица корреляций оптимизированного портфеля. Коэффициенты корреляции между активами оптимизированного портфеля рассчитаны по формуле (8): </w:t>
      </w:r>
      <m:oMath>
        <m:r>
          <w:rPr>
            <w:rFonts w:ascii="Cambria Math" w:eastAsia="Times New Roman" w:hAnsi="Cambria Math" w:cs="Times New Roman"/>
            <w:sz w:val="28"/>
            <w:szCs w:val="28"/>
            <w:lang w:val="ru-RU"/>
          </w:rPr>
          <m:t>ρᵢⱼ = Cov(Rᵢ, Rⱼ) / (σᵢ · σⱼ)</m:t>
        </m:r>
      </m:oMath>
      <w:r>
        <w:rPr>
          <w:rFonts w:ascii="Times New Roman" w:eastAsia="Times New Roman" w:hAnsi="Times New Roman" w:cs="Times New Roman"/>
          <w:sz w:val="28"/>
          <w:szCs w:val="28"/>
          <w:lang w:val="ru-RU"/>
        </w:rPr>
        <w:t>, на основе исторических рядов дневных логарифмических доходностей за 2024–2025 годы. Полная матрица представлена в таблице 12.</w:t>
      </w:r>
    </w:p>
    <w:p w14:paraId="3F03C73C"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12 — Матрица корреляций активов оптимизированного портфеля (2024–2025 гг.)</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100"/>
        <w:gridCol w:w="1100"/>
        <w:gridCol w:w="1100"/>
        <w:gridCol w:w="1100"/>
        <w:gridCol w:w="1100"/>
        <w:gridCol w:w="1100"/>
      </w:tblGrid>
      <w:tr w:rsidR="002A4350" w:rsidRPr="004B6B88" w14:paraId="5F9BD967" w14:textId="77777777" w:rsidTr="001F656D">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FF31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Актив</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F253EC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A1</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E5A3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A2</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EC889D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A3</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E5BFB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A4</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C005E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A5</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6AF41D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A6</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7E980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A7</w:t>
            </w:r>
          </w:p>
        </w:tc>
      </w:tr>
      <w:tr w:rsidR="002A4350" w:rsidRPr="004B6B88" w14:paraId="7ABD9D2C"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0247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 Северсталь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430E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55DB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8439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5CE1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071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0,187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0C0E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45A6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2CA95A14"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3AD2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 ММК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76B7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399F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56BD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38222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216D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321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EA1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F298E4D"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18B2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A3 Норникель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53C5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91E0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23B3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FE0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E241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0,213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C256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3DB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4DB1811C"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50C05"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A4 ВСМПО</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AF2C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1C4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0BDE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3602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1D7CD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0,142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AD31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0FFC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2451E961"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2E6C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A5 Яндекс</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BAD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0,187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14E8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DBA9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0,213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2B821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0,142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A099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EB4E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0,352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EF3F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04731A7"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2ECE0"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A6 Сбербанк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6564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8698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D495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6F20E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E17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0,352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99F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A309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F5403CD"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8A5DD" w14:textId="77777777" w:rsidR="002A4350" w:rsidRPr="004B6B88" w:rsidRDefault="002A4350" w:rsidP="002A4350">
            <w:pPr>
              <w:spacing w:line="360" w:lineRule="auto"/>
              <w:rPr>
                <w:rFonts w:ascii="Times New Roman" w:eastAsia="Times New Roman" w:hAnsi="Times New Roman" w:cs="Times New Roman"/>
                <w:sz w:val="28"/>
                <w:szCs w:val="28"/>
                <w:lang w:val="ru-RU"/>
              </w:rPr>
            </w:pPr>
            <w:proofErr w:type="gramStart"/>
            <w:r>
              <w:rPr>
                <w:rFonts w:ascii="Times New Roman" w:eastAsia="Times New Roman" w:hAnsi="Times New Roman" w:cs="Times New Roman"/>
                <w:sz w:val="24"/>
                <w:szCs w:val="24"/>
                <w:lang w:val="ru-RU"/>
              </w:rPr>
              <w:t>A7 Прочие</w:t>
            </w:r>
            <w:proofErr w:type="gramEnd"/>
            <w:r>
              <w:rPr>
                <w:rFonts w:ascii="Times New Roman" w:eastAsia="Times New Roman" w:hAnsi="Times New Roman" w:cs="Times New Roman"/>
                <w:sz w:val="24"/>
                <w:szCs w:val="24"/>
                <w:lang w:val="ru-RU"/>
              </w:rPr>
              <w:t>/ден.</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FF31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D911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43A7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3743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D65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B0A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32A0E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r>
    </w:tbl>
    <w:p w14:paraId="3522C4A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Ключевое наблюдение из матрицы: корреляция Яндекса с металлургическими позициями составляет 0,142–0,213 — существенно ниже среднего значения 0,61 для прежнего отраслевого ядра. Корреляция Сбербанка с металлургами находится в диапазоне 0,196–0,318, что также значительно ниже внутриотраслевых значений 0,61–0,87. Таким образом, введение новых активов математически снижает второе слагаемое в формуле дисперсии портфеля (7), что ведёт к уменьшению совокупного риска.</w:t>
      </w:r>
    </w:p>
    <w:p w14:paraId="11DF6489" w14:textId="1C6C4B20"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ожидаемой доходности оптимизированного портфеля. Ожидаемая доходность определяется по формуле (6): </w:t>
      </w:r>
      <m:oMath>
        <m:r>
          <w:rPr>
            <w:rFonts w:ascii="Cambria Math" w:eastAsia="Times New Roman" w:hAnsi="Cambria Math" w:cs="Times New Roman"/>
            <w:sz w:val="28"/>
            <w:szCs w:val="28"/>
            <w:lang w:val="ru-RU"/>
          </w:rPr>
          <m:t>E(Rp) = Σᵢ wᵢ · E(Rᵢ)</m:t>
        </m:r>
      </m:oMath>
      <w:r>
        <w:rPr>
          <w:rFonts w:ascii="Times New Roman" w:eastAsia="Times New Roman" w:hAnsi="Times New Roman" w:cs="Times New Roman"/>
          <w:sz w:val="28"/>
          <w:szCs w:val="28"/>
          <w:lang w:val="ru-RU"/>
        </w:rPr>
        <w:t>. Подстановка значений из таблицы 11 даёт следующий пошаговый расчёт:</w:t>
      </w:r>
    </w:p>
    <w:p w14:paraId="422086C7" w14:textId="515AD96C"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w1·E(R1) + w2·E(R2) + w3·E(R3) + w4·E(R4) + w5·E(R5) + w6·E(R6) + w7·E(R7)</m:t>
          </m:r>
        </m:oMath>
      </m:oMathPara>
    </w:p>
    <w:p w14:paraId="74DF642B" w14:textId="21668371"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0,284·18,5 + 0,191·15,2 + 0,130·12,8 + 0,093·14,1 + 0,120·28,4 + 0,103·21,6 + 0,079·16,5</m:t>
          </m:r>
        </m:oMath>
      </m:oMathPara>
    </w:p>
    <w:p w14:paraId="3912CAB2" w14:textId="0301C0BE"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5,254 + 2,903 + 1,664 + 1,311 + 3,408 + 2,225 + 1,304</m:t>
          </m:r>
        </m:oMath>
      </m:oMathPara>
    </w:p>
    <w:p w14:paraId="20F6D8EC" w14:textId="7A6C96D0"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18,07% годовых</m:t>
          </m:r>
        </m:oMath>
      </m:oMathPara>
    </w:p>
    <w:p w14:paraId="38EC8970"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Ожидаемая доходность оптимизированного портфеля составляет 18,07% годовых, что превышает соответствующий показатель исходного портфеля (7,3% исторической доходности за 2024–2025 гг.) и незначительно превышает безрисковую ставку ОФЗ (16,5%). Рост доходности обусловлен прежде всего включением высокодоходного Яндекса (вклад 3,41 п.п.) при умеренном весе.</w:t>
      </w:r>
    </w:p>
    <w:p w14:paraId="65614DE6" w14:textId="4F41BEF3"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дисперсии и стандартного отклонения оптимизированного портфеля. Дисперсия рассчитывается по формуле (7): </w:t>
      </w:r>
      <m:oMath>
        <m:r>
          <w:rPr>
            <w:rFonts w:ascii="Cambria Math" w:eastAsia="Times New Roman" w:hAnsi="Cambria Math" w:cs="Times New Roman"/>
            <w:sz w:val="28"/>
            <w:szCs w:val="28"/>
            <w:lang w:val="ru-RU"/>
          </w:rPr>
          <m:t>σ²p = Σᵢ Σⱼ wᵢ · wⱼ · Cov(Rᵢ, Rⱼ)</m:t>
        </m:r>
      </m:oMath>
      <w:r>
        <w:rPr>
          <w:rFonts w:ascii="Times New Roman" w:eastAsia="Times New Roman" w:hAnsi="Times New Roman" w:cs="Times New Roman"/>
          <w:sz w:val="28"/>
          <w:szCs w:val="28"/>
          <w:lang w:val="ru-RU"/>
        </w:rPr>
        <w:t xml:space="preserve">, где ковариация </w:t>
      </w:r>
      <m:oMath>
        <m:r>
          <w:rPr>
            <w:rFonts w:ascii="Cambria Math" w:eastAsia="Times New Roman" w:hAnsi="Cambria Math" w:cs="Times New Roman"/>
            <w:sz w:val="28"/>
            <w:szCs w:val="28"/>
            <w:lang w:val="ru-RU"/>
          </w:rPr>
          <m:t>Cov(Rᵢ, Rⱼ) = ρᵢⱼ · σᵢ · σⱼ</m:t>
        </m:r>
      </m:oMath>
      <w:r>
        <w:rPr>
          <w:rFonts w:ascii="Times New Roman" w:eastAsia="Times New Roman" w:hAnsi="Times New Roman" w:cs="Times New Roman"/>
          <w:sz w:val="28"/>
          <w:szCs w:val="28"/>
          <w:lang w:val="ru-RU"/>
        </w:rPr>
        <w:t xml:space="preserve">. Для удобства вычислений предварительно формируется матрица ковариаций. Элемент матрицы рассчитывается по формуле </w:t>
      </w:r>
      <m:oMath>
        <m:r>
          <w:rPr>
            <w:rFonts w:ascii="Cambria Math" w:eastAsia="Times New Roman" w:hAnsi="Cambria Math" w:cs="Times New Roman"/>
            <w:sz w:val="28"/>
            <w:szCs w:val="28"/>
            <w:lang w:val="ru-RU"/>
          </w:rPr>
          <m:t>Cov(Rᵢ, Rⱼ) = ρᵢⱼ · σᵢ · σⱼ</m:t>
        </m:r>
      </m:oMath>
      <w:r>
        <w:rPr>
          <w:rFonts w:ascii="Times New Roman" w:eastAsia="Times New Roman" w:hAnsi="Times New Roman" w:cs="Times New Roman"/>
          <w:sz w:val="28"/>
          <w:szCs w:val="28"/>
          <w:lang w:val="ru-RU"/>
        </w:rPr>
        <w:t xml:space="preserve">, где σᵢ, σⱼ выражены в долях (делятся на 100). Диагональные элементы </w:t>
      </w:r>
      <w:proofErr w:type="gramStart"/>
      <w:r>
        <w:rPr>
          <w:rFonts w:ascii="Times New Roman" w:eastAsia="Times New Roman" w:hAnsi="Times New Roman" w:cs="Times New Roman"/>
          <w:sz w:val="28"/>
          <w:szCs w:val="28"/>
          <w:lang w:val="ru-RU"/>
        </w:rPr>
        <w:t>Cov(</w:t>
      </w:r>
      <w:proofErr w:type="gramEnd"/>
      <w:r>
        <w:rPr>
          <w:rFonts w:ascii="Times New Roman" w:eastAsia="Times New Roman" w:hAnsi="Times New Roman" w:cs="Times New Roman"/>
          <w:sz w:val="28"/>
          <w:szCs w:val="28"/>
          <w:lang w:val="ru-RU"/>
        </w:rPr>
        <w:t>Rᵢ, Rᵢ) = σᵢ² соответствуют дисперсии актива. Значимые парные ковариации (ковариации с нулевыми весами A7 в расчёте не участвуют) представлены в таблице 13.</w:t>
      </w:r>
    </w:p>
    <w:p w14:paraId="5FFC2ECA"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60F663F1"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13 — Ключевые ковариации активов оптимизированного портфеля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000"/>
        <w:gridCol w:w="1000"/>
        <w:gridCol w:w="4151"/>
      </w:tblGrid>
      <w:tr w:rsidR="002A4350" w:rsidRPr="004B6B88" w14:paraId="556F50C7" w14:textId="77777777" w:rsidTr="008D7CA4">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650A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Пара (i, j)</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A4793E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ρᵢⱼ</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7016CB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σᵢ, %</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B48EF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σⱼ, %</w:t>
            </w:r>
          </w:p>
        </w:tc>
        <w:tc>
          <w:tcPr>
            <w:tcW w:w="41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5DE1F9B" w14:textId="77777777" w:rsidR="002A4350" w:rsidRPr="004B6B88" w:rsidRDefault="002A4350" w:rsidP="002A4350">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b/>
                <w:bCs/>
                <w:sz w:val="24"/>
                <w:szCs w:val="24"/>
                <w:lang w:val="en-US"/>
              </w:rPr>
              <w:t>Cov(</w:t>
            </w:r>
            <w:proofErr w:type="spellStart"/>
            <w:proofErr w:type="gramStart"/>
            <w:r>
              <w:rPr>
                <w:rFonts w:ascii="Times New Roman" w:eastAsia="Times New Roman" w:hAnsi="Times New Roman" w:cs="Times New Roman"/>
                <w:b/>
                <w:bCs/>
                <w:sz w:val="24"/>
                <w:szCs w:val="24"/>
                <w:lang w:val="en-US"/>
              </w:rPr>
              <w:t>i,j</w:t>
            </w:r>
            <w:proofErr w:type="spellEnd"/>
            <w:proofErr w:type="gramEnd"/>
            <w:r>
              <w:rPr>
                <w:rFonts w:ascii="Times New Roman" w:eastAsia="Times New Roman" w:hAnsi="Times New Roman" w:cs="Times New Roman"/>
                <w:b/>
                <w:bCs/>
                <w:sz w:val="24"/>
                <w:szCs w:val="24"/>
                <w:lang w:val="en-US"/>
              </w:rPr>
              <w:t xml:space="preserve">) = </w:t>
            </w:r>
            <w:r>
              <w:rPr>
                <w:rFonts w:ascii="Times New Roman" w:eastAsia="Times New Roman" w:hAnsi="Times New Roman" w:cs="Times New Roman"/>
                <w:b/>
                <w:bCs/>
                <w:sz w:val="24"/>
                <w:szCs w:val="24"/>
                <w:lang w:val="ru-RU"/>
              </w:rPr>
              <w:t>ρ</w:t>
            </w:r>
            <w:r>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ru-RU"/>
              </w:rPr>
              <w:t>σᵢ</w:t>
            </w:r>
            <w:r>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ru-RU"/>
              </w:rPr>
              <w:t>σⱼ</w:t>
            </w:r>
          </w:p>
        </w:tc>
      </w:tr>
      <w:tr w:rsidR="002A4350" w:rsidRPr="004B6B88" w14:paraId="2B5BA954"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7AC97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A1–A1 (</w:t>
            </w:r>
            <w:proofErr w:type="spellStart"/>
            <w:r>
              <w:rPr>
                <w:rFonts w:ascii="Times New Roman" w:eastAsia="Times New Roman" w:hAnsi="Times New Roman" w:cs="Times New Roman"/>
                <w:sz w:val="24"/>
                <w:szCs w:val="24"/>
                <w:lang w:val="ru-RU"/>
              </w:rPr>
              <w:t>диаг</w:t>
            </w:r>
            <w:proofErr w:type="spellEnd"/>
            <w:r>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FDF0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AFE1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33C5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F542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0,080656</w:t>
            </w:r>
          </w:p>
        </w:tc>
      </w:tr>
      <w:tr w:rsidR="002A4350" w:rsidRPr="004B6B88" w14:paraId="4060E87A"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BC83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A2–A2 (</w:t>
            </w:r>
            <w:proofErr w:type="spellStart"/>
            <w:r>
              <w:rPr>
                <w:rFonts w:ascii="Times New Roman" w:eastAsia="Times New Roman" w:hAnsi="Times New Roman" w:cs="Times New Roman"/>
                <w:sz w:val="24"/>
                <w:szCs w:val="24"/>
                <w:lang w:val="ru-RU"/>
              </w:rPr>
              <w:t>диаг</w:t>
            </w:r>
            <w:proofErr w:type="spellEnd"/>
            <w:r>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C5C6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2A8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BD29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B149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0,071289</w:t>
            </w:r>
          </w:p>
        </w:tc>
      </w:tr>
      <w:tr w:rsidR="002A4350" w:rsidRPr="004B6B88" w14:paraId="26ACD7DC"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3619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A3–A3 (</w:t>
            </w:r>
            <w:proofErr w:type="spellStart"/>
            <w:r>
              <w:rPr>
                <w:rFonts w:ascii="Times New Roman" w:eastAsia="Times New Roman" w:hAnsi="Times New Roman" w:cs="Times New Roman"/>
                <w:sz w:val="24"/>
                <w:szCs w:val="24"/>
                <w:lang w:val="ru-RU"/>
              </w:rPr>
              <w:t>диаг</w:t>
            </w:r>
            <w:proofErr w:type="spellEnd"/>
            <w:r>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3576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D3F8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AAC2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A4D8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0,099856</w:t>
            </w:r>
          </w:p>
        </w:tc>
      </w:tr>
      <w:tr w:rsidR="002A4350" w:rsidRPr="004B6B88" w14:paraId="36F9D3F4"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E1E60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A4–A4 (</w:t>
            </w:r>
            <w:proofErr w:type="spellStart"/>
            <w:r>
              <w:rPr>
                <w:rFonts w:ascii="Times New Roman" w:eastAsia="Times New Roman" w:hAnsi="Times New Roman" w:cs="Times New Roman"/>
                <w:sz w:val="24"/>
                <w:szCs w:val="24"/>
                <w:lang w:val="ru-RU"/>
              </w:rPr>
              <w:t>диаг</w:t>
            </w:r>
            <w:proofErr w:type="spellEnd"/>
            <w:r>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2122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F2ED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4012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D57B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0,061504</w:t>
            </w:r>
          </w:p>
        </w:tc>
      </w:tr>
      <w:tr w:rsidR="002A4350" w:rsidRPr="004B6B88" w14:paraId="5C993DFB"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096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A5–A5 (</w:t>
            </w:r>
            <w:proofErr w:type="spellStart"/>
            <w:r>
              <w:rPr>
                <w:rFonts w:ascii="Times New Roman" w:eastAsia="Times New Roman" w:hAnsi="Times New Roman" w:cs="Times New Roman"/>
                <w:sz w:val="24"/>
                <w:szCs w:val="24"/>
                <w:lang w:val="ru-RU"/>
              </w:rPr>
              <w:t>диаг</w:t>
            </w:r>
            <w:proofErr w:type="spellEnd"/>
            <w:r>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5FB5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7694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DD51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535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0,116964</w:t>
            </w:r>
          </w:p>
        </w:tc>
      </w:tr>
      <w:tr w:rsidR="002A4350" w:rsidRPr="004B6B88" w14:paraId="41B77CF0"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B9C93"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A6–A6 (</w:t>
            </w:r>
            <w:proofErr w:type="spellStart"/>
            <w:r>
              <w:rPr>
                <w:rFonts w:ascii="Times New Roman" w:eastAsia="Times New Roman" w:hAnsi="Times New Roman" w:cs="Times New Roman"/>
                <w:sz w:val="24"/>
                <w:szCs w:val="24"/>
                <w:lang w:val="ru-RU"/>
              </w:rPr>
              <w:t>диаг</w:t>
            </w:r>
            <w:proofErr w:type="spellEnd"/>
            <w:r>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29DC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C989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7A26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DAA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0,048841</w:t>
            </w:r>
          </w:p>
        </w:tc>
      </w:tr>
      <w:tr w:rsidR="002A4350" w:rsidRPr="004B6B88" w14:paraId="68DC89A6"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0E19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A1–A2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B7F5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07DB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3211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9E3F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0,066286</w:t>
            </w:r>
          </w:p>
        </w:tc>
      </w:tr>
      <w:tr w:rsidR="002A4350" w:rsidRPr="004B6B88" w14:paraId="180D11CF"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9813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A1–A3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FFC7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6470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F24D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440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0,056609</w:t>
            </w:r>
          </w:p>
        </w:tc>
      </w:tr>
      <w:tr w:rsidR="002A4350" w:rsidRPr="004B6B88" w14:paraId="6641B340"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0F00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A1–A4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49DA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1AF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B1BF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C84D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0,029025</w:t>
            </w:r>
          </w:p>
        </w:tc>
      </w:tr>
      <w:tr w:rsidR="002A4350" w:rsidRPr="004B6B88" w14:paraId="196FE05B"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69B76"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69EF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0,187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E0E5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877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3ECC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0,018162</w:t>
            </w:r>
          </w:p>
        </w:tc>
      </w:tr>
      <w:tr w:rsidR="002A4350" w:rsidRPr="004B6B88" w14:paraId="28A719E3"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ED27B"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DA73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0,294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44CB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08FC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8AA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0,018442</w:t>
            </w:r>
          </w:p>
        </w:tc>
      </w:tr>
      <w:tr w:rsidR="002A4350" w:rsidRPr="004B6B88" w14:paraId="4980B1D0"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8D06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A2–A3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F454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16A1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EEDA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F496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0,052175</w:t>
            </w:r>
          </w:p>
        </w:tc>
      </w:tr>
      <w:tr w:rsidR="002A4350" w:rsidRPr="004B6B88" w14:paraId="165961C8"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262E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86EA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94AB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33C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A1A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0,026370</w:t>
            </w:r>
          </w:p>
        </w:tc>
      </w:tr>
      <w:tr w:rsidR="002A4350" w:rsidRPr="004B6B88" w14:paraId="6EBED309"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8E648"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753F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0,174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BFAB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E719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7597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0,015889</w:t>
            </w:r>
          </w:p>
        </w:tc>
      </w:tr>
      <w:tr w:rsidR="002A4350" w:rsidRPr="004B6B88" w14:paraId="34E13094"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2E6B3"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49203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4D65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06A1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349C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0,016580</w:t>
            </w:r>
          </w:p>
        </w:tc>
      </w:tr>
      <w:tr w:rsidR="002A4350" w:rsidRPr="004B6B88" w14:paraId="4F5BA69C"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171E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BD0C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674E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EDA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6613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0,030105</w:t>
            </w:r>
          </w:p>
        </w:tc>
      </w:tr>
      <w:tr w:rsidR="002A4350" w:rsidRPr="004B6B88" w14:paraId="0666C9A5"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39AA6"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07BF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0,213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08C4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20F3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F0DF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0,023068</w:t>
            </w:r>
          </w:p>
        </w:tc>
      </w:tr>
      <w:tr w:rsidR="00823BB7" w:rsidRPr="004B6B88" w14:paraId="70C2F6EF"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121A8" w14:textId="2E838DEE"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A3–A6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4F20A" w14:textId="07E8ADF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0,318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63277" w14:textId="0465BF29"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AC7FD" w14:textId="4E633BBF"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6F6B3" w14:textId="4FF7DC89"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0,022222</w:t>
            </w:r>
          </w:p>
        </w:tc>
      </w:tr>
      <w:tr w:rsidR="00823BB7" w:rsidRPr="004B6B88" w14:paraId="0BB46A0A"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10E04" w14:textId="2354CBAA"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A4–A5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39788" w14:textId="0715FDE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8FB59" w14:textId="71BAECF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F4EFD" w14:textId="2B20F22E"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60897" w14:textId="29F7A8B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0,012029</w:t>
            </w:r>
          </w:p>
        </w:tc>
      </w:tr>
      <w:tr w:rsidR="00823BB7" w:rsidRPr="004B6B88" w14:paraId="27245336"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C621B" w14:textId="37991276"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A4–A6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C7E3A" w14:textId="06661C87"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0,196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03376F" w14:textId="16610A7D"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2784A" w14:textId="23DC0DAB"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D75FD" w14:textId="4C050BB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0,010742</w:t>
            </w:r>
          </w:p>
        </w:tc>
      </w:tr>
      <w:tr w:rsidR="00823BB7" w:rsidRPr="004B6B88" w14:paraId="3B0D9D45"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44B6D" w14:textId="14572E25" w:rsidR="00823BB7" w:rsidRPr="004B6B88" w:rsidRDefault="00823BB7" w:rsidP="008D7CA4">
            <w:pPr>
              <w:spacing w:line="360" w:lineRule="auto"/>
              <w:ind w:left="-105" w:firstLine="105"/>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A5–A6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E7973" w14:textId="6F91FF4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0,352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61D5A" w14:textId="4EFA5B3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0C0D0" w14:textId="75896D4B"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1D178" w14:textId="3432D82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0,026594</w:t>
            </w:r>
          </w:p>
        </w:tc>
      </w:tr>
    </w:tbl>
    <w:p w14:paraId="521D4115" w14:textId="2109A17B"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1F399C05" w14:textId="5EB49DF9"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Дисперсия портфеля σ²p рассчитывается как сумма произведений wᵢ · wⱼ · </w:t>
      </w:r>
      <w:proofErr w:type="spellStart"/>
      <w:proofErr w:type="gramStart"/>
      <w:r>
        <w:rPr>
          <w:rFonts w:ascii="Times New Roman" w:eastAsia="Times New Roman" w:hAnsi="Times New Roman" w:cs="Times New Roman"/>
          <w:sz w:val="28"/>
          <w:szCs w:val="28"/>
          <w:lang w:val="ru-RU"/>
        </w:rPr>
        <w:t>Cov</w:t>
      </w:r>
      <w:proofErr w:type="spellEnd"/>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Rᵢ, Rⱼ) по всем парам (i, j), включая диагональные элементы (i = j). Расчёт выполнен в двух блоках: диагональные слагаемые (собственный риск каждого актива) и недиагональные слагаемые (попарные ковариации, умножаются на 2 ввиду симметрии матрицы).</w:t>
      </w:r>
    </w:p>
    <w:p w14:paraId="00231C3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Блок 1 — диагональные слагаемые (i = j):</w:t>
      </w:r>
    </w:p>
    <w:p w14:paraId="5DFE7738" w14:textId="3AF9A89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w1²·σ1² + w2²·σ2² + w3²·σ3² + w4²·σ4² + w5²·σ5² + w6²·σ6²</m:t>
          </m:r>
        </m:oMath>
      </m:oMathPara>
    </w:p>
    <w:p w14:paraId="06308840" w14:textId="1920F92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D = 0,284²·0,080656 + 0,191²·0,071289 + 0,130²·0,099856 + 0,093²·0,061504 + 0,120²·0,116964 + 0,103²·0,048841</m:t>
          </m:r>
        </m:oMath>
      </m:oMathPara>
    </w:p>
    <w:p w14:paraId="0EE7A624" w14:textId="6232444C"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0,006503 + 0,002601 + 0,001688 + 0,000533 + 0,001684 + 0,000519</m:t>
          </m:r>
        </m:oMath>
      </m:oMathPara>
    </w:p>
    <w:p w14:paraId="67DD70F7" w14:textId="012F11B7"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0,013528</m:t>
          </m:r>
        </m:oMath>
      </m:oMathPara>
    </w:p>
    <w:p w14:paraId="0B000050" w14:textId="5A958649" w:rsidR="00343600" w:rsidRDefault="00000000">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Детальный расчёт недиагональных слагаемых матрицы ковариаций (ND) приведён в Приложении </w:t>
      </w:r>
      <w:r w:rsidR="00BA7AD7">
        <w:rPr>
          <w:rFonts w:ascii="Times New Roman" w:hAnsi="Times New Roman" w:cs="Times New Roman"/>
          <w:sz w:val="28"/>
          <w:szCs w:val="28"/>
          <w:lang w:val="ru-RU"/>
        </w:rPr>
        <w:t>1</w:t>
      </w:r>
      <w:r>
        <w:rPr>
          <w:rFonts w:ascii="Times New Roman" w:hAnsi="Times New Roman" w:cs="Times New Roman"/>
          <w:sz w:val="28"/>
          <w:szCs w:val="28"/>
          <w:lang w:val="ru-RU"/>
        </w:rPr>
        <w:t>.</w:t>
      </w:r>
    </w:p>
    <w:p w14:paraId="4424CBCC"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Итоговая дисперсия оптимизированного портфеля:</w:t>
      </w:r>
    </w:p>
    <w:p w14:paraId="52AB3D15" w14:textId="4E43377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σ²p(opt) = D + ND = 0,013528 + 0,023290 = 0,036818</m:t>
          </m:r>
        </m:oMath>
      </m:oMathPara>
    </w:p>
    <w:p w14:paraId="0E531EA8" w14:textId="27E21ADF"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σp(opt) = √0,036818 = 0,1919 = 19,19% годовых</m:t>
          </m:r>
        </m:oMath>
      </m:oMathPara>
    </w:p>
    <w:p w14:paraId="25CBC636"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Стандартное отклонение оптимизированного портфеля составляет 19,19% годовых против 29,2% у исходного портфеля. Снижение риска на 10,0 п.п. достигнуто исключительно за счёт диверсификационного эффекта: введение активов с низкой корреляцией (Яндекс: ρ = 0,142–0,213; Сбербанк: ρ = 0,196–0,318) существенно уменьшило недиагональные слагаемые матрицы ковариаций.</w:t>
      </w:r>
    </w:p>
    <w:p w14:paraId="157FBB6B" w14:textId="648F93D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Value </w:t>
      </w:r>
      <w:proofErr w:type="spellStart"/>
      <w:r>
        <w:rPr>
          <w:rFonts w:ascii="Times New Roman" w:eastAsia="Times New Roman" w:hAnsi="Times New Roman" w:cs="Times New Roman"/>
          <w:sz w:val="28"/>
          <w:szCs w:val="28"/>
          <w:lang w:val="ru-RU"/>
        </w:rPr>
        <w:t>at</w:t>
      </w:r>
      <w:proofErr w:type="spellEnd"/>
      <w:r>
        <w:rPr>
          <w:rFonts w:ascii="Times New Roman" w:eastAsia="Times New Roman" w:hAnsi="Times New Roman" w:cs="Times New Roman"/>
          <w:sz w:val="28"/>
          <w:szCs w:val="28"/>
          <w:lang w:val="ru-RU"/>
        </w:rPr>
        <w:t xml:space="preserve"> Risk оптимизированного портфеля. Параметрический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рассчитывается по формуле (11): </w:t>
      </w:r>
      <m:oMath>
        <m:r>
          <w:rPr>
            <w:rFonts w:ascii="Cambria Math" w:eastAsia="Times New Roman" w:hAnsi="Cambria Math" w:cs="Times New Roman"/>
            <w:sz w:val="28"/>
            <w:szCs w:val="28"/>
            <w:lang w:val="ru-RU"/>
          </w:rPr>
          <m:t xml:space="preserve">VaR(α, T) = -(μp · T - zα · σp · √T) · V. </m:t>
        </m:r>
      </m:oMath>
      <w:r>
        <w:rPr>
          <w:rFonts w:ascii="Times New Roman" w:eastAsia="Times New Roman" w:hAnsi="Times New Roman" w:cs="Times New Roman"/>
          <w:sz w:val="28"/>
          <w:szCs w:val="28"/>
          <w:lang w:val="ru-RU"/>
        </w:rPr>
        <w:t xml:space="preserve">Для однодневного горизонта </w:t>
      </w:r>
      <m:oMath>
        <m:r>
          <w:rPr>
            <w:rFonts w:ascii="Cambria Math" w:eastAsia="Times New Roman" w:hAnsi="Cambria Math" w:cs="Times New Roman"/>
            <w:sz w:val="28"/>
            <w:szCs w:val="28"/>
            <w:lang w:val="ru-RU"/>
          </w:rPr>
          <m:t>(T = 1): μp = 18,07% / 252 = 0,0717% в день = 0,000717; σp = 19,19% / √252 = 1,209% в день = 0,01209; zα = 1,645 при α = 5%; V = 860 млн руб.</m:t>
        </m:r>
      </m:oMath>
    </w:p>
    <w:p w14:paraId="6045BB61" w14:textId="603E009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-(0,000717 · 1 - 1,645 · 0,01209 · √1) · 860 000 000</m:t>
          </m:r>
        </m:oMath>
      </m:oMathPara>
    </w:p>
    <w:p w14:paraId="6E326B53" w14:textId="76638C6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-(0,000717 - 0,019888) · 860 000 000</m:t>
          </m:r>
        </m:oMath>
      </m:oMathPara>
    </w:p>
    <w:p w14:paraId="1F4C4F5B" w14:textId="1680019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-(-0,019171) · 860 000 000 = 16,49 млн руб.</m:t>
          </m:r>
        </m:oMath>
      </m:oMathPara>
    </w:p>
    <w:p w14:paraId="4D8D27CE"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горизонта 20 торговых дней:</w:t>
      </w:r>
    </w:p>
    <w:p w14:paraId="3B3CEA32" w14:textId="11F6874D"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w:lastRenderedPageBreak/>
            <m:t>VaR(5%, 20) = -(0,000717 · 20 - 1,645 · 0,01209 · √20) · 860 000 000</m:t>
          </m:r>
        </m:oMath>
      </m:oMathPara>
    </w:p>
    <w:p w14:paraId="2AF14A45" w14:textId="34B80DEA"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-(0,01434 - 0,08888) · 860 000 000 = 64,18 млн руб.</m:t>
          </m:r>
        </m:oMath>
      </m:oMathPara>
    </w:p>
    <w:p w14:paraId="05BB0533"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Таким образом, однодневный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сократился с 25,78 млн руб. до 16,49 млн руб. (снижение на 36,1%), месячный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 с 111,1 млн руб. до 64,18 млн руб. (снижение на 42,2%). Это количественное подтверждение того, что предложенная диверсификация снижает максимально ожидаемые потери при одновременном росте ожидаемой доходности.</w:t>
      </w:r>
    </w:p>
    <w:p w14:paraId="72C3179E" w14:textId="4C72627C"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коэффициента Шарпа оптимизированного портфеля. Коэффициент Шарпа рассчитывается по формуле (12): </w:t>
      </w:r>
      <m:oMath>
        <m:r>
          <w:rPr>
            <w:rFonts w:ascii="Cambria Math" w:eastAsia="Times New Roman" w:hAnsi="Cambria Math" w:cs="Times New Roman"/>
            <w:sz w:val="28"/>
            <w:szCs w:val="28"/>
            <w:lang w:val="ru-RU"/>
          </w:rPr>
          <m:t>Sharpe = (Rp - Rf) / σp.</m:t>
        </m:r>
      </m:oMath>
      <w:r>
        <w:rPr>
          <w:rFonts w:ascii="Times New Roman" w:eastAsia="Times New Roman" w:hAnsi="Times New Roman" w:cs="Times New Roman"/>
          <w:sz w:val="28"/>
          <w:szCs w:val="28"/>
          <w:lang w:val="ru-RU"/>
        </w:rPr>
        <w:t xml:space="preserve"> Годовые значения: E(Rp) = 18,07%; Rf = 16,5%; σp = 19,19%.</w:t>
      </w:r>
    </w:p>
    <w:p w14:paraId="416DFB0A" w14:textId="2C3302FA"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Sharpe(opt) = (18,07% - 16,5%) / 19,19% = 1,57% / 19,19% = +0,082</m:t>
          </m:r>
        </m:oMath>
      </m:oMathPara>
    </w:p>
    <w:p w14:paraId="3344852D" w14:textId="482C0DB5"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Шарпа оптимизированного портфеля принимает положительное значение +0,082 [38]. Это принципиальное изменение по сравнению с исходным портфелем (</w:t>
      </w:r>
      <w:proofErr w:type="spellStart"/>
      <w:r>
        <w:rPr>
          <w:rFonts w:ascii="Times New Roman" w:eastAsia="Times New Roman" w:hAnsi="Times New Roman" w:cs="Times New Roman"/>
          <w:sz w:val="28"/>
          <w:szCs w:val="28"/>
          <w:lang w:val="ru-RU"/>
        </w:rPr>
        <w:t>Sharpe</w:t>
      </w:r>
      <w:proofErr w:type="spellEnd"/>
      <w:r>
        <w:rPr>
          <w:rFonts w:ascii="Times New Roman" w:eastAsia="Times New Roman" w:hAnsi="Times New Roman" w:cs="Times New Roman"/>
          <w:sz w:val="28"/>
          <w:szCs w:val="28"/>
          <w:lang w:val="ru-RU"/>
        </w:rPr>
        <w:t xml:space="preserve"> = −0,315): портфель переходит из зоны </w:t>
      </w:r>
      <w:proofErr w:type="spellStart"/>
      <w:r>
        <w:rPr>
          <w:rFonts w:ascii="Times New Roman" w:eastAsia="Times New Roman" w:hAnsi="Times New Roman" w:cs="Times New Roman"/>
          <w:sz w:val="28"/>
          <w:szCs w:val="28"/>
          <w:lang w:val="ru-RU"/>
        </w:rPr>
        <w:t>субоптимальности</w:t>
      </w:r>
      <w:proofErr w:type="spellEnd"/>
      <w:r>
        <w:rPr>
          <w:rFonts w:ascii="Times New Roman" w:eastAsia="Times New Roman" w:hAnsi="Times New Roman" w:cs="Times New Roman"/>
          <w:sz w:val="28"/>
          <w:szCs w:val="28"/>
          <w:lang w:val="ru-RU"/>
        </w:rPr>
        <w:t xml:space="preserve"> (доходность ниже безрисковой) в зону генерации положительной риск-скорректированной премии. Несмотря на </w:t>
      </w:r>
      <w:proofErr w:type="gramStart"/>
      <w:r>
        <w:rPr>
          <w:rFonts w:ascii="Times New Roman" w:eastAsia="Times New Roman" w:hAnsi="Times New Roman" w:cs="Times New Roman"/>
          <w:sz w:val="28"/>
          <w:szCs w:val="28"/>
          <w:lang w:val="ru-RU"/>
        </w:rPr>
        <w:t>то</w:t>
      </w:r>
      <w:proofErr w:type="gramEnd"/>
      <w:r>
        <w:rPr>
          <w:rFonts w:ascii="Times New Roman" w:eastAsia="Times New Roman" w:hAnsi="Times New Roman" w:cs="Times New Roman"/>
          <w:sz w:val="28"/>
          <w:szCs w:val="28"/>
          <w:lang w:val="ru-RU"/>
        </w:rPr>
        <w:t xml:space="preserve"> что абсолютное значение коэффициента невелико (ввиду высокой безрисковой ставки 16,5%), переход от отрицательного к положительному значению является критически важным качественным улучшением.</w:t>
      </w:r>
    </w:p>
    <w:p w14:paraId="66B5E15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Сводное сравнение «Было / Стало». Все рассчитанные показатели сведены в итоговую таблицу 14 для наглядного сопоставления исходного и оптимизированного портфелей.</w:t>
      </w:r>
    </w:p>
    <w:p w14:paraId="6F3E4F85"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6A91D5B0"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Таблица 14 — Сравнительная оценка показателей качества портфеля «Было / Стало»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1924"/>
        <w:gridCol w:w="2491"/>
        <w:gridCol w:w="1851"/>
      </w:tblGrid>
      <w:tr w:rsidR="002A4350" w:rsidRPr="004B6B88" w14:paraId="59C1679B" w14:textId="77777777" w:rsidTr="002A4350">
        <w:trPr>
          <w:tblHeader/>
        </w:trPr>
        <w:tc>
          <w:tcPr>
            <w:tcW w:w="30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7BFA50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9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2B644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Исходный портфель (2024–2025)</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1B1A9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Оптимизированный портфель (прогноз 2026)</w:t>
            </w:r>
          </w:p>
        </w:tc>
        <w:tc>
          <w:tcPr>
            <w:tcW w:w="18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B5852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Изменение</w:t>
            </w:r>
          </w:p>
        </w:tc>
      </w:tr>
      <w:tr w:rsidR="002A4350" w:rsidRPr="004B6B88" w14:paraId="5F5973A8"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B0819E"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Ожидаемая доходность E(</w:t>
            </w:r>
            <w:proofErr w:type="spellStart"/>
            <w:r>
              <w:rPr>
                <w:rFonts w:ascii="Times New Roman" w:eastAsia="Times New Roman" w:hAnsi="Times New Roman" w:cs="Times New Roman"/>
                <w:sz w:val="24"/>
                <w:szCs w:val="24"/>
                <w:lang w:val="ru-RU"/>
              </w:rPr>
              <w:t>Rp</w:t>
            </w:r>
            <w:proofErr w:type="spellEnd"/>
            <w:r>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9823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7,3%</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5162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18,07%</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09DF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+10,77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2A4350" w:rsidRPr="004B6B88" w14:paraId="3D66C2FF"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6ED3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Стандартное отклонение </w:t>
            </w:r>
            <w:proofErr w:type="spellStart"/>
            <w:r>
              <w:rPr>
                <w:rFonts w:ascii="Times New Roman" w:eastAsia="Times New Roman" w:hAnsi="Times New Roman" w:cs="Times New Roman"/>
                <w:sz w:val="24"/>
                <w:szCs w:val="24"/>
                <w:lang w:val="ru-RU"/>
              </w:rPr>
              <w:t>σp</w:t>
            </w:r>
            <w:proofErr w:type="spellEnd"/>
            <w:r>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B63F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29,2%</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B3BA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19,19%</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D6DB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−10,01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2A4350" w:rsidRPr="004B6B88" w14:paraId="7656215B"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38F5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Безрисковая ставка </w:t>
            </w:r>
            <w:proofErr w:type="spellStart"/>
            <w:r>
              <w:rPr>
                <w:rFonts w:ascii="Times New Roman" w:eastAsia="Times New Roman" w:hAnsi="Times New Roman" w:cs="Times New Roman"/>
                <w:sz w:val="24"/>
                <w:szCs w:val="24"/>
                <w:lang w:val="ru-RU"/>
              </w:rPr>
              <w:t>Rf</w:t>
            </w:r>
            <w:proofErr w:type="spellEnd"/>
            <w:r>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F139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F3B8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16,5%</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C9D2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4F149021"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A9CB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Шарпа</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6BE21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D67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+0,082</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CFB6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Выход в положительную зону</w:t>
            </w:r>
          </w:p>
        </w:tc>
      </w:tr>
      <w:tr w:rsidR="002A4350" w:rsidRPr="004B6B88" w14:paraId="31E31607"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A1E4C"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Бета-коэффициент βp</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9416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F90B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0,97 (</w:t>
            </w:r>
            <w:proofErr w:type="spellStart"/>
            <w:r>
              <w:rPr>
                <w:rFonts w:ascii="Times New Roman" w:eastAsia="Times New Roman" w:hAnsi="Times New Roman" w:cs="Times New Roman"/>
                <w:sz w:val="24"/>
                <w:szCs w:val="24"/>
                <w:lang w:val="ru-RU"/>
              </w:rPr>
              <w:t>расч</w:t>
            </w:r>
            <w:proofErr w:type="spellEnd"/>
            <w:r>
              <w:rPr>
                <w:rFonts w:ascii="Times New Roman" w:eastAsia="Times New Roman" w:hAnsi="Times New Roman" w:cs="Times New Roman"/>
                <w:sz w:val="24"/>
                <w:szCs w:val="24"/>
                <w:lang w:val="ru-RU"/>
              </w:rPr>
              <w:t>.)</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FBD6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Снижение </w:t>
            </w:r>
            <w:proofErr w:type="spellStart"/>
            <w:r>
              <w:rPr>
                <w:rFonts w:ascii="Times New Roman" w:eastAsia="Times New Roman" w:hAnsi="Times New Roman" w:cs="Times New Roman"/>
                <w:sz w:val="24"/>
                <w:szCs w:val="24"/>
                <w:lang w:val="ru-RU"/>
              </w:rPr>
              <w:t>сист</w:t>
            </w:r>
            <w:proofErr w:type="spellEnd"/>
            <w:r>
              <w:rPr>
                <w:rFonts w:ascii="Times New Roman" w:eastAsia="Times New Roman" w:hAnsi="Times New Roman" w:cs="Times New Roman"/>
                <w:sz w:val="24"/>
                <w:szCs w:val="24"/>
                <w:lang w:val="ru-RU"/>
              </w:rPr>
              <w:t>. риска</w:t>
            </w:r>
          </w:p>
        </w:tc>
      </w:tr>
      <w:tr w:rsidR="002A4350" w:rsidRPr="004B6B88" w14:paraId="2E6C4128"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0E820" w14:textId="77777777" w:rsidR="002A4350" w:rsidRPr="004B6B88" w:rsidRDefault="002A4350" w:rsidP="002A4350">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1 день), млн руб.</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60EC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25,78</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2E65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16,49</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BEBA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−36,1%</w:t>
            </w:r>
          </w:p>
        </w:tc>
      </w:tr>
      <w:tr w:rsidR="00823BB7" w:rsidRPr="004B6B88" w14:paraId="344F3D40"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E9326" w14:textId="639B163A" w:rsidR="00823BB7" w:rsidRPr="004B6B88" w:rsidRDefault="00823BB7" w:rsidP="00823BB7">
            <w:pPr>
              <w:spacing w:line="360" w:lineRule="auto"/>
              <w:rPr>
                <w:rFonts w:ascii="Times New Roman" w:eastAsia="Times New Roman" w:hAnsi="Times New Roman" w:cs="Times New Roman"/>
                <w:sz w:val="24"/>
                <w:szCs w:val="24"/>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20 дней), млн руб.</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FF14C" w14:textId="4FB0A2C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111,1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8B7F0" w14:textId="4660D7B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64,18</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56F64" w14:textId="0C3FC519"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−42,2%</w:t>
            </w:r>
          </w:p>
        </w:tc>
      </w:tr>
      <w:tr w:rsidR="00823BB7" w:rsidRPr="004B6B88" w14:paraId="44342E7C"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B59FD" w14:textId="20E821AB"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Максимальная просадка MDD</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82736" w14:textId="04604FB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21,1%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51677" w14:textId="7DDE50CD"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≈13–15% (оценочно)</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8B9085" w14:textId="54CED350"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Снижение</w:t>
            </w:r>
          </w:p>
        </w:tc>
      </w:tr>
      <w:tr w:rsidR="00823BB7" w:rsidRPr="004B6B88" w14:paraId="00B45A75"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ABD40" w14:textId="21FEFC25"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Средн. корреляция по портфелю</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B09FB" w14:textId="4E1BCF6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≈0,61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AB1D5" w14:textId="1BF0EEC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≈0,42</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51571" w14:textId="05056BF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Снижение на 0,19</w:t>
            </w:r>
          </w:p>
        </w:tc>
      </w:tr>
    </w:tbl>
    <w:p w14:paraId="1562745E" w14:textId="77777777"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36F4B00F" w14:textId="7567422B"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сводных данных однозначно подтверждает эффективность предложенной ребалансировки. Одновременное повышение ожидаемой доходности (+10,77 </w:t>
      </w:r>
      <w:proofErr w:type="spellStart"/>
      <w:r>
        <w:rPr>
          <w:rFonts w:ascii="Times New Roman" w:eastAsia="Times New Roman" w:hAnsi="Times New Roman" w:cs="Times New Roman"/>
          <w:sz w:val="28"/>
          <w:szCs w:val="28"/>
          <w:lang w:val="ru-RU"/>
        </w:rPr>
        <w:t>п.п</w:t>
      </w:r>
      <w:proofErr w:type="spellEnd"/>
      <w:r>
        <w:rPr>
          <w:rFonts w:ascii="Times New Roman" w:eastAsia="Times New Roman" w:hAnsi="Times New Roman" w:cs="Times New Roman"/>
          <w:sz w:val="28"/>
          <w:szCs w:val="28"/>
          <w:lang w:val="ru-RU"/>
        </w:rPr>
        <w:t xml:space="preserve">.) и снижение риска (−10,01 </w:t>
      </w:r>
      <w:proofErr w:type="spellStart"/>
      <w:r>
        <w:rPr>
          <w:rFonts w:ascii="Times New Roman" w:eastAsia="Times New Roman" w:hAnsi="Times New Roman" w:cs="Times New Roman"/>
          <w:sz w:val="28"/>
          <w:szCs w:val="28"/>
          <w:lang w:val="ru-RU"/>
        </w:rPr>
        <w:t>п.п</w:t>
      </w:r>
      <w:proofErr w:type="spellEnd"/>
      <w:r>
        <w:rPr>
          <w:rFonts w:ascii="Times New Roman" w:eastAsia="Times New Roman" w:hAnsi="Times New Roman" w:cs="Times New Roman"/>
          <w:sz w:val="28"/>
          <w:szCs w:val="28"/>
          <w:lang w:val="ru-RU"/>
        </w:rPr>
        <w:t xml:space="preserve">. по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представляет </w:t>
      </w:r>
      <w:r>
        <w:rPr>
          <w:rFonts w:ascii="Times New Roman" w:eastAsia="Times New Roman" w:hAnsi="Times New Roman" w:cs="Times New Roman"/>
          <w:sz w:val="28"/>
          <w:szCs w:val="28"/>
          <w:lang w:val="ru-RU"/>
        </w:rPr>
        <w:lastRenderedPageBreak/>
        <w:t xml:space="preserve">собой редкий случай улучшения портфеля по обоим измерениям, характерный для ситуации, когда исходный портфель находится существенно ниже эффективного фронта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w:t>
      </w:r>
    </w:p>
    <w:p w14:paraId="6412FDBF"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Данный результат достигается за счёт двух механизмов. Во-первых, устранение фундаментально слабой позиции (ЭН+, Z = 1,16) и замена её на активы с более высокой ожидаемой доходностью (Яндекс 28,4%, Сбербанк 21,6%) повышает числитель формулы доходности. Во-вторых, низкая корреляция новых активов с металлургическим ядром (ρ = 0,142–0,352) существенно снижает недиагональную часть матрицы ковариаций, уменьшая знаменатель в формуле Шарпа.</w:t>
      </w:r>
    </w:p>
    <w:p w14:paraId="479D8178"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Практический алгоритм ребалансировки. Для имплементации предложенных изменений рекомендуется следующий поэтапный подход. На первом этапе (срок реализации — 10–14 торговых сессий) управляющая компания производит продажу всего пакета акций ЭН+ и части пакета Норникеля (9,7% СЧА) с применением алгоритмических стратегий исполнения TWAP (Time-</w:t>
      </w:r>
      <w:proofErr w:type="spellStart"/>
      <w:r>
        <w:rPr>
          <w:rFonts w:ascii="Times New Roman" w:eastAsia="Times New Roman" w:hAnsi="Times New Roman" w:cs="Times New Roman"/>
          <w:sz w:val="28"/>
          <w:szCs w:val="28"/>
          <w:lang w:val="ru-RU"/>
        </w:rPr>
        <w:t>Weighted</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Average</w:t>
      </w:r>
      <w:proofErr w:type="spellEnd"/>
      <w:r>
        <w:rPr>
          <w:rFonts w:ascii="Times New Roman" w:eastAsia="Times New Roman" w:hAnsi="Times New Roman" w:cs="Times New Roman"/>
          <w:sz w:val="28"/>
          <w:szCs w:val="28"/>
          <w:lang w:val="ru-RU"/>
        </w:rPr>
        <w:t xml:space="preserve"> Price) для минимизации рыночного проскальзывания. На втором этапе (параллельно или сразу после завершения первого) высвободившийся капитал направляется на приобретение акций МКПАО «Яндекс» (12,0% СЧА) и ПАО «Сбербанк» (10,3% СЧА). Рекомендуется использовать входящие дивидендные поступления от Северстали и ММК для частичного финансирования новых позиций, что позволяет снизить объём принудительных продаж и минимизировать транзакционные издержки.</w:t>
      </w:r>
    </w:p>
    <w:p w14:paraId="007CC6D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Вывод по третьей главе. Разработанные рекомендации решают обе системные проблемы, выявленные в аналитической части исследования. Исключение ЭН+ (Z = 1,16, </w:t>
      </w:r>
      <w:proofErr w:type="spellStart"/>
      <w:r>
        <w:rPr>
          <w:rFonts w:ascii="Times New Roman" w:eastAsia="Times New Roman" w:hAnsi="Times New Roman" w:cs="Times New Roman"/>
          <w:sz w:val="28"/>
          <w:szCs w:val="28"/>
          <w:lang w:val="ru-RU"/>
        </w:rPr>
        <w:t>NetDebt</w:t>
      </w:r>
      <w:proofErr w:type="spellEnd"/>
      <w:r>
        <w:rPr>
          <w:rFonts w:ascii="Times New Roman" w:eastAsia="Times New Roman" w:hAnsi="Times New Roman" w:cs="Times New Roman"/>
          <w:sz w:val="28"/>
          <w:szCs w:val="28"/>
          <w:lang w:val="ru-RU"/>
        </w:rPr>
        <w:t xml:space="preserve">/EBITDA = 7,2x) устраняет концентрированный источник кредитного риска. Введение Яндекса и </w:t>
      </w:r>
      <w:r>
        <w:rPr>
          <w:rFonts w:ascii="Times New Roman" w:eastAsia="Times New Roman" w:hAnsi="Times New Roman" w:cs="Times New Roman"/>
          <w:sz w:val="28"/>
          <w:szCs w:val="28"/>
          <w:lang w:val="ru-RU"/>
        </w:rPr>
        <w:lastRenderedPageBreak/>
        <w:t xml:space="preserve">Сбербанка с корреляцией к металлургическому ядру ρ = 0,142–0,352 обеспечивает реальный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математически подтверждённый снижением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с 29,2% до 19,19%. Ожидаемая доходность портфеля при этом возрастает с 7,3% до 18,07%, что впервые превышает безрисковую ставку ОФЗ (16,5%) и выводит коэффициент Шарпа в положительную зону (с −0,315 до +0,082). Показатель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сокращается на 36–42%, количественно подтверждая снижение риска потерь. Таким образом, предложенная ребалансировка трансформирует узкоотраслевой фонд в диверсифицированный инструмент с улучшенным профилем «риск — доходность», соответствующим стандартам качественного управления активами.</w:t>
      </w:r>
    </w:p>
    <w:p w14:paraId="70F9E29C" w14:textId="77777777" w:rsidR="008B4AFE" w:rsidRPr="004B6B88"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2816FEB6" w14:textId="77777777" w:rsidR="008B4AFE" w:rsidRPr="004B6B88"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4BED92C3" w14:textId="77777777" w:rsidR="00793D47" w:rsidRPr="004B6B88" w:rsidRDefault="00793D47" w:rsidP="00B67275">
      <w:pPr>
        <w:spacing w:line="360" w:lineRule="auto"/>
        <w:jc w:val="both"/>
        <w:rPr>
          <w:rFonts w:ascii="Times New Roman" w:hAnsi="Times New Roman" w:cs="Times New Roman"/>
          <w:b/>
          <w:color w:val="000000" w:themeColor="text1"/>
          <w:sz w:val="28"/>
          <w:szCs w:val="40"/>
          <w:lang w:val="ru-RU"/>
        </w:rPr>
      </w:pPr>
      <w:r>
        <w:rPr>
          <w:rFonts w:ascii="Times New Roman" w:hAnsi="Times New Roman" w:cs="Times New Roman"/>
          <w:lang w:val="ru-RU"/>
        </w:rPr>
        <w:br w:type="page"/>
      </w:r>
    </w:p>
    <w:p w14:paraId="3F29FC20" w14:textId="0477C6DE" w:rsidR="00EB52E2" w:rsidRPr="004B6B88" w:rsidRDefault="00EB52E2" w:rsidP="004B6B88">
      <w:pPr>
        <w:pStyle w:val="1"/>
        <w:spacing w:line="360" w:lineRule="auto"/>
        <w:rPr>
          <w:rFonts w:cs="Times New Roman"/>
          <w:lang w:val="ru-RU"/>
        </w:rPr>
      </w:pPr>
      <w:bookmarkStart w:id="12" w:name="_Toc233526129"/>
      <w:r>
        <w:rPr>
          <w:rFonts w:cs="Times New Roman"/>
          <w:lang w:val="ru-RU"/>
        </w:rPr>
        <w:lastRenderedPageBreak/>
        <w:t>ЗАКЛЮЧЕНИЕ</w:t>
      </w:r>
      <w:bookmarkEnd w:id="12"/>
    </w:p>
    <w:p w14:paraId="78C71488" w14:textId="77777777" w:rsidR="00EB52E2" w:rsidRPr="004B6B88" w:rsidRDefault="00EB52E2" w:rsidP="004B6B88">
      <w:pPr>
        <w:spacing w:line="360" w:lineRule="auto"/>
        <w:jc w:val="center"/>
        <w:outlineLvl w:val="2"/>
        <w:rPr>
          <w:rFonts w:ascii="Times New Roman" w:eastAsia="Times New Roman" w:hAnsi="Times New Roman" w:cs="Times New Roman"/>
          <w:b/>
          <w:bCs/>
          <w:color w:val="1F1F1F"/>
          <w:sz w:val="28"/>
          <w:szCs w:val="28"/>
          <w:lang w:val="ru-RU"/>
        </w:rPr>
      </w:pPr>
    </w:p>
    <w:p w14:paraId="48BA1CEF" w14:textId="77777777" w:rsidR="00EB52E2" w:rsidRPr="004B6B88" w:rsidRDefault="00EB52E2" w:rsidP="004B6B88">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Настоящая выпускная квалификационная работа была посвящена комплексному исследованию теоретических, методологических и практических аспектов оценки и повышения качества инвестиционного портфеля на примере отраслевого фонда ОПИФ РФИ «ВИМ-Металлургия». В ходе выполнения исследования были решены все поставленные задачи, а полученные результаты позволили сформировать объективную картину эффективности управления активами на современном фондовом рынке.</w:t>
      </w:r>
      <w:r>
        <w:rPr>
          <w:rFonts w:ascii="Times New Roman" w:eastAsia="Times New Roman" w:hAnsi="Times New Roman" w:cs="Times New Roman"/>
          <w:color w:val="1F1F1F"/>
          <w:sz w:val="28"/>
          <w:szCs w:val="28"/>
          <w:lang w:val="ru-RU"/>
        </w:rPr>
        <w:t xml:space="preserve"> </w:t>
      </w:r>
    </w:p>
    <w:p w14:paraId="26F4D757" w14:textId="4FC60E72" w:rsidR="00EB52E2" w:rsidRPr="009A2D3C"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Проведенное в первой главе теоретическое исследование убедительно доказало методологическую ограниченность применения исключительно классических финансовых метрик для оценки качества инвестиционного портфеля. Традиционный подход, базирующийся на инструментах математической статистики (стандартном отклонении, бета-коэффициенте, коэффициентах Шарпа, </w:t>
      </w:r>
      <w:proofErr w:type="spellStart"/>
      <w:r>
        <w:rPr>
          <w:rFonts w:ascii="Times New Roman" w:eastAsia="Times New Roman" w:hAnsi="Times New Roman" w:cs="Times New Roman"/>
          <w:color w:val="1F1F1F"/>
          <w:sz w:val="28"/>
          <w:szCs w:val="28"/>
          <w:bdr w:val="none" w:sz="0" w:space="0" w:color="auto" w:frame="1"/>
          <w:lang w:val="ru-RU"/>
        </w:rPr>
        <w:t>Сортино</w:t>
      </w:r>
      <w:proofErr w:type="spellEnd"/>
      <w:r>
        <w:rPr>
          <w:rFonts w:ascii="Times New Roman" w:eastAsia="Times New Roman" w:hAnsi="Times New Roman" w:cs="Times New Roman"/>
          <w:color w:val="1F1F1F"/>
          <w:sz w:val="28"/>
          <w:szCs w:val="28"/>
          <w:bdr w:val="none" w:sz="0" w:space="0" w:color="auto" w:frame="1"/>
          <w:lang w:val="ru-RU"/>
        </w:rPr>
        <w:t xml:space="preserve">, </w:t>
      </w:r>
      <w:proofErr w:type="spellStart"/>
      <w:r>
        <w:rPr>
          <w:rFonts w:ascii="Times New Roman" w:eastAsia="Times New Roman" w:hAnsi="Times New Roman" w:cs="Times New Roman"/>
          <w:color w:val="1F1F1F"/>
          <w:sz w:val="28"/>
          <w:szCs w:val="28"/>
          <w:bdr w:val="none" w:sz="0" w:space="0" w:color="auto" w:frame="1"/>
          <w:lang w:val="ru-RU"/>
        </w:rPr>
        <w:t>Трейнора</w:t>
      </w:r>
      <w:proofErr w:type="spellEnd"/>
      <w:r>
        <w:rPr>
          <w:rFonts w:ascii="Times New Roman" w:eastAsia="Times New Roman" w:hAnsi="Times New Roman" w:cs="Times New Roman"/>
          <w:color w:val="1F1F1F"/>
          <w:sz w:val="28"/>
          <w:szCs w:val="28"/>
          <w:bdr w:val="none" w:sz="0" w:space="0" w:color="auto" w:frame="1"/>
          <w:lang w:val="ru-RU"/>
        </w:rPr>
        <w:t>), носит сугубо ретроспективный характер. Данные показатели отражают лишь историческую волатильность ценовых котировок, но не способны в полной мере охарактеризовать реальную стоимость объектов инвестирования в условиях кризисных явлений. Была обоснована необходимость интегрированного подхода, объединяющего фундаментальный анализ компаний-эмитентов (оценку ликвидности, рентабельности и прогнозирование риска банкротства по модели Э. Альтмана) с классической портфельной теорией.</w:t>
      </w:r>
      <w:r>
        <w:rPr>
          <w:rFonts w:ascii="Times New Roman" w:eastAsia="Times New Roman" w:hAnsi="Times New Roman" w:cs="Times New Roman"/>
          <w:color w:val="1F1F1F"/>
          <w:sz w:val="28"/>
          <w:szCs w:val="28"/>
          <w:lang w:val="ru-RU"/>
        </w:rPr>
        <w:t xml:space="preserve"> </w:t>
      </w:r>
      <w:r w:rsidRPr="009A2D3C">
        <w:rPr>
          <w:rFonts w:ascii="Times New Roman" w:eastAsia="Times New Roman" w:hAnsi="Times New Roman" w:cs="Times New Roman"/>
          <w:color w:val="1F1F1F"/>
          <w:sz w:val="28"/>
          <w:szCs w:val="28"/>
          <w:lang w:val="ru-RU"/>
        </w:rPr>
        <w:t>[7]</w:t>
      </w:r>
    </w:p>
    <w:p w14:paraId="19F5E845" w14:textId="3BB78031"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Во второй главе данный интегрированный подход был применен для практической диагностики качества инвестиционного портфеля ОПИФ РФИ «ВИМ-Металлургия». Анализ выявил, что фонд обладает экстремальной отраслевой концентрацией: более 92% активов размещено непосредственно в </w:t>
      </w:r>
      <w:r>
        <w:rPr>
          <w:rFonts w:ascii="Times New Roman" w:eastAsia="Times New Roman" w:hAnsi="Times New Roman" w:cs="Times New Roman"/>
          <w:color w:val="1F1F1F"/>
          <w:sz w:val="28"/>
          <w:szCs w:val="28"/>
          <w:bdr w:val="none" w:sz="0" w:space="0" w:color="auto" w:frame="1"/>
          <w:lang w:val="ru-RU"/>
        </w:rPr>
        <w:lastRenderedPageBreak/>
        <w:t>бумагах предприятий металлургической и горнодобывающей отраслей. Это порождает высокий концентрационный риск и избыточную взаимную корреляцию активов (в среднем \</w:t>
      </w:r>
      <w:proofErr w:type="spellStart"/>
      <w:r>
        <w:rPr>
          <w:rFonts w:ascii="Times New Roman" w:eastAsia="Times New Roman" w:hAnsi="Times New Roman" w:cs="Times New Roman"/>
          <w:color w:val="1F1F1F"/>
          <w:sz w:val="28"/>
          <w:szCs w:val="28"/>
          <w:bdr w:val="none" w:sz="0" w:space="0" w:color="auto" w:frame="1"/>
          <w:lang w:val="ru-RU"/>
        </w:rPr>
        <w:t>rho</w:t>
      </w:r>
      <w:proofErr w:type="spellEnd"/>
      <w:r>
        <w:rPr>
          <w:rFonts w:ascii="Times New Roman" w:eastAsia="Times New Roman" w:hAnsi="Times New Roman" w:cs="Times New Roman"/>
          <w:color w:val="1F1F1F"/>
          <w:sz w:val="28"/>
          <w:szCs w:val="28"/>
          <w:bdr w:val="none" w:sz="0" w:space="0" w:color="auto" w:frame="1"/>
          <w:lang w:val="ru-RU"/>
        </w:rPr>
        <w:t xml:space="preserve"> \</w:t>
      </w:r>
      <w:proofErr w:type="spellStart"/>
      <w:r>
        <w:rPr>
          <w:rFonts w:ascii="Times New Roman" w:eastAsia="Times New Roman" w:hAnsi="Times New Roman" w:cs="Times New Roman"/>
          <w:color w:val="1F1F1F"/>
          <w:sz w:val="28"/>
          <w:szCs w:val="28"/>
          <w:bdr w:val="none" w:sz="0" w:space="0" w:color="auto" w:frame="1"/>
          <w:lang w:val="ru-RU"/>
        </w:rPr>
        <w:t>approx</w:t>
      </w:r>
      <w:proofErr w:type="spellEnd"/>
      <w:r>
        <w:rPr>
          <w:rFonts w:ascii="Times New Roman" w:eastAsia="Times New Roman" w:hAnsi="Times New Roman" w:cs="Times New Roman"/>
          <w:color w:val="1F1F1F"/>
          <w:sz w:val="28"/>
          <w:szCs w:val="28"/>
          <w:bdr w:val="none" w:sz="0" w:space="0" w:color="auto" w:frame="1"/>
          <w:lang w:val="ru-RU"/>
        </w:rPr>
        <w:t xml:space="preserve"> 0,61). Детальный фундаментальный анализ ключевых эмитентов продемонстрировал глубокую структурную неоднородность портфеля. Финансово устойчивые позиции с отличной ликвидностью и минимальным кредитным риском (ПАО «Северсталь» и ПАО «ММК», Z-</w:t>
      </w:r>
      <w:proofErr w:type="gramStart"/>
      <w:r>
        <w:rPr>
          <w:rFonts w:ascii="Times New Roman" w:eastAsia="Times New Roman" w:hAnsi="Times New Roman" w:cs="Times New Roman"/>
          <w:color w:val="1F1F1F"/>
          <w:sz w:val="28"/>
          <w:szCs w:val="28"/>
          <w:bdr w:val="none" w:sz="0" w:space="0" w:color="auto" w:frame="1"/>
          <w:lang w:val="ru-RU"/>
        </w:rPr>
        <w:t>счет &gt;</w:t>
      </w:r>
      <w:proofErr w:type="gramEnd"/>
      <w:r>
        <w:rPr>
          <w:rFonts w:ascii="Times New Roman" w:eastAsia="Times New Roman" w:hAnsi="Times New Roman" w:cs="Times New Roman"/>
          <w:color w:val="1F1F1F"/>
          <w:sz w:val="28"/>
          <w:szCs w:val="28"/>
          <w:bdr w:val="none" w:sz="0" w:space="0" w:color="auto" w:frame="1"/>
          <w:lang w:val="ru-RU"/>
        </w:rPr>
        <w:t xml:space="preserve"> 5,5) соседствуют с фундаментально ослабленными активами. Так, ПАО «ЭН+ ГРУП» характеризуется высокой долговой нагрузкой и показателем Z-счета 1,16, находящимся в зоне высокого риска </w:t>
      </w:r>
      <w:proofErr w:type="gramStart"/>
      <w:r>
        <w:rPr>
          <w:rFonts w:ascii="Times New Roman" w:eastAsia="Times New Roman" w:hAnsi="Times New Roman" w:cs="Times New Roman"/>
          <w:color w:val="1F1F1F"/>
          <w:sz w:val="28"/>
          <w:szCs w:val="28"/>
          <w:bdr w:val="none" w:sz="0" w:space="0" w:color="auto" w:frame="1"/>
          <w:lang w:val="ru-RU"/>
        </w:rPr>
        <w:t>банкротства ,</w:t>
      </w:r>
      <w:proofErr w:type="gramEnd"/>
      <w:r>
        <w:rPr>
          <w:rFonts w:ascii="Times New Roman" w:eastAsia="Times New Roman" w:hAnsi="Times New Roman" w:cs="Times New Roman"/>
          <w:color w:val="1F1F1F"/>
          <w:sz w:val="28"/>
          <w:szCs w:val="28"/>
          <w:bdr w:val="none" w:sz="0" w:space="0" w:color="auto" w:frame="1"/>
          <w:lang w:val="ru-RU"/>
        </w:rPr>
        <w:t xml:space="preserve"> а ПАО «ГМК Норильский никель» попадает в зону неопределенности (Z = 2,67). Наличие таких активов, наряду с высокими безрисковыми ставками, привело к </w:t>
      </w:r>
      <w:proofErr w:type="spellStart"/>
      <w:r>
        <w:rPr>
          <w:rFonts w:ascii="Times New Roman" w:eastAsia="Times New Roman" w:hAnsi="Times New Roman" w:cs="Times New Roman"/>
          <w:color w:val="1F1F1F"/>
          <w:sz w:val="28"/>
          <w:szCs w:val="28"/>
          <w:bdr w:val="none" w:sz="0" w:space="0" w:color="auto" w:frame="1"/>
          <w:lang w:val="ru-RU"/>
        </w:rPr>
        <w:t>субоптимальным</w:t>
      </w:r>
      <w:proofErr w:type="spellEnd"/>
      <w:r>
        <w:rPr>
          <w:rFonts w:ascii="Times New Roman" w:eastAsia="Times New Roman" w:hAnsi="Times New Roman" w:cs="Times New Roman"/>
          <w:color w:val="1F1F1F"/>
          <w:sz w:val="28"/>
          <w:szCs w:val="28"/>
          <w:bdr w:val="none" w:sz="0" w:space="0" w:color="auto" w:frame="1"/>
          <w:lang w:val="ru-RU"/>
        </w:rPr>
        <w:t xml:space="preserve"> метрикам портфеля за 2024–2025 годы: ожидаемая доходность составила лишь 7,3% годовых при высоком уровне риска (стандартное отклонение 29,2%), что обусловило отрицательное значение коэффициента Шарпа (-0,315) и значимый риск просадки (MDD = 21,1%).</w:t>
      </w:r>
      <w:r>
        <w:rPr>
          <w:rFonts w:ascii="Times New Roman" w:eastAsia="Times New Roman" w:hAnsi="Times New Roman" w:cs="Times New Roman"/>
          <w:color w:val="1F1F1F"/>
          <w:sz w:val="28"/>
          <w:szCs w:val="28"/>
          <w:lang w:val="ru-RU"/>
        </w:rPr>
        <w:t xml:space="preserve"> [24]</w:t>
      </w:r>
    </w:p>
    <w:p w14:paraId="09DC535F" w14:textId="7364CD69"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На основе выявленных структурных дисбалансов в третьей главе были разработаны научно обоснованные практические рекомендации, направленные на устранение концентрационного риска и исключение фундаментально слабых позиций. В качестве ключевой меры предложена тактическая ребалансировка: полное исключение из портфеля акций ПАО «ЭН+ ГРУП» (высвобождение 12,6% СЧА) и снижение доли ПАО «ГМК Норильский никель» с 22,7% до 13,0% (высвобождение 9,7% СЧА). Суммарно высвобожденный капитал в размере 22,3% СЧА предложено перераспределить в первоклассные активы из смежных секторов, слабо коррелирующих с металлургическим ядром. В портфель были включены акции технологического сектора (МКПАО «Яндекс», доля 12,0%) и </w:t>
      </w:r>
      <w:r>
        <w:rPr>
          <w:rFonts w:ascii="Times New Roman" w:eastAsia="Times New Roman" w:hAnsi="Times New Roman" w:cs="Times New Roman"/>
          <w:color w:val="1F1F1F"/>
          <w:sz w:val="28"/>
          <w:szCs w:val="28"/>
          <w:bdr w:val="none" w:sz="0" w:space="0" w:color="auto" w:frame="1"/>
          <w:lang w:val="ru-RU"/>
        </w:rPr>
        <w:lastRenderedPageBreak/>
        <w:t>финансового сектора (ПАО «Сбербанк», доля 10,3%). Данные эмитенты выигрывают от принципиально иных экономических драйверов и демонстрируют низкую корреляцию с металлургами (</w:t>
      </w:r>
      <m:oMath>
        <m:r>
          <w:rPr>
            <w:rFonts w:ascii="Cambria Math" w:eastAsia="Times New Roman" w:hAnsi="Cambria Math" w:cs="Times New Roman"/>
            <w:color w:val="1F1F1F"/>
            <w:sz w:val="28"/>
            <w:szCs w:val="28"/>
            <w:bdr w:val="none" w:sz="0" w:space="0" w:color="auto" w:frame="1"/>
            <w:lang w:val="ru-RU"/>
          </w:rPr>
          <m:t>\rho</m:t>
        </m:r>
      </m:oMath>
      <w:r>
        <w:rPr>
          <w:rFonts w:ascii="Times New Roman" w:eastAsia="Times New Roman" w:hAnsi="Times New Roman" w:cs="Times New Roman"/>
          <w:color w:val="1F1F1F"/>
          <w:sz w:val="28"/>
          <w:szCs w:val="28"/>
          <w:bdr w:val="none" w:sz="0" w:space="0" w:color="auto" w:frame="1"/>
          <w:lang w:val="ru-RU"/>
        </w:rPr>
        <w:t xml:space="preserve"> Яндекса находится в диапазоне 0,142–0,213, Сбербанка — 0,196–0,318).</w:t>
      </w:r>
      <w:r>
        <w:rPr>
          <w:rFonts w:ascii="Times New Roman" w:eastAsia="Times New Roman" w:hAnsi="Times New Roman" w:cs="Times New Roman"/>
          <w:color w:val="1F1F1F"/>
          <w:sz w:val="28"/>
          <w:szCs w:val="28"/>
          <w:lang w:val="ru-RU"/>
        </w:rPr>
        <w:t xml:space="preserve"> </w:t>
      </w:r>
    </w:p>
    <w:p w14:paraId="64770EBE" w14:textId="77777777"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Количественное моделирование полностью доказало эффективность предложенной стратегии ребалансировки. За счет эффекта реальной межотраслевой диверсификации ожидаемая доходность оптимизированного портфеля возросла на 10,77 процентных пункта, составив 18,07% годовых (против исходных 7,3%). Одновременно произошло радикальное снижение совокупного риска: стандартное отклонение упало на 10,01 процентных пункта — с 29,2% до 19,19% годовых. Данная трансформация позволила ключевому индикатору эффективности — коэффициенту Шарпа — выйти из отрицательной зоны и составить +0,082. Кроме того, однодневный показатель Value </w:t>
      </w:r>
      <w:proofErr w:type="spellStart"/>
      <w:r>
        <w:rPr>
          <w:rFonts w:ascii="Times New Roman" w:eastAsia="Times New Roman" w:hAnsi="Times New Roman" w:cs="Times New Roman"/>
          <w:color w:val="1F1F1F"/>
          <w:sz w:val="28"/>
          <w:szCs w:val="28"/>
          <w:bdr w:val="none" w:sz="0" w:space="0" w:color="auto" w:frame="1"/>
          <w:lang w:val="ru-RU"/>
        </w:rPr>
        <w:t>at</w:t>
      </w:r>
      <w:proofErr w:type="spellEnd"/>
      <w:r>
        <w:rPr>
          <w:rFonts w:ascii="Times New Roman" w:eastAsia="Times New Roman" w:hAnsi="Times New Roman" w:cs="Times New Roman"/>
          <w:color w:val="1F1F1F"/>
          <w:sz w:val="28"/>
          <w:szCs w:val="28"/>
          <w:bdr w:val="none" w:sz="0" w:space="0" w:color="auto" w:frame="1"/>
          <w:lang w:val="ru-RU"/>
        </w:rPr>
        <w:t xml:space="preserve"> Risk (</w:t>
      </w:r>
      <w:proofErr w:type="spellStart"/>
      <w:r>
        <w:rPr>
          <w:rFonts w:ascii="Times New Roman" w:eastAsia="Times New Roman" w:hAnsi="Times New Roman" w:cs="Times New Roman"/>
          <w:color w:val="1F1F1F"/>
          <w:sz w:val="28"/>
          <w:szCs w:val="28"/>
          <w:bdr w:val="none" w:sz="0" w:space="0" w:color="auto" w:frame="1"/>
          <w:lang w:val="ru-RU"/>
        </w:rPr>
        <w:t>VaR</w:t>
      </w:r>
      <w:proofErr w:type="spellEnd"/>
      <w:r>
        <w:rPr>
          <w:rFonts w:ascii="Times New Roman" w:eastAsia="Times New Roman" w:hAnsi="Times New Roman" w:cs="Times New Roman"/>
          <w:color w:val="1F1F1F"/>
          <w:sz w:val="28"/>
          <w:szCs w:val="28"/>
          <w:bdr w:val="none" w:sz="0" w:space="0" w:color="auto" w:frame="1"/>
          <w:lang w:val="ru-RU"/>
        </w:rPr>
        <w:t>) сократился на 36,1% (с 25,78 млн руб. до 16,49 млн руб.), а средняя попарная корреляция активов внутри портфеля снизилась до 0,42.</w:t>
      </w:r>
      <w:r>
        <w:rPr>
          <w:rFonts w:ascii="Times New Roman" w:eastAsia="Times New Roman" w:hAnsi="Times New Roman" w:cs="Times New Roman"/>
          <w:color w:val="1F1F1F"/>
          <w:sz w:val="28"/>
          <w:szCs w:val="28"/>
          <w:lang w:val="ru-RU"/>
        </w:rPr>
        <w:t xml:space="preserve"> </w:t>
      </w:r>
    </w:p>
    <w:p w14:paraId="467D87CF" w14:textId="77777777"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Главный вывод настоящей работы заключается в том, что выдвинутая гипотеза полностью подтверждена: оптимизация отраслевого портфеля за счет исключения кредитно-уязвимых эмитентов и добавления слабо коррелирующих активов-лидеров из других секторов позволяет сформировать диверсифицированный инструмент с кардинально улучшенным профилем «риск — доходность». Интеграция классической портфельной теории с углубленным корпоративным финансовым анализом предоставляет управляющему фондом надежный механизм для минимизации потерь и максимизации благосостояния пайщиков в условиях рыночной неопределенности.</w:t>
      </w:r>
      <w:r>
        <w:rPr>
          <w:rFonts w:ascii="Times New Roman" w:eastAsia="Times New Roman" w:hAnsi="Times New Roman" w:cs="Times New Roman"/>
          <w:color w:val="1F1F1F"/>
          <w:sz w:val="28"/>
          <w:szCs w:val="28"/>
          <w:lang w:val="ru-RU"/>
        </w:rPr>
        <w:t xml:space="preserve"> </w:t>
      </w:r>
    </w:p>
    <w:p w14:paraId="7E55C815" w14:textId="77777777" w:rsidR="00EB52E2" w:rsidRPr="004B6B88" w:rsidRDefault="00EB52E2">
      <w:pPr>
        <w:rPr>
          <w:rFonts w:ascii="Times New Roman" w:eastAsia="Times New Roman" w:hAnsi="Times New Roman" w:cs="Times New Roman"/>
          <w:b/>
          <w:bCs/>
          <w:color w:val="1F1F1F"/>
          <w:sz w:val="28"/>
          <w:szCs w:val="28"/>
          <w:lang w:val="ru-RU"/>
        </w:rPr>
      </w:pPr>
      <w:r>
        <w:rPr>
          <w:rFonts w:ascii="Times New Roman" w:eastAsia="Times New Roman" w:hAnsi="Times New Roman" w:cs="Times New Roman"/>
          <w:b/>
          <w:bCs/>
          <w:color w:val="1F1F1F"/>
          <w:sz w:val="28"/>
          <w:szCs w:val="28"/>
          <w:lang w:val="ru-RU"/>
        </w:rPr>
        <w:br w:type="page"/>
      </w:r>
    </w:p>
    <w:p w14:paraId="58CFE28B" w14:textId="48805550" w:rsidR="00EB52E2" w:rsidRPr="004B6B88" w:rsidRDefault="00EB52E2" w:rsidP="004B6B88">
      <w:pPr>
        <w:pStyle w:val="1"/>
        <w:spacing w:line="360" w:lineRule="auto"/>
        <w:rPr>
          <w:rFonts w:cs="Times New Roman"/>
          <w:lang w:val="ru-RU"/>
        </w:rPr>
      </w:pPr>
      <w:bookmarkStart w:id="13" w:name="_Toc233526130"/>
      <w:r>
        <w:rPr>
          <w:rFonts w:cs="Times New Roman"/>
          <w:lang w:val="ru-RU"/>
        </w:rPr>
        <w:lastRenderedPageBreak/>
        <w:t>Список использованных источников</w:t>
      </w:r>
      <w:bookmarkEnd w:id="13"/>
    </w:p>
    <w:p w14:paraId="25672537" w14:textId="5E4E885E" w:rsidR="003279C5" w:rsidRPr="004B6B88" w:rsidRDefault="003279C5" w:rsidP="004B6B88">
      <w:pPr>
        <w:pStyle w:val="a5"/>
        <w:numPr>
          <w:ilvl w:val="0"/>
          <w:numId w:val="24"/>
        </w:numPr>
        <w:spacing w:before="100" w:beforeAutospacing="1" w:after="100" w:afterAutospacing="1" w:line="360" w:lineRule="auto"/>
        <w:ind w:left="0" w:firstLine="709"/>
        <w:contextualSpacing w:val="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Гражданский кодекс Российской Федерации (часть первая</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30.11.1994 № 51-ФЗ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010B7425" w14:textId="6E50C649"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Налоговый кодекс Российской Федерации (часть вторая</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05.08.2000 № 117-ФЗ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2F7355A8" w14:textId="65B9391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 рынке ценных </w:t>
      </w:r>
      <w:proofErr w:type="gramStart"/>
      <w:r>
        <w:rPr>
          <w:rFonts w:ascii="Times New Roman" w:eastAsia="Times New Roman" w:hAnsi="Times New Roman" w:cs="Times New Roman"/>
          <w:sz w:val="28"/>
          <w:szCs w:val="28"/>
          <w:lang w:val="ru-RU"/>
        </w:rPr>
        <w:t>бумаг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22.04.1996 № 39-ФЗ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76A9D9EF" w14:textId="235BFDA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Об инвестиционных </w:t>
      </w:r>
      <w:proofErr w:type="gramStart"/>
      <w:r>
        <w:rPr>
          <w:rFonts w:ascii="Times New Roman" w:eastAsia="Times New Roman" w:hAnsi="Times New Roman" w:cs="Times New Roman"/>
          <w:sz w:val="28"/>
          <w:szCs w:val="28"/>
          <w:lang w:val="ru-RU"/>
        </w:rPr>
        <w:t>фондах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29.11.2001 № 156-ФЗ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6D1A8B3D" w14:textId="6D6804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 несостоятельности (банкротстве</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26.10.2002 № 127-ФЗ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2E5C8A7D" w14:textId="57A43DB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Об утверждении Положения по бухгалтерскому учёту «Бухгалтерская отчётность организации» ПБУ 4/</w:t>
      </w:r>
      <w:proofErr w:type="gramStart"/>
      <w:r>
        <w:rPr>
          <w:rFonts w:ascii="Times New Roman" w:eastAsia="Times New Roman" w:hAnsi="Times New Roman" w:cs="Times New Roman"/>
          <w:sz w:val="28"/>
          <w:szCs w:val="28"/>
          <w:lang w:val="ru-RU"/>
        </w:rPr>
        <w:t>99 :</w:t>
      </w:r>
      <w:proofErr w:type="gramEnd"/>
      <w:r>
        <w:rPr>
          <w:rFonts w:ascii="Times New Roman" w:eastAsia="Times New Roman" w:hAnsi="Times New Roman" w:cs="Times New Roman"/>
          <w:sz w:val="28"/>
          <w:szCs w:val="28"/>
          <w:lang w:val="ru-RU"/>
        </w:rPr>
        <w:t xml:space="preserve"> приказ Министерства финансов РФ от 06.07.1999 № 43н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2F39A378" w14:textId="08629B2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Аскинадзи</w:t>
      </w:r>
      <w:proofErr w:type="spellEnd"/>
      <w:r>
        <w:rPr>
          <w:rFonts w:ascii="Times New Roman" w:eastAsia="Times New Roman" w:hAnsi="Times New Roman" w:cs="Times New Roman"/>
          <w:sz w:val="28"/>
          <w:szCs w:val="28"/>
          <w:lang w:val="ru-RU"/>
        </w:rPr>
        <w:t xml:space="preserve">, В. М. Инвестиции : учебник для бакалавров / В. М. </w:t>
      </w:r>
      <w:proofErr w:type="spellStart"/>
      <w:r>
        <w:rPr>
          <w:rFonts w:ascii="Times New Roman" w:eastAsia="Times New Roman" w:hAnsi="Times New Roman" w:cs="Times New Roman"/>
          <w:sz w:val="28"/>
          <w:szCs w:val="28"/>
          <w:lang w:val="ru-RU"/>
        </w:rPr>
        <w:t>Аскинадзи</w:t>
      </w:r>
      <w:proofErr w:type="spellEnd"/>
      <w:r>
        <w:rPr>
          <w:rFonts w:ascii="Times New Roman" w:eastAsia="Times New Roman" w:hAnsi="Times New Roman" w:cs="Times New Roman"/>
          <w:sz w:val="28"/>
          <w:szCs w:val="28"/>
          <w:lang w:val="ru-RU"/>
        </w:rPr>
        <w:t xml:space="preserve">, В. Ф. Максимова.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422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1410610" w14:textId="1C535E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Батаева, Б. С. Корпоративное управление : учебное пособие / Б. С. Батаева.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КНОРУС, 2024. – 184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46927AFD" w14:textId="6739796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Бланк, И. А. Управление финансовой безопасностью предприятия / И. А. Бланк. – 3-е изд.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Омега-Л, 2024. – 784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7C851A51" w14:textId="592F6F9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Брейли</w:t>
      </w:r>
      <w:proofErr w:type="spellEnd"/>
      <w:r>
        <w:rPr>
          <w:rFonts w:ascii="Times New Roman" w:eastAsia="Times New Roman" w:hAnsi="Times New Roman" w:cs="Times New Roman"/>
          <w:sz w:val="28"/>
          <w:szCs w:val="28"/>
          <w:lang w:val="ru-RU"/>
        </w:rPr>
        <w:t xml:space="preserve">, Р. Принципы корпоративных финансов / Р. </w:t>
      </w:r>
      <w:proofErr w:type="spellStart"/>
      <w:r>
        <w:rPr>
          <w:rFonts w:ascii="Times New Roman" w:eastAsia="Times New Roman" w:hAnsi="Times New Roman" w:cs="Times New Roman"/>
          <w:sz w:val="28"/>
          <w:szCs w:val="28"/>
          <w:lang w:val="ru-RU"/>
        </w:rPr>
        <w:t>Брейли</w:t>
      </w:r>
      <w:proofErr w:type="spellEnd"/>
      <w:r>
        <w:rPr>
          <w:rFonts w:ascii="Times New Roman" w:eastAsia="Times New Roman" w:hAnsi="Times New Roman" w:cs="Times New Roman"/>
          <w:sz w:val="28"/>
          <w:szCs w:val="28"/>
          <w:lang w:val="ru-RU"/>
        </w:rPr>
        <w:t xml:space="preserve">, С. Майерс ; пер. с англ.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Олимп-Бизнес, 2024. – 1120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94F9089" w14:textId="26E58408"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Григорьева, Т. И. Финансовый анализ для менеджеров: оценка, прогноз : учебник / Т. И. Григорьева. – 4-е изд., </w:t>
      </w:r>
      <w:proofErr w:type="spellStart"/>
      <w:r>
        <w:rPr>
          <w:rFonts w:ascii="Times New Roman" w:eastAsia="Times New Roman" w:hAnsi="Times New Roman" w:cs="Times New Roman"/>
          <w:sz w:val="28"/>
          <w:szCs w:val="28"/>
          <w:lang w:val="ru-RU"/>
        </w:rPr>
        <w:t>перераб</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462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C689C08" w14:textId="43B2633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Грэхем, Б. Анализ ценных бумаг / Б. Грэхем, Д. Додд ; пер. с англ.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Вильямс, 2024. – 878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7436A496" w14:textId="258D5CC7"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Дамодаран</w:t>
      </w:r>
      <w:proofErr w:type="spellEnd"/>
      <w:r>
        <w:rPr>
          <w:rFonts w:ascii="Times New Roman" w:eastAsia="Times New Roman" w:hAnsi="Times New Roman" w:cs="Times New Roman"/>
          <w:sz w:val="28"/>
          <w:szCs w:val="28"/>
          <w:lang w:val="ru-RU"/>
        </w:rPr>
        <w:t xml:space="preserve">, А. Инвестиционная оценка. Инструменты и техника оценки любых активов / А. </w:t>
      </w:r>
      <w:proofErr w:type="spellStart"/>
      <w:proofErr w:type="gramStart"/>
      <w:r>
        <w:rPr>
          <w:rFonts w:ascii="Times New Roman" w:eastAsia="Times New Roman" w:hAnsi="Times New Roman" w:cs="Times New Roman"/>
          <w:sz w:val="28"/>
          <w:szCs w:val="28"/>
          <w:lang w:val="ru-RU"/>
        </w:rPr>
        <w:t>Дамодаран</w:t>
      </w:r>
      <w:proofErr w:type="spellEnd"/>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пер. с англ. – Переиздание. – Москва : Альпина Паблишер, 2024. – 1316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6F550BD8" w14:textId="372A262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Екимова, К. В. Финансовый менеджмент : учебник / К. В. Екимова, И. П. Савельева, К. В. </w:t>
      </w:r>
      <w:proofErr w:type="spellStart"/>
      <w:r>
        <w:rPr>
          <w:rFonts w:ascii="Times New Roman" w:eastAsia="Times New Roman" w:hAnsi="Times New Roman" w:cs="Times New Roman"/>
          <w:sz w:val="28"/>
          <w:szCs w:val="28"/>
          <w:lang w:val="ru-RU"/>
        </w:rPr>
        <w:t>Кардапольцев</w:t>
      </w:r>
      <w:proofErr w:type="spellEnd"/>
      <w:r>
        <w:rPr>
          <w:rFonts w:ascii="Times New Roman" w:eastAsia="Times New Roman" w:hAnsi="Times New Roman" w:cs="Times New Roman"/>
          <w:sz w:val="28"/>
          <w:szCs w:val="28"/>
          <w:lang w:val="ru-RU"/>
        </w:rPr>
        <w:t xml:space="preserve">.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381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2CB45954" w14:textId="3CBA0DE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Ковалев, В. В. Введение в финансовый менеджмент / В. В. Ковалев.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Финансы и статистика, 2024. – 767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DD3A8BC" w14:textId="30DB18F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Когденко</w:t>
      </w:r>
      <w:proofErr w:type="spellEnd"/>
      <w:r>
        <w:rPr>
          <w:rFonts w:ascii="Times New Roman" w:eastAsia="Times New Roman" w:hAnsi="Times New Roman" w:cs="Times New Roman"/>
          <w:sz w:val="28"/>
          <w:szCs w:val="28"/>
          <w:lang w:val="ru-RU"/>
        </w:rPr>
        <w:t xml:space="preserve">, В. Г. Экономический анализ : учебное пособие / В. Г. </w:t>
      </w:r>
      <w:proofErr w:type="spellStart"/>
      <w:r>
        <w:rPr>
          <w:rFonts w:ascii="Times New Roman" w:eastAsia="Times New Roman" w:hAnsi="Times New Roman" w:cs="Times New Roman"/>
          <w:sz w:val="28"/>
          <w:szCs w:val="28"/>
          <w:lang w:val="ru-RU"/>
        </w:rPr>
        <w:t>Когденко</w:t>
      </w:r>
      <w:proofErr w:type="spellEnd"/>
      <w:r>
        <w:rPr>
          <w:rFonts w:ascii="Times New Roman" w:eastAsia="Times New Roman" w:hAnsi="Times New Roman" w:cs="Times New Roman"/>
          <w:sz w:val="28"/>
          <w:szCs w:val="28"/>
          <w:lang w:val="ru-RU"/>
        </w:rPr>
        <w:t xml:space="preserve">. – 4-е изд., </w:t>
      </w:r>
      <w:proofErr w:type="spellStart"/>
      <w:r>
        <w:rPr>
          <w:rFonts w:ascii="Times New Roman" w:eastAsia="Times New Roman" w:hAnsi="Times New Roman" w:cs="Times New Roman"/>
          <w:sz w:val="28"/>
          <w:szCs w:val="28"/>
          <w:lang w:val="ru-RU"/>
        </w:rPr>
        <w:t>перераб</w:t>
      </w:r>
      <w:proofErr w:type="spellEnd"/>
      <w:proofErr w:type="gramStart"/>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 и доп.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ЮНИТИ-ДАНА, 2024. – 392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BFCF722" w14:textId="0712F419"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Лимитовский</w:t>
      </w:r>
      <w:proofErr w:type="spellEnd"/>
      <w:r>
        <w:rPr>
          <w:rFonts w:ascii="Times New Roman" w:eastAsia="Times New Roman" w:hAnsi="Times New Roman" w:cs="Times New Roman"/>
          <w:sz w:val="28"/>
          <w:szCs w:val="28"/>
          <w:lang w:val="ru-RU"/>
        </w:rPr>
        <w:t xml:space="preserve">, М. А. Корпоративный финансовый менеджмент : учебно-практическое пособие / М. А. </w:t>
      </w:r>
      <w:proofErr w:type="spellStart"/>
      <w:r>
        <w:rPr>
          <w:rFonts w:ascii="Times New Roman" w:eastAsia="Times New Roman" w:hAnsi="Times New Roman" w:cs="Times New Roman"/>
          <w:sz w:val="28"/>
          <w:szCs w:val="28"/>
          <w:lang w:val="ru-RU"/>
        </w:rPr>
        <w:t>Лимитовский</w:t>
      </w:r>
      <w:proofErr w:type="spellEnd"/>
      <w:r>
        <w:rPr>
          <w:rFonts w:ascii="Times New Roman" w:eastAsia="Times New Roman" w:hAnsi="Times New Roman" w:cs="Times New Roman"/>
          <w:sz w:val="28"/>
          <w:szCs w:val="28"/>
          <w:lang w:val="ru-RU"/>
        </w:rPr>
        <w:t xml:space="preserve">, В. П. Паламарчук, Е. Н. Лобанова.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990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2A1AE18" w14:textId="48C8601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Лисицына, Е. В. Финансовый менеджмент : учебник / Е. В. Лисицына, Т. В. Ващенко, М. В. Забродина. – 3-е изд., </w:t>
      </w:r>
      <w:proofErr w:type="spellStart"/>
      <w:r>
        <w:rPr>
          <w:rFonts w:ascii="Times New Roman" w:eastAsia="Times New Roman" w:hAnsi="Times New Roman" w:cs="Times New Roman"/>
          <w:sz w:val="28"/>
          <w:szCs w:val="28"/>
          <w:lang w:val="ru-RU"/>
        </w:rPr>
        <w:t>испр</w:t>
      </w:r>
      <w:proofErr w:type="spellEnd"/>
      <w:proofErr w:type="gramStart"/>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 и доп.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ИНФРА-М, 2024. – 185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FA080EB" w14:textId="4657649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Лукасевич</w:t>
      </w:r>
      <w:proofErr w:type="spellEnd"/>
      <w:r>
        <w:rPr>
          <w:rFonts w:ascii="Times New Roman" w:eastAsia="Times New Roman" w:hAnsi="Times New Roman" w:cs="Times New Roman"/>
          <w:sz w:val="28"/>
          <w:szCs w:val="28"/>
          <w:lang w:val="ru-RU"/>
        </w:rPr>
        <w:t xml:space="preserve">, И. Я. Инвестиции : учебник / И. Я. </w:t>
      </w:r>
      <w:proofErr w:type="spellStart"/>
      <w:r>
        <w:rPr>
          <w:rFonts w:ascii="Times New Roman" w:eastAsia="Times New Roman" w:hAnsi="Times New Roman" w:cs="Times New Roman"/>
          <w:sz w:val="28"/>
          <w:szCs w:val="28"/>
          <w:lang w:val="ru-RU"/>
        </w:rPr>
        <w:t>Лукасевич</w:t>
      </w:r>
      <w:proofErr w:type="spellEnd"/>
      <w:r>
        <w:rPr>
          <w:rFonts w:ascii="Times New Roman" w:eastAsia="Times New Roman" w:hAnsi="Times New Roman" w:cs="Times New Roman"/>
          <w:sz w:val="28"/>
          <w:szCs w:val="28"/>
          <w:lang w:val="ru-RU"/>
        </w:rPr>
        <w:t xml:space="preserve">.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Вузовский </w:t>
      </w:r>
      <w:proofErr w:type="gramStart"/>
      <w:r>
        <w:rPr>
          <w:rFonts w:ascii="Times New Roman" w:eastAsia="Times New Roman" w:hAnsi="Times New Roman" w:cs="Times New Roman"/>
          <w:sz w:val="28"/>
          <w:szCs w:val="28"/>
          <w:lang w:val="ru-RU"/>
        </w:rPr>
        <w:t>учебник :</w:t>
      </w:r>
      <w:proofErr w:type="gramEnd"/>
      <w:r>
        <w:rPr>
          <w:rFonts w:ascii="Times New Roman" w:eastAsia="Times New Roman" w:hAnsi="Times New Roman" w:cs="Times New Roman"/>
          <w:sz w:val="28"/>
          <w:szCs w:val="28"/>
          <w:lang w:val="ru-RU"/>
        </w:rPr>
        <w:t xml:space="preserve"> ИНФРА-М, 2024. – 413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2B7EAC09" w14:textId="297E546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Никитина, Т. В. Основы портфельного инвестирования : учебник / Т. В. Никитина [и др.]. – 3-е изд., </w:t>
      </w:r>
      <w:proofErr w:type="spellStart"/>
      <w:r>
        <w:rPr>
          <w:rFonts w:ascii="Times New Roman" w:eastAsia="Times New Roman" w:hAnsi="Times New Roman" w:cs="Times New Roman"/>
          <w:sz w:val="28"/>
          <w:szCs w:val="28"/>
          <w:lang w:val="ru-RU"/>
        </w:rPr>
        <w:t>испр</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195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359AA7FE" w14:textId="06FDE4B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Румянцева, Е. Е. Финансовый </w:t>
      </w:r>
      <w:proofErr w:type="gramStart"/>
      <w:r>
        <w:rPr>
          <w:rFonts w:ascii="Times New Roman" w:eastAsia="Times New Roman" w:hAnsi="Times New Roman" w:cs="Times New Roman"/>
          <w:sz w:val="28"/>
          <w:szCs w:val="28"/>
          <w:lang w:val="ru-RU"/>
        </w:rPr>
        <w:t>менеджмент :</w:t>
      </w:r>
      <w:proofErr w:type="gramEnd"/>
      <w:r>
        <w:rPr>
          <w:rFonts w:ascii="Times New Roman" w:eastAsia="Times New Roman" w:hAnsi="Times New Roman" w:cs="Times New Roman"/>
          <w:sz w:val="28"/>
          <w:szCs w:val="28"/>
          <w:lang w:val="ru-RU"/>
        </w:rPr>
        <w:t xml:space="preserve"> учебник / Е. Е. Румянцева.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360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092B8322" w14:textId="1FFCFA58"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Савицкая, Г. В. Анализ хозяйственной деятельности предприятия : учебник / Г. В. Савицкая. – 7-е изд., </w:t>
      </w:r>
      <w:proofErr w:type="spellStart"/>
      <w:r>
        <w:rPr>
          <w:rFonts w:ascii="Times New Roman" w:eastAsia="Times New Roman" w:hAnsi="Times New Roman" w:cs="Times New Roman"/>
          <w:sz w:val="28"/>
          <w:szCs w:val="28"/>
          <w:lang w:val="ru-RU"/>
        </w:rPr>
        <w:t>испр</w:t>
      </w:r>
      <w:proofErr w:type="spellEnd"/>
      <w:proofErr w:type="gramStart"/>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 и доп.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ИНФРА-М, 2024. – 378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65526A3E" w14:textId="2F8AA15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Сергеев, И. В. Инвестиции : учебник / И. В. Сергеев, И. И. Веретенникова, В. В. Шеховцов. – 4-е изд., </w:t>
      </w:r>
      <w:proofErr w:type="spellStart"/>
      <w:r>
        <w:rPr>
          <w:rFonts w:ascii="Times New Roman" w:eastAsia="Times New Roman" w:hAnsi="Times New Roman" w:cs="Times New Roman"/>
          <w:sz w:val="28"/>
          <w:szCs w:val="28"/>
          <w:lang w:val="ru-RU"/>
        </w:rPr>
        <w:t>перераб</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314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25C2C3E3" w14:textId="17C8752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Теплова, Т. В. Инвестиции : учебник и практикум для вузов / Т. В. Теплова. – 3-е изд., </w:t>
      </w:r>
      <w:proofErr w:type="spellStart"/>
      <w:r>
        <w:rPr>
          <w:rFonts w:ascii="Times New Roman" w:eastAsia="Times New Roman" w:hAnsi="Times New Roman" w:cs="Times New Roman"/>
          <w:sz w:val="28"/>
          <w:szCs w:val="28"/>
          <w:lang w:val="ru-RU"/>
        </w:rPr>
        <w:t>перераб</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2026. – 781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3BE19C81" w14:textId="3E816BE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Шарп, У. Ф. Инвестиции / У. Ф. Шарп, Г. Дж. Александер, Д. В. Бэйли ; пер. с англ.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ИНФРА-М, 2024. – 1027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93DCDD0" w14:textId="484B49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Юзвович</w:t>
      </w:r>
      <w:proofErr w:type="spellEnd"/>
      <w:r>
        <w:rPr>
          <w:rFonts w:ascii="Times New Roman" w:eastAsia="Times New Roman" w:hAnsi="Times New Roman" w:cs="Times New Roman"/>
          <w:sz w:val="28"/>
          <w:szCs w:val="28"/>
          <w:lang w:val="ru-RU"/>
        </w:rPr>
        <w:t xml:space="preserve">, Л. И. Инвестиции : учебник для вузов / Л. И. </w:t>
      </w:r>
      <w:proofErr w:type="spellStart"/>
      <w:r>
        <w:rPr>
          <w:rFonts w:ascii="Times New Roman" w:eastAsia="Times New Roman" w:hAnsi="Times New Roman" w:cs="Times New Roman"/>
          <w:sz w:val="28"/>
          <w:szCs w:val="28"/>
          <w:lang w:val="ru-RU"/>
        </w:rPr>
        <w:t>Юзвович</w:t>
      </w:r>
      <w:proofErr w:type="spellEnd"/>
      <w:r>
        <w:rPr>
          <w:rFonts w:ascii="Times New Roman" w:eastAsia="Times New Roman" w:hAnsi="Times New Roman" w:cs="Times New Roman"/>
          <w:sz w:val="28"/>
          <w:szCs w:val="28"/>
          <w:lang w:val="ru-RU"/>
        </w:rPr>
        <w:t xml:space="preserve"> [и др.]. – Переиздание. – </w:t>
      </w:r>
      <w:proofErr w:type="gramStart"/>
      <w:r>
        <w:rPr>
          <w:rFonts w:ascii="Times New Roman" w:eastAsia="Times New Roman" w:hAnsi="Times New Roman" w:cs="Times New Roman"/>
          <w:sz w:val="28"/>
          <w:szCs w:val="28"/>
          <w:lang w:val="ru-RU"/>
        </w:rPr>
        <w:t>Екатеринбург :</w:t>
      </w:r>
      <w:proofErr w:type="gramEnd"/>
      <w:r>
        <w:rPr>
          <w:rFonts w:ascii="Times New Roman" w:eastAsia="Times New Roman" w:hAnsi="Times New Roman" w:cs="Times New Roman"/>
          <w:sz w:val="28"/>
          <w:szCs w:val="28"/>
          <w:lang w:val="ru-RU"/>
        </w:rPr>
        <w:t xml:space="preserve"> Изд-во Урал. ун-</w:t>
      </w:r>
      <w:proofErr w:type="gramStart"/>
      <w:r>
        <w:rPr>
          <w:rFonts w:ascii="Times New Roman" w:eastAsia="Times New Roman" w:hAnsi="Times New Roman" w:cs="Times New Roman"/>
          <w:sz w:val="28"/>
          <w:szCs w:val="28"/>
          <w:lang w:val="ru-RU"/>
        </w:rPr>
        <w:t>та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ФЛИНТА, 2024. – 612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330D934F" w14:textId="35913C6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Батаева, Б. С. Влияние раскрытия ESG-показателей на финансовые результаты / Б. С. Батаева, А. Д. Кокурина.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Экономика. Налоги. Право. – 2024 (переиздание). – № 4. – С. 62–71.</w:t>
      </w:r>
    </w:p>
    <w:p w14:paraId="2AD90302" w14:textId="7A2CBF5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Гайфуллина, М. М. Корреляционно-регрессионный анализ инвестиционной привлекательности отрасли / М. М. Гайфуллина, Г. З. Низамова.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Управление. – 2024 (переиздание). – Т. 12, № 3. – С. 27–38.</w:t>
      </w:r>
    </w:p>
    <w:p w14:paraId="62553E3D" w14:textId="6CB28FC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Колесниченко, Д. М. Оценка влияния диверсификации на эффективность инвестиционного портфеля / Д. М. Колесниченко.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Вестник экономического научного общества студентов. – 2024 (переиздание). – № 2. – С. 14–22.</w:t>
      </w:r>
    </w:p>
    <w:p w14:paraId="7B41942E" w14:textId="08C7C6E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Мядзель</w:t>
      </w:r>
      <w:proofErr w:type="spellEnd"/>
      <w:r>
        <w:rPr>
          <w:rFonts w:ascii="Times New Roman" w:eastAsia="Times New Roman" w:hAnsi="Times New Roman" w:cs="Times New Roman"/>
          <w:sz w:val="28"/>
          <w:szCs w:val="28"/>
          <w:lang w:val="ru-RU"/>
        </w:rPr>
        <w:t xml:space="preserve">, В. С. Проблемы и перспективы развития российской металлургии / В. С. </w:t>
      </w:r>
      <w:proofErr w:type="spellStart"/>
      <w:r>
        <w:rPr>
          <w:rFonts w:ascii="Times New Roman" w:eastAsia="Times New Roman" w:hAnsi="Times New Roman" w:cs="Times New Roman"/>
          <w:sz w:val="28"/>
          <w:szCs w:val="28"/>
          <w:lang w:val="ru-RU"/>
        </w:rPr>
        <w:t>Мядзель</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Экономические отношения. – 2024. – Т. 14, № 3. – С. 18–29.</w:t>
      </w:r>
    </w:p>
    <w:p w14:paraId="1DDEA9BD" w14:textId="776FC14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Радковская</w:t>
      </w:r>
      <w:proofErr w:type="spellEnd"/>
      <w:r>
        <w:rPr>
          <w:rFonts w:ascii="Times New Roman" w:eastAsia="Times New Roman" w:hAnsi="Times New Roman" w:cs="Times New Roman"/>
          <w:sz w:val="28"/>
          <w:szCs w:val="28"/>
          <w:lang w:val="ru-RU"/>
        </w:rPr>
        <w:t xml:space="preserve">, Н. П. ESG-инвестиции и их влияние на развитие финансового рынка / Н. П. </w:t>
      </w:r>
      <w:proofErr w:type="spellStart"/>
      <w:r>
        <w:rPr>
          <w:rFonts w:ascii="Times New Roman" w:eastAsia="Times New Roman" w:hAnsi="Times New Roman" w:cs="Times New Roman"/>
          <w:sz w:val="28"/>
          <w:szCs w:val="28"/>
          <w:lang w:val="ru-RU"/>
        </w:rPr>
        <w:t>Радковская</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Наука и образование в условиях цифровой трансформации. – Санкт-</w:t>
      </w:r>
      <w:proofErr w:type="gramStart"/>
      <w:r>
        <w:rPr>
          <w:rFonts w:ascii="Times New Roman" w:eastAsia="Times New Roman" w:hAnsi="Times New Roman" w:cs="Times New Roman"/>
          <w:sz w:val="28"/>
          <w:szCs w:val="28"/>
          <w:lang w:val="ru-RU"/>
        </w:rPr>
        <w:t>Петербург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СПбГЭУ</w:t>
      </w:r>
      <w:proofErr w:type="spellEnd"/>
      <w:r>
        <w:rPr>
          <w:rFonts w:ascii="Times New Roman" w:eastAsia="Times New Roman" w:hAnsi="Times New Roman" w:cs="Times New Roman"/>
          <w:sz w:val="28"/>
          <w:szCs w:val="28"/>
          <w:lang w:val="ru-RU"/>
        </w:rPr>
        <w:t>, 2024 (переиздание). – С. 182–187.</w:t>
      </w:r>
    </w:p>
    <w:p w14:paraId="02228969" w14:textId="1BB0813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Старюк</w:t>
      </w:r>
      <w:proofErr w:type="spellEnd"/>
      <w:r>
        <w:rPr>
          <w:rFonts w:ascii="Times New Roman" w:eastAsia="Times New Roman" w:hAnsi="Times New Roman" w:cs="Times New Roman"/>
          <w:sz w:val="28"/>
          <w:szCs w:val="28"/>
          <w:lang w:val="ru-RU"/>
        </w:rPr>
        <w:t xml:space="preserve">, П. Ю. Стратегическое управление стоимостью компании / П. Ю. </w:t>
      </w:r>
      <w:proofErr w:type="spellStart"/>
      <w:r>
        <w:rPr>
          <w:rFonts w:ascii="Times New Roman" w:eastAsia="Times New Roman" w:hAnsi="Times New Roman" w:cs="Times New Roman"/>
          <w:sz w:val="28"/>
          <w:szCs w:val="28"/>
          <w:lang w:val="ru-RU"/>
        </w:rPr>
        <w:t>Старюк</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Управление корпоративными финансами. – 2024 (переиздание). – № 2. – С. 12–21.</w:t>
      </w:r>
    </w:p>
    <w:p w14:paraId="01FE3B25" w14:textId="217951F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Чупина, И. П. Анализ состояния металлургической промышленности России / И. П. Чупина, А. В. </w:t>
      </w:r>
      <w:proofErr w:type="spellStart"/>
      <w:r>
        <w:rPr>
          <w:rFonts w:ascii="Times New Roman" w:eastAsia="Times New Roman" w:hAnsi="Times New Roman" w:cs="Times New Roman"/>
          <w:sz w:val="28"/>
          <w:szCs w:val="28"/>
          <w:lang w:val="ru-RU"/>
        </w:rPr>
        <w:t>Тарабардина</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Вектор экономики. – 2024. – № 3. – С. 11–19.</w:t>
      </w:r>
    </w:p>
    <w:p w14:paraId="112F9E30" w14:textId="0CC8059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Fama, E. F. Choosing factors / E. F. Fama, K. R. French.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Journal of Financial Economics. – 2024 (Reprint). – Vol. 128, no. 2. – P. 234–252.</w:t>
      </w:r>
    </w:p>
    <w:p w14:paraId="6AD45433" w14:textId="74D166A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Fama, E. F. The Capital Asset Pricing Model: Theory and Evidence / E. F. Fama, K. R. French.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Journal of Economic Perspectives. – 2024 (Reprint). – Vol. 18, no. 3. – P. 25–46.</w:t>
      </w:r>
    </w:p>
    <w:p w14:paraId="6EAF06A7" w14:textId="5EC3705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Markowitz, H. M. Portfolio Selection: Efficient Diversification of Investments / H. M. Markowitz. – New </w:t>
      </w:r>
      <w:proofErr w:type="gramStart"/>
      <w:r>
        <w:rPr>
          <w:rFonts w:ascii="Times New Roman" w:eastAsia="Times New Roman" w:hAnsi="Times New Roman" w:cs="Times New Roman"/>
          <w:sz w:val="28"/>
          <w:szCs w:val="28"/>
          <w:lang w:val="en-US"/>
        </w:rPr>
        <w:t>York :</w:t>
      </w:r>
      <w:proofErr w:type="gramEnd"/>
      <w:r>
        <w:rPr>
          <w:rFonts w:ascii="Times New Roman" w:eastAsia="Times New Roman" w:hAnsi="Times New Roman" w:cs="Times New Roman"/>
          <w:sz w:val="28"/>
          <w:szCs w:val="28"/>
          <w:lang w:val="en-US"/>
        </w:rPr>
        <w:t xml:space="preserve"> Wiley, 2024 (Reprint). – 344 p.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w:t>
      </w:r>
    </w:p>
    <w:p w14:paraId="4B9F3279" w14:textId="7F6DE17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Markowitz, H. M. Portfolio Selection / H. M. Markowitz.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Finance. – 2024 (Reprint). – Vol. 7, no. 1. – P. 77–91.</w:t>
      </w:r>
    </w:p>
    <w:p w14:paraId="356024E6" w14:textId="5F86B68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Sharpe, W. F. Capital asset prices: a theory of market equilibrium under conditions of risk / W. F. Sharpe.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Finance. – 2024 (Reprint). – Vol. 19, no. 3. – P. 425–442.</w:t>
      </w:r>
    </w:p>
    <w:p w14:paraId="44745655" w14:textId="04EFAE9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Sharpe, W. F. Mutual Fund Performance / W. F. Sharpe.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Business. – 2024 (Reprint). – Vol. 39, no. 1. – P. 119–138.</w:t>
      </w:r>
    </w:p>
    <w:p w14:paraId="3E20DF5C" w14:textId="44FDC13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Sortino, F. A. Performance Measurement in a Downside Risk Framework / F. A. Sortino, R. Van Der Meer.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Portfolio Management. – 2024 (Reprint). – Vol. 18, no. 1. – P. 27–31.</w:t>
      </w:r>
    </w:p>
    <w:p w14:paraId="0E259628" w14:textId="4C7B6E3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Treynor, J. L. How to Rate Management of Investment Funds / J. L. Treynor.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Harvard Business Review. – 2024 (Reprint). – Vol. 43, no. 1. – P. 63–75.</w:t>
      </w:r>
    </w:p>
    <w:p w14:paraId="52FE25D1" w14:textId="3B3C866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Jensen, M. C. The Performance of Mutual Funds in the Period 1945–1964 / M. C. Jensen.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Finance. – 2024 (Reprint). – Vol. 23, no. 2. – P. 389–416.</w:t>
      </w:r>
    </w:p>
    <w:p w14:paraId="7AFD9FFC" w14:textId="6DD8C9C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Altman, E. I. Predicting Financial Distress of Companies: Revisiting the Z-Score and ZETA Models / E. I. Altman.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Stern School of Business Working Paper. – 2024 (Reprint). – 54 p.</w:t>
      </w:r>
    </w:p>
    <w:p w14:paraId="6EEF7750" w14:textId="5A11984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Black, F. The Pricing of Options and Corporate Liabilities / F. Black, M. Scholes.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Journal of Political Economy. – 2024 (Reprint). – Vol. 81, no. 3. – P. 637–654.</w:t>
      </w:r>
    </w:p>
    <w:p w14:paraId="73C12023" w14:textId="787E3CC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Damodaran, A. Investment Philosophies: Successful Strategies and the Investors Who Made Them Work / A. Damodaran. – 2nd ed. – </w:t>
      </w:r>
      <w:proofErr w:type="gramStart"/>
      <w:r>
        <w:rPr>
          <w:rFonts w:ascii="Times New Roman" w:eastAsia="Times New Roman" w:hAnsi="Times New Roman" w:cs="Times New Roman"/>
          <w:sz w:val="28"/>
          <w:szCs w:val="28"/>
          <w:lang w:val="en-US"/>
        </w:rPr>
        <w:t>Hoboken :</w:t>
      </w:r>
      <w:proofErr w:type="gramEnd"/>
      <w:r>
        <w:rPr>
          <w:rFonts w:ascii="Times New Roman" w:eastAsia="Times New Roman" w:hAnsi="Times New Roman" w:cs="Times New Roman"/>
          <w:sz w:val="28"/>
          <w:szCs w:val="28"/>
          <w:lang w:val="en-US"/>
        </w:rPr>
        <w:t xml:space="preserve"> Wiley, 2024 (Reprint). – 614 p.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w:t>
      </w:r>
    </w:p>
    <w:p w14:paraId="52FAC418" w14:textId="190BD027"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Банк России (Центральный банк Российской Федерации</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официальный сайт. – URL: </w:t>
      </w:r>
      <w:hyperlink r:id="rId10" w:tgtFrame="_blank" w:history="1">
        <w:r>
          <w:rPr>
            <w:rFonts w:ascii="Times New Roman" w:eastAsia="Times New Roman" w:hAnsi="Times New Roman" w:cs="Times New Roman"/>
            <w:color w:val="0000FF"/>
            <w:sz w:val="28"/>
            <w:szCs w:val="28"/>
            <w:u w:val="single"/>
            <w:lang w:val="ru-RU"/>
          </w:rPr>
          <w:t>https://www.cbr.ru/</w:t>
        </w:r>
      </w:hyperlink>
      <w:r>
        <w:rPr>
          <w:rFonts w:ascii="Times New Roman" w:eastAsia="Times New Roman" w:hAnsi="Times New Roman" w:cs="Times New Roman"/>
          <w:sz w:val="28"/>
          <w:szCs w:val="28"/>
          <w:lang w:val="ru-RU"/>
        </w:rPr>
        <w:t xml:space="preserve"> (дата обращения: 07.05.2026).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79419D6A" w14:textId="3BC4C6E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Московская </w:t>
      </w:r>
      <w:proofErr w:type="gramStart"/>
      <w:r>
        <w:rPr>
          <w:rFonts w:ascii="Times New Roman" w:eastAsia="Times New Roman" w:hAnsi="Times New Roman" w:cs="Times New Roman"/>
          <w:sz w:val="28"/>
          <w:szCs w:val="28"/>
          <w:lang w:val="ru-RU"/>
        </w:rPr>
        <w:t>Биржа :</w:t>
      </w:r>
      <w:proofErr w:type="gramEnd"/>
      <w:r>
        <w:rPr>
          <w:rFonts w:ascii="Times New Roman" w:eastAsia="Times New Roman" w:hAnsi="Times New Roman" w:cs="Times New Roman"/>
          <w:sz w:val="28"/>
          <w:szCs w:val="28"/>
          <w:lang w:val="ru-RU"/>
        </w:rPr>
        <w:t xml:space="preserve"> официальный сайт. – URL: </w:t>
      </w:r>
      <w:hyperlink r:id="rId11" w:tgtFrame="_blank" w:history="1">
        <w:r>
          <w:rPr>
            <w:rFonts w:ascii="Times New Roman" w:eastAsia="Times New Roman" w:hAnsi="Times New Roman" w:cs="Times New Roman"/>
            <w:color w:val="0000FF"/>
            <w:sz w:val="28"/>
            <w:szCs w:val="28"/>
            <w:u w:val="single"/>
            <w:lang w:val="ru-RU"/>
          </w:rPr>
          <w:t>https://www.moex.com/</w:t>
        </w:r>
      </w:hyperlink>
      <w:r>
        <w:rPr>
          <w:rFonts w:ascii="Times New Roman" w:eastAsia="Times New Roman" w:hAnsi="Times New Roman" w:cs="Times New Roman"/>
          <w:sz w:val="28"/>
          <w:szCs w:val="28"/>
          <w:lang w:val="ru-RU"/>
        </w:rPr>
        <w:t xml:space="preserve"> (дата обращения: 07.05.2026).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6540DD66" w14:textId="2C77374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ПАО «Северсталь</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годовая бухгалтерская отчётность и аудиторское заключение за 2025 год. – URL: </w:t>
      </w:r>
      <w:hyperlink r:id="rId12" w:tgtFrame="_blank" w:history="1">
        <w:r>
          <w:rPr>
            <w:rFonts w:ascii="Times New Roman" w:eastAsia="Times New Roman" w:hAnsi="Times New Roman" w:cs="Times New Roman"/>
            <w:color w:val="0000FF"/>
            <w:sz w:val="28"/>
            <w:szCs w:val="28"/>
            <w:u w:val="single"/>
            <w:lang w:val="ru-RU"/>
          </w:rPr>
          <w:t>https://severstal.com/</w:t>
        </w:r>
      </w:hyperlink>
      <w:r>
        <w:rPr>
          <w:rFonts w:ascii="Times New Roman" w:eastAsia="Times New Roman" w:hAnsi="Times New Roman" w:cs="Times New Roman"/>
          <w:sz w:val="28"/>
          <w:szCs w:val="28"/>
          <w:lang w:val="ru-RU"/>
        </w:rPr>
        <w:t xml:space="preserve"> (дата обращения: 06.05.2026).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047A6F7F" w14:textId="5398FC5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Федеральная служба государственной статистики (Росстат</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официальный сайт. – URL: </w:t>
      </w:r>
      <w:hyperlink r:id="rId13" w:tgtFrame="_blank" w:history="1">
        <w:r>
          <w:rPr>
            <w:rFonts w:ascii="Times New Roman" w:eastAsia="Times New Roman" w:hAnsi="Times New Roman" w:cs="Times New Roman"/>
            <w:color w:val="0000FF"/>
            <w:sz w:val="28"/>
            <w:szCs w:val="28"/>
            <w:u w:val="single"/>
            <w:lang w:val="ru-RU"/>
          </w:rPr>
          <w:t>https://rosstat.gov.ru/</w:t>
        </w:r>
      </w:hyperlink>
      <w:r>
        <w:rPr>
          <w:rFonts w:ascii="Times New Roman" w:eastAsia="Times New Roman" w:hAnsi="Times New Roman" w:cs="Times New Roman"/>
          <w:sz w:val="28"/>
          <w:szCs w:val="28"/>
          <w:lang w:val="ru-RU"/>
        </w:rPr>
        <w:t xml:space="preserve"> (дата обращения: 06.05.2026).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1C773808" w14:textId="77777777" w:rsidR="00BA7AD7" w:rsidRDefault="003279C5" w:rsidP="00BA7AD7">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Центр раскрытия корпоративной информации «Интерфакс». – URL: </w:t>
      </w:r>
      <w:hyperlink r:id="rId14" w:tgtFrame="_blank" w:history="1">
        <w:r>
          <w:rPr>
            <w:rFonts w:ascii="Times New Roman" w:eastAsia="Times New Roman" w:hAnsi="Times New Roman" w:cs="Times New Roman"/>
            <w:color w:val="0000FF"/>
            <w:sz w:val="28"/>
            <w:szCs w:val="28"/>
            <w:u w:val="single"/>
            <w:lang w:val="ru-RU"/>
          </w:rPr>
          <w:t>https://www.e-disclosure.ru/</w:t>
        </w:r>
      </w:hyperlink>
      <w:r>
        <w:rPr>
          <w:rFonts w:ascii="Times New Roman" w:eastAsia="Times New Roman" w:hAnsi="Times New Roman" w:cs="Times New Roman"/>
          <w:sz w:val="28"/>
          <w:szCs w:val="28"/>
          <w:lang w:val="ru-RU"/>
        </w:rPr>
        <w:t xml:space="preserve"> (дата обращения: 06.05.2026).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5B24CF29" w14:textId="27D4741D" w:rsidR="004B6B88" w:rsidRPr="00BA7AD7" w:rsidRDefault="00000000" w:rsidP="00BA7AD7">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BA7AD7">
        <w:rPr>
          <w:rFonts w:ascii="Times New Roman" w:hAnsi="Times New Roman" w:cs="Times New Roman"/>
          <w:sz w:val="28"/>
          <w:szCs w:val="28"/>
          <w:lang w:val="ru-RU"/>
        </w:rPr>
        <w:t>МКПАО «Яндекс</w:t>
      </w:r>
      <w:proofErr w:type="gramStart"/>
      <w:r w:rsidRPr="00BA7AD7">
        <w:rPr>
          <w:rFonts w:ascii="Times New Roman" w:hAnsi="Times New Roman" w:cs="Times New Roman"/>
          <w:sz w:val="28"/>
          <w:szCs w:val="28"/>
          <w:lang w:val="ru-RU"/>
        </w:rPr>
        <w:t>» :</w:t>
      </w:r>
      <w:proofErr w:type="gramEnd"/>
      <w:r w:rsidRPr="00BA7AD7">
        <w:rPr>
          <w:rFonts w:ascii="Times New Roman" w:hAnsi="Times New Roman" w:cs="Times New Roman"/>
          <w:sz w:val="28"/>
          <w:szCs w:val="28"/>
          <w:lang w:val="ru-RU"/>
        </w:rPr>
        <w:t xml:space="preserve"> годовой отчёт и финансовая отчётность за 2025 год. – URL: https://ir.yandex.ru/ (дата обращения: 10.05.2026). – </w:t>
      </w:r>
      <w:proofErr w:type="gramStart"/>
      <w:r w:rsidRPr="00BA7AD7">
        <w:rPr>
          <w:rFonts w:ascii="Times New Roman" w:hAnsi="Times New Roman" w:cs="Times New Roman"/>
          <w:sz w:val="28"/>
          <w:szCs w:val="28"/>
          <w:lang w:val="ru-RU"/>
        </w:rPr>
        <w:t>Текст :</w:t>
      </w:r>
      <w:proofErr w:type="gramEnd"/>
      <w:r w:rsidRPr="00BA7AD7">
        <w:rPr>
          <w:rFonts w:ascii="Times New Roman" w:hAnsi="Times New Roman" w:cs="Times New Roman"/>
          <w:sz w:val="28"/>
          <w:szCs w:val="28"/>
          <w:lang w:val="ru-RU"/>
        </w:rPr>
        <w:t xml:space="preserve"> электронный.</w:t>
      </w:r>
    </w:p>
    <w:p w14:paraId="02C39ADF" w14:textId="6174DBE5" w:rsidR="00793D47" w:rsidRPr="004B6B88" w:rsidRDefault="003E1833" w:rsidP="004B6B88">
      <w:pPr>
        <w:pStyle w:val="1"/>
        <w:spacing w:line="360" w:lineRule="auto"/>
        <w:rPr>
          <w:rFonts w:cs="Times New Roman"/>
          <w:lang w:val="ru-RU"/>
        </w:rPr>
      </w:pPr>
      <w:bookmarkStart w:id="14" w:name="_Toc233526131"/>
      <w:r>
        <w:rPr>
          <w:rFonts w:cs="Times New Roman"/>
          <w:lang w:val="ru-RU"/>
        </w:rPr>
        <w:lastRenderedPageBreak/>
        <w:t>ПРИЛОЖЕНИЯ</w:t>
      </w:r>
      <w:bookmarkEnd w:id="14"/>
    </w:p>
    <w:p w14:paraId="18DA8DC3" w14:textId="77777777" w:rsidR="003E1833" w:rsidRPr="004B6B88" w:rsidRDefault="003E1833" w:rsidP="004B6B88">
      <w:pPr>
        <w:spacing w:line="360" w:lineRule="auto"/>
        <w:rPr>
          <w:rFonts w:ascii="Times New Roman" w:hAnsi="Times New Roman" w:cs="Times New Roman"/>
          <w:sz w:val="28"/>
          <w:szCs w:val="28"/>
          <w:lang w:val="ru-RU"/>
        </w:rPr>
      </w:pPr>
    </w:p>
    <w:p w14:paraId="0B000300" w14:textId="7B848B42" w:rsidR="00343600" w:rsidRDefault="00000000">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Приложение </w:t>
      </w:r>
      <w:r w:rsidR="00BA7AD7">
        <w:rPr>
          <w:rFonts w:ascii="Times New Roman" w:hAnsi="Times New Roman" w:cs="Times New Roman"/>
          <w:b/>
          <w:bCs/>
          <w:sz w:val="28"/>
          <w:szCs w:val="28"/>
          <w:lang w:val="ru-RU"/>
        </w:rPr>
        <w:t>1</w:t>
      </w:r>
      <w:r>
        <w:rPr>
          <w:rFonts w:ascii="Times New Roman" w:hAnsi="Times New Roman" w:cs="Times New Roman"/>
          <w:b/>
          <w:bCs/>
          <w:sz w:val="28"/>
          <w:szCs w:val="28"/>
          <w:lang w:val="ru-RU"/>
        </w:rPr>
        <w:t>. Расчёт недиагональных слагаемых матрицы ковариаций (ND = 2 × сумма ND-слагаемых)</w:t>
      </w:r>
    </w:p>
    <w:p w14:paraId="3543B548"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Блок 2 — недиагональные слагаемые (i ≠ j, с коэффициентом 2):</w:t>
      </w:r>
    </w:p>
    <w:p w14:paraId="018E672C" w14:textId="4ABD7AB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ND = 2· [ w1·w2·Cov12 + w1·w3·Cov13 + w1·w4·Cov14 + w1·w5·Cov15 + w1·w6·Cov16</m:t>
          </m:r>
        </m:oMath>
      </m:oMathPara>
    </w:p>
    <w:p w14:paraId="4F18B88F" w14:textId="10CD522E"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w2·w3·Cov23 + w2·w4·Cov24 + w2·w5·Cov25 + w2·w6·Cov26</m:t>
          </m:r>
        </m:oMath>
      </m:oMathPara>
    </w:p>
    <w:p w14:paraId="026D1AEC" w14:textId="522D92D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xml:space="preserve">    + w3·w4·Cov34 + w3·w5·Cov35 + w3·w6·Cov36</m:t>
          </m:r>
        </m:oMath>
      </m:oMathPara>
    </w:p>
    <w:p w14:paraId="2EAE8DED" w14:textId="261D18D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xml:space="preserve">    + w4·w5·Cov45 + w4·w6·Cov46 + w5·w6·Cov56]</m:t>
          </m:r>
        </m:oMath>
      </m:oMathPara>
    </w:p>
    <w:p w14:paraId="79878DCB"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Расчёт каждого слагаемого:</w:t>
      </w:r>
    </w:p>
    <w:p w14:paraId="6057ADA3" w14:textId="7E2F91D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w1·w2·Cov12 = 0,284·0,191·0,066286 = 0,003587</m:t>
          </m:r>
        </m:oMath>
      </m:oMathPara>
    </w:p>
    <w:p w14:paraId="1EAD4106" w14:textId="17D8ED3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w1·w3·Cov13 = 0,284·0,130·0,056609 = 0,002092</m:t>
          </m:r>
        </m:oMath>
      </m:oMathPara>
    </w:p>
    <w:p w14:paraId="77A451DA" w14:textId="2DEB0C94"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w1·w4·Cov14 = 0,284·0,093·0,029025 = 0,000766</m:t>
          </m:r>
        </m:oMath>
      </m:oMathPara>
    </w:p>
    <w:p w14:paraId="75E50DC1" w14:textId="2F732F7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w1·w5·Cov15 = 0,284·0,120·0,018162 = 0,000619</m:t>
          </m:r>
        </m:oMath>
      </m:oMathPara>
    </w:p>
    <w:p w14:paraId="6F4DA52A" w14:textId="64BB7FE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w1·w6·Cov16 = 0,284·0,103·0,018442 = 0,000539</m:t>
          </m:r>
        </m:oMath>
      </m:oMathPara>
    </w:p>
    <w:p w14:paraId="10C6266F" w14:textId="250417B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w2·w3·Cov23 = 0,191·0,130·0,052175 = 0,001296</m:t>
          </m:r>
        </m:oMath>
      </m:oMathPara>
    </w:p>
    <w:p w14:paraId="1CBD32A3" w14:textId="058AD094"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w2·w4·Cov24 = 0,191·0,093·0,026370 = 0,000468</m:t>
          </m:r>
        </m:oMath>
      </m:oMathPara>
    </w:p>
    <w:p w14:paraId="214C678A" w14:textId="28173BD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w2·w5·Cov25 = 0,191·0,120·0,015889 = 0,000364</m:t>
          </m:r>
        </m:oMath>
      </m:oMathPara>
    </w:p>
    <w:p w14:paraId="0B2CE830" w14:textId="3104C49D"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w2·w6·Cov26 = 0,191·0,103·0,016580 = 0,000326</m:t>
          </m:r>
        </m:oMath>
      </m:oMathPara>
    </w:p>
    <w:p w14:paraId="54D41EC0" w14:textId="1A3CB0E1"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w3·w4·Cov34 = 0,130·0,093·0,030105 = 0,000364</m:t>
          </m:r>
        </m:oMath>
      </m:oMathPara>
    </w:p>
    <w:p w14:paraId="68AC971F" w14:textId="174A5491"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w3·w5·Cov35 = 0,130·0,120·0,023068 = 0,000360</m:t>
          </m:r>
        </m:oMath>
      </m:oMathPara>
    </w:p>
    <w:p w14:paraId="402E6544" w14:textId="6BC96B7D"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w3·w6·Cov36 = 0,130·0,103·0,022222 = 0,000298</m:t>
          </m:r>
        </m:oMath>
      </m:oMathPara>
    </w:p>
    <w:p w14:paraId="4EEFB5D9" w14:textId="52892DB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w4·w5·Cov45 = 0,093·0,120·0,012029 = 0,000134</m:t>
          </m:r>
        </m:oMath>
      </m:oMathPara>
    </w:p>
    <w:p w14:paraId="5D201EFF" w14:textId="040CBBD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w:lastRenderedPageBreak/>
            <m:t>w4·w6·Cov46 = 0,093·0,103·0,010742 = 0,000103</m:t>
          </m:r>
        </m:oMath>
      </m:oMathPara>
    </w:p>
    <w:p w14:paraId="3451FC52" w14:textId="189E8ADB"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w5·w6·Cov56 = 0,120·0,103·0,026594 = 0,000329</m:t>
          </m:r>
        </m:oMath>
      </m:oMathPara>
    </w:p>
    <w:p w14:paraId="4849ADE8" w14:textId="14C2BE26"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Сумма слагаемых = 0,011645</m:t>
          </m:r>
        </m:oMath>
      </m:oMathPara>
    </w:p>
    <w:p w14:paraId="4DA16822" w14:textId="02392C17"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ND = 2 · 0,011645 = 0,023290</m:t>
          </m:r>
        </m:oMath>
      </m:oMathPara>
    </w:p>
    <w:sectPr w:rsidR="002A4350" w:rsidRPr="004B6B88" w:rsidSect="009A2D3C">
      <w:footerReference w:type="default" r:id="rId15"/>
      <w:type w:val="oddPag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3A531" w14:textId="77777777" w:rsidR="009155E2" w:rsidRDefault="009155E2" w:rsidP="002C229C">
      <w:pPr>
        <w:spacing w:line="240" w:lineRule="auto"/>
      </w:pPr>
      <w:r>
        <w:separator/>
      </w:r>
    </w:p>
  </w:endnote>
  <w:endnote w:type="continuationSeparator" w:id="0">
    <w:p w14:paraId="2838682D" w14:textId="77777777" w:rsidR="009155E2" w:rsidRDefault="009155E2" w:rsidP="002C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62960EC3-0541-4BDC-AD26-BA2C2ABB8C6C}"/>
  </w:font>
  <w:font w:name="Tahoma">
    <w:panose1 w:val="020B0604030504040204"/>
    <w:charset w:val="CC"/>
    <w:family w:val="swiss"/>
    <w:pitch w:val="variable"/>
    <w:sig w:usb0="E1002EFF" w:usb1="C000605B" w:usb2="00000029" w:usb3="00000000" w:csb0="000101FF" w:csb1="00000000"/>
    <w:embedRegular r:id="rId2" w:fontKey="{CFD9E20A-4819-4DDD-A12A-1EF895D1C43C}"/>
  </w:font>
  <w:font w:name="Cambria Math">
    <w:panose1 w:val="02040503050406030204"/>
    <w:charset w:val="CC"/>
    <w:family w:val="roman"/>
    <w:pitch w:val="variable"/>
    <w:sig w:usb0="E00006FF" w:usb1="420024FF" w:usb2="02000000" w:usb3="00000000" w:csb0="0000019F" w:csb1="00000000"/>
    <w:embedRegular r:id="rId3" w:fontKey="{718C189C-D610-4E2C-98F6-24BB11454709}"/>
    <w:embedItalic r:id="rId4" w:fontKey="{A3177651-A151-44C6-823D-903C4B55E89F}"/>
  </w:font>
  <w:font w:name="Cambria">
    <w:panose1 w:val="02040503050406030204"/>
    <w:charset w:val="CC"/>
    <w:family w:val="roman"/>
    <w:pitch w:val="variable"/>
    <w:sig w:usb0="E00006FF" w:usb1="420024FF" w:usb2="02000000" w:usb3="00000000" w:csb0="0000019F" w:csb1="00000000"/>
    <w:embedRegular r:id="rId5" w:fontKey="{671DB499-8A34-491D-9D00-2C9CFD1706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627610"/>
      <w:docPartObj>
        <w:docPartGallery w:val="Page Numbers (Bottom of Page)"/>
        <w:docPartUnique/>
      </w:docPartObj>
    </w:sdtPr>
    <w:sdtContent>
      <w:p w14:paraId="1CF1392D" w14:textId="23DC3FE7" w:rsidR="00306918" w:rsidRDefault="00306918">
        <w:pPr>
          <w:pStyle w:val="a9"/>
          <w:jc w:val="center"/>
        </w:pPr>
        <w:r>
          <w:fldChar w:fldCharType="begin"/>
        </w:r>
        <w:r>
          <w:instrText>PAGE   \* MERGEFORMAT</w:instrText>
        </w:r>
        <w:r>
          <w:fldChar w:fldCharType="separate"/>
        </w:r>
        <w:r>
          <w:rPr>
            <w:lang w:val="ru-RU"/>
          </w:rPr>
          <w:t>2</w:t>
        </w:r>
        <w:r>
          <w:fldChar w:fldCharType="end"/>
        </w:r>
      </w:p>
    </w:sdtContent>
  </w:sdt>
  <w:p w14:paraId="0256EBE5" w14:textId="77777777" w:rsidR="00306918" w:rsidRDefault="00306918">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940354"/>
      <w:docPartObj>
        <w:docPartGallery w:val="Page Numbers (Bottom of Page)"/>
        <w:docPartUnique/>
      </w:docPartObj>
    </w:sdtPr>
    <w:sdtEndPr>
      <w:rPr>
        <w:rFonts w:ascii="Times New Roman" w:hAnsi="Times New Roman" w:cs="Times New Roman"/>
        <w:sz w:val="28"/>
        <w:szCs w:val="28"/>
      </w:rPr>
    </w:sdtEndPr>
    <w:sdtContent>
      <w:p w14:paraId="2C7209F9" w14:textId="77777777" w:rsidR="00677407" w:rsidRPr="00CD1CF2" w:rsidRDefault="00677407">
        <w:pPr>
          <w:pStyle w:val="a9"/>
          <w:jc w:val="center"/>
          <w:rPr>
            <w:rFonts w:ascii="Times New Roman" w:hAnsi="Times New Roman" w:cs="Times New Roman"/>
            <w:sz w:val="28"/>
            <w:szCs w:val="28"/>
          </w:rPr>
        </w:pPr>
        <w:r w:rsidRPr="00CD1CF2">
          <w:rPr>
            <w:rFonts w:ascii="Times New Roman" w:hAnsi="Times New Roman" w:cs="Times New Roman"/>
            <w:sz w:val="28"/>
            <w:szCs w:val="28"/>
          </w:rPr>
          <w:fldChar w:fldCharType="begin"/>
        </w:r>
        <w:r w:rsidRPr="00CD1CF2">
          <w:rPr>
            <w:rFonts w:ascii="Times New Roman" w:hAnsi="Times New Roman" w:cs="Times New Roman"/>
            <w:sz w:val="28"/>
            <w:szCs w:val="28"/>
          </w:rPr>
          <w:instrText>PAGE   \* MERGEFORMAT</w:instrText>
        </w:r>
        <w:r w:rsidRPr="00CD1CF2">
          <w:rPr>
            <w:rFonts w:ascii="Times New Roman" w:hAnsi="Times New Roman" w:cs="Times New Roman"/>
            <w:sz w:val="28"/>
            <w:szCs w:val="28"/>
          </w:rPr>
          <w:fldChar w:fldCharType="separate"/>
        </w:r>
        <w:r w:rsidR="0094314F" w:rsidRPr="0094314F">
          <w:rPr>
            <w:rFonts w:ascii="Times New Roman" w:hAnsi="Times New Roman" w:cs="Times New Roman"/>
            <w:noProof/>
            <w:sz w:val="28"/>
            <w:szCs w:val="28"/>
            <w:lang w:val="ru-RU"/>
          </w:rPr>
          <w:t>4</w:t>
        </w:r>
        <w:r w:rsidRPr="00CD1CF2">
          <w:rPr>
            <w:rFonts w:ascii="Times New Roman" w:hAnsi="Times New Roman" w:cs="Times New Roman"/>
            <w:sz w:val="28"/>
            <w:szCs w:val="28"/>
          </w:rPr>
          <w:fldChar w:fldCharType="end"/>
        </w:r>
      </w:p>
    </w:sdtContent>
  </w:sdt>
  <w:p w14:paraId="2DF55FA3" w14:textId="77777777" w:rsidR="00677407" w:rsidRDefault="0067740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BF9CE" w14:textId="77777777" w:rsidR="009155E2" w:rsidRDefault="009155E2" w:rsidP="002C229C">
      <w:pPr>
        <w:spacing w:line="240" w:lineRule="auto"/>
      </w:pPr>
      <w:r>
        <w:separator/>
      </w:r>
    </w:p>
  </w:footnote>
  <w:footnote w:type="continuationSeparator" w:id="0">
    <w:p w14:paraId="7994CE22" w14:textId="77777777" w:rsidR="009155E2" w:rsidRDefault="009155E2" w:rsidP="002C22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7B6"/>
    <w:multiLevelType w:val="multilevel"/>
    <w:tmpl w:val="FB92CF1E"/>
    <w:lvl w:ilvl="0">
      <w:start w:val="1"/>
      <w:numFmt w:val="bullet"/>
      <w:lvlText w:val=""/>
      <w:lvlJc w:val="left"/>
      <w:pPr>
        <w:ind w:left="720" w:hanging="360"/>
      </w:pPr>
      <w:rPr>
        <w:rFonts w:ascii="Symbol" w:hAnsi="Symbol"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16D7"/>
    <w:multiLevelType w:val="multilevel"/>
    <w:tmpl w:val="A4D6580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5F460A"/>
    <w:multiLevelType w:val="multilevel"/>
    <w:tmpl w:val="4FA4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5ED"/>
    <w:multiLevelType w:val="multilevel"/>
    <w:tmpl w:val="87DA20B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12ECD"/>
    <w:multiLevelType w:val="hybridMultilevel"/>
    <w:tmpl w:val="36EC787A"/>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CD1D89"/>
    <w:multiLevelType w:val="hybridMultilevel"/>
    <w:tmpl w:val="AE9C029C"/>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ED61AA"/>
    <w:multiLevelType w:val="hybridMultilevel"/>
    <w:tmpl w:val="5E8EECDA"/>
    <w:lvl w:ilvl="0" w:tplc="E254767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81A2E68"/>
    <w:multiLevelType w:val="hybridMultilevel"/>
    <w:tmpl w:val="72689064"/>
    <w:lvl w:ilvl="0" w:tplc="C456A506">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37835331"/>
    <w:multiLevelType w:val="multilevel"/>
    <w:tmpl w:val="7A94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302493"/>
    <w:multiLevelType w:val="multilevel"/>
    <w:tmpl w:val="85DCA8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497724"/>
    <w:multiLevelType w:val="multilevel"/>
    <w:tmpl w:val="EFD2F526"/>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40BE69C4"/>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D14A3"/>
    <w:multiLevelType w:val="multilevel"/>
    <w:tmpl w:val="E0FA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D41129"/>
    <w:multiLevelType w:val="hybridMultilevel"/>
    <w:tmpl w:val="74EE6934"/>
    <w:lvl w:ilvl="0" w:tplc="CB0AC392">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4E55539E"/>
    <w:multiLevelType w:val="multilevel"/>
    <w:tmpl w:val="4E55539E"/>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5" w15:restartNumberingAfterBreak="0">
    <w:nsid w:val="55600114"/>
    <w:multiLevelType w:val="multilevel"/>
    <w:tmpl w:val="269C92EA"/>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D1BED"/>
    <w:multiLevelType w:val="multilevel"/>
    <w:tmpl w:val="568D1BE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1826FC"/>
    <w:multiLevelType w:val="multilevel"/>
    <w:tmpl w:val="7D5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B2DC7"/>
    <w:multiLevelType w:val="multilevel"/>
    <w:tmpl w:val="CA3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45DA3"/>
    <w:multiLevelType w:val="multilevel"/>
    <w:tmpl w:val="E0CA24E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2495472"/>
    <w:multiLevelType w:val="multilevel"/>
    <w:tmpl w:val="B172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492A58"/>
    <w:multiLevelType w:val="multilevel"/>
    <w:tmpl w:val="4F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3249C"/>
    <w:multiLevelType w:val="hybridMultilevel"/>
    <w:tmpl w:val="58D0A7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1A059CC"/>
    <w:multiLevelType w:val="multilevel"/>
    <w:tmpl w:val="599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E4DE2"/>
    <w:multiLevelType w:val="multilevel"/>
    <w:tmpl w:val="50A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F2C60"/>
    <w:multiLevelType w:val="multilevel"/>
    <w:tmpl w:val="558A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85302E"/>
    <w:multiLevelType w:val="multilevel"/>
    <w:tmpl w:val="1C96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691478"/>
    <w:multiLevelType w:val="multilevel"/>
    <w:tmpl w:val="C2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498661">
    <w:abstractNumId w:val="1"/>
  </w:num>
  <w:num w:numId="2" w16cid:durableId="299500119">
    <w:abstractNumId w:val="26"/>
  </w:num>
  <w:num w:numId="3" w16cid:durableId="1670910368">
    <w:abstractNumId w:val="9"/>
  </w:num>
  <w:num w:numId="4" w16cid:durableId="1571186203">
    <w:abstractNumId w:val="27"/>
  </w:num>
  <w:num w:numId="5" w16cid:durableId="312685302">
    <w:abstractNumId w:val="23"/>
  </w:num>
  <w:num w:numId="6" w16cid:durableId="583953480">
    <w:abstractNumId w:val="21"/>
  </w:num>
  <w:num w:numId="7" w16cid:durableId="42564256">
    <w:abstractNumId w:val="12"/>
  </w:num>
  <w:num w:numId="8" w16cid:durableId="168952913">
    <w:abstractNumId w:val="17"/>
  </w:num>
  <w:num w:numId="9" w16cid:durableId="1601185510">
    <w:abstractNumId w:val="2"/>
  </w:num>
  <w:num w:numId="10" w16cid:durableId="1140613886">
    <w:abstractNumId w:val="25"/>
  </w:num>
  <w:num w:numId="11" w16cid:durableId="279728497">
    <w:abstractNumId w:val="20"/>
  </w:num>
  <w:num w:numId="12" w16cid:durableId="476654995">
    <w:abstractNumId w:val="11"/>
  </w:num>
  <w:num w:numId="13" w16cid:durableId="1513716004">
    <w:abstractNumId w:val="3"/>
  </w:num>
  <w:num w:numId="14" w16cid:durableId="325742274">
    <w:abstractNumId w:val="18"/>
  </w:num>
  <w:num w:numId="15" w16cid:durableId="605190518">
    <w:abstractNumId w:val="24"/>
  </w:num>
  <w:num w:numId="16" w16cid:durableId="749083550">
    <w:abstractNumId w:val="0"/>
  </w:num>
  <w:num w:numId="17" w16cid:durableId="589125997">
    <w:abstractNumId w:val="4"/>
  </w:num>
  <w:num w:numId="18" w16cid:durableId="1850605958">
    <w:abstractNumId w:val="7"/>
  </w:num>
  <w:num w:numId="19" w16cid:durableId="1867284358">
    <w:abstractNumId w:val="5"/>
  </w:num>
  <w:num w:numId="20" w16cid:durableId="1037394356">
    <w:abstractNumId w:val="13"/>
  </w:num>
  <w:num w:numId="21" w16cid:durableId="1433628542">
    <w:abstractNumId w:val="15"/>
  </w:num>
  <w:num w:numId="22" w16cid:durableId="946547508">
    <w:abstractNumId w:val="10"/>
  </w:num>
  <w:num w:numId="23" w16cid:durableId="1516263127">
    <w:abstractNumId w:val="8"/>
  </w:num>
  <w:num w:numId="24" w16cid:durableId="1424182406">
    <w:abstractNumId w:val="22"/>
  </w:num>
  <w:num w:numId="25" w16cid:durableId="14500764">
    <w:abstractNumId w:val="6"/>
  </w:num>
  <w:num w:numId="26" w16cid:durableId="2054039626">
    <w:abstractNumId w:val="19"/>
  </w:num>
  <w:num w:numId="27" w16cid:durableId="20388521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161494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F4"/>
    <w:rsid w:val="0000516F"/>
    <w:rsid w:val="00020A98"/>
    <w:rsid w:val="00041F4F"/>
    <w:rsid w:val="0004539D"/>
    <w:rsid w:val="00074069"/>
    <w:rsid w:val="0007704C"/>
    <w:rsid w:val="000C0B11"/>
    <w:rsid w:val="00202A9E"/>
    <w:rsid w:val="00205FD5"/>
    <w:rsid w:val="00217885"/>
    <w:rsid w:val="00220139"/>
    <w:rsid w:val="002A4350"/>
    <w:rsid w:val="002B401D"/>
    <w:rsid w:val="002C229C"/>
    <w:rsid w:val="00306918"/>
    <w:rsid w:val="0032374A"/>
    <w:rsid w:val="003279C5"/>
    <w:rsid w:val="00340369"/>
    <w:rsid w:val="00343600"/>
    <w:rsid w:val="00390B28"/>
    <w:rsid w:val="003E1833"/>
    <w:rsid w:val="00407C66"/>
    <w:rsid w:val="004167DF"/>
    <w:rsid w:val="0044331F"/>
    <w:rsid w:val="004605F7"/>
    <w:rsid w:val="00464434"/>
    <w:rsid w:val="00467F49"/>
    <w:rsid w:val="004962FA"/>
    <w:rsid w:val="004B6B88"/>
    <w:rsid w:val="004C1FFA"/>
    <w:rsid w:val="004C64C2"/>
    <w:rsid w:val="004D2295"/>
    <w:rsid w:val="004F3E51"/>
    <w:rsid w:val="0051150E"/>
    <w:rsid w:val="00564EEC"/>
    <w:rsid w:val="0057476F"/>
    <w:rsid w:val="00580BE4"/>
    <w:rsid w:val="0059624A"/>
    <w:rsid w:val="005F2182"/>
    <w:rsid w:val="00612FCD"/>
    <w:rsid w:val="00631EF4"/>
    <w:rsid w:val="00634639"/>
    <w:rsid w:val="00653A71"/>
    <w:rsid w:val="00673439"/>
    <w:rsid w:val="00675B6A"/>
    <w:rsid w:val="00677407"/>
    <w:rsid w:val="006C1187"/>
    <w:rsid w:val="00710322"/>
    <w:rsid w:val="00793D47"/>
    <w:rsid w:val="007B160D"/>
    <w:rsid w:val="007C0E83"/>
    <w:rsid w:val="007C0ED7"/>
    <w:rsid w:val="007D27F4"/>
    <w:rsid w:val="00823BB7"/>
    <w:rsid w:val="008521AF"/>
    <w:rsid w:val="0086447A"/>
    <w:rsid w:val="00871D2B"/>
    <w:rsid w:val="00876867"/>
    <w:rsid w:val="00884363"/>
    <w:rsid w:val="008B4AFE"/>
    <w:rsid w:val="008D7CA4"/>
    <w:rsid w:val="009155E2"/>
    <w:rsid w:val="0094314F"/>
    <w:rsid w:val="0097563D"/>
    <w:rsid w:val="009A2D3C"/>
    <w:rsid w:val="00A30BC7"/>
    <w:rsid w:val="00AC39F8"/>
    <w:rsid w:val="00AC43B0"/>
    <w:rsid w:val="00AF1EBB"/>
    <w:rsid w:val="00B50D38"/>
    <w:rsid w:val="00B67275"/>
    <w:rsid w:val="00BA7AD7"/>
    <w:rsid w:val="00C32A1D"/>
    <w:rsid w:val="00C76864"/>
    <w:rsid w:val="00CD00E9"/>
    <w:rsid w:val="00CD1CF2"/>
    <w:rsid w:val="00D2601B"/>
    <w:rsid w:val="00D5153A"/>
    <w:rsid w:val="00DA4464"/>
    <w:rsid w:val="00DD5FC9"/>
    <w:rsid w:val="00DE18F0"/>
    <w:rsid w:val="00E528FF"/>
    <w:rsid w:val="00E5368D"/>
    <w:rsid w:val="00E64932"/>
    <w:rsid w:val="00EB52E2"/>
    <w:rsid w:val="00EC4086"/>
    <w:rsid w:val="00F3147E"/>
    <w:rsid w:val="00F34C03"/>
    <w:rsid w:val="00F74D7F"/>
    <w:rsid w:val="00F834A7"/>
    <w:rsid w:val="00F8537A"/>
    <w:rsid w:val="00F9447B"/>
    <w:rsid w:val="00FB4C04"/>
    <w:rsid w:val="00FD20BF"/>
    <w:rsid w:val="00FE64C3"/>
    <w:rsid w:val="00FF0F5C"/>
    <w:rsid w:val="00FF3E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BEBA0"/>
  <w15:docId w15:val="{27147DE6-02FD-4804-A89F-59DF9317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6918"/>
  </w:style>
  <w:style w:type="paragraph" w:styleId="1">
    <w:name w:val="heading 1"/>
    <w:basedOn w:val="a"/>
    <w:next w:val="a"/>
    <w:uiPriority w:val="9"/>
    <w:qFormat/>
    <w:rsid w:val="0007704C"/>
    <w:pPr>
      <w:keepNext/>
      <w:keepLines/>
      <w:spacing w:before="400" w:after="120"/>
      <w:jc w:val="center"/>
      <w:outlineLvl w:val="0"/>
    </w:pPr>
    <w:rPr>
      <w:rFonts w:ascii="Times New Roman" w:hAnsi="Times New Roman"/>
      <w:b/>
      <w:color w:val="000000" w:themeColor="text1"/>
      <w:sz w:val="28"/>
      <w:szCs w:val="40"/>
    </w:rPr>
  </w:style>
  <w:style w:type="paragraph" w:styleId="2">
    <w:name w:val="heading 2"/>
    <w:basedOn w:val="a"/>
    <w:next w:val="a"/>
    <w:uiPriority w:val="9"/>
    <w:unhideWhenUsed/>
    <w:qFormat/>
    <w:rsid w:val="00631EF4"/>
    <w:pPr>
      <w:keepNext/>
      <w:keepLines/>
      <w:spacing w:before="360" w:after="120"/>
      <w:jc w:val="center"/>
      <w:outlineLvl w:val="1"/>
    </w:pPr>
    <w:rPr>
      <w:rFonts w:ascii="Times New Roman" w:hAnsi="Times New Roman"/>
      <w:b/>
      <w:sz w:val="28"/>
      <w:szCs w:val="32"/>
    </w:rPr>
  </w:style>
  <w:style w:type="paragraph" w:styleId="3">
    <w:name w:val="heading 3"/>
    <w:basedOn w:val="a"/>
    <w:next w:val="a"/>
    <w:uiPriority w:val="9"/>
    <w:semiHidden/>
    <w:unhideWhenUsed/>
    <w:qFormat/>
    <w:rsid w:val="00DD5FC9"/>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DD5FC9"/>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DD5FC9"/>
    <w:pPr>
      <w:keepNext/>
      <w:keepLines/>
      <w:spacing w:before="240" w:after="80"/>
      <w:outlineLvl w:val="4"/>
    </w:pPr>
    <w:rPr>
      <w:color w:val="666666"/>
    </w:rPr>
  </w:style>
  <w:style w:type="paragraph" w:styleId="6">
    <w:name w:val="heading 6"/>
    <w:basedOn w:val="a"/>
    <w:next w:val="a"/>
    <w:uiPriority w:val="9"/>
    <w:semiHidden/>
    <w:unhideWhenUsed/>
    <w:qFormat/>
    <w:rsid w:val="00DD5FC9"/>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5FC9"/>
    <w:tblPr>
      <w:tblCellMar>
        <w:top w:w="100" w:type="dxa"/>
        <w:left w:w="100" w:type="dxa"/>
        <w:bottom w:w="100" w:type="dxa"/>
        <w:right w:w="100" w:type="dxa"/>
      </w:tblCellMar>
    </w:tblPr>
  </w:style>
  <w:style w:type="paragraph" w:styleId="a3">
    <w:name w:val="Title"/>
    <w:basedOn w:val="a"/>
    <w:next w:val="a"/>
    <w:uiPriority w:val="10"/>
    <w:qFormat/>
    <w:rsid w:val="00DD5FC9"/>
    <w:pPr>
      <w:keepNext/>
      <w:keepLines/>
      <w:spacing w:after="60"/>
    </w:pPr>
    <w:rPr>
      <w:sz w:val="52"/>
      <w:szCs w:val="52"/>
    </w:rPr>
  </w:style>
  <w:style w:type="paragraph" w:styleId="a4">
    <w:name w:val="Subtitle"/>
    <w:basedOn w:val="a"/>
    <w:next w:val="a"/>
    <w:uiPriority w:val="11"/>
    <w:qFormat/>
    <w:rsid w:val="00DD5FC9"/>
    <w:pPr>
      <w:keepNext/>
      <w:keepLines/>
      <w:spacing w:after="320"/>
    </w:pPr>
    <w:rPr>
      <w:color w:val="666666"/>
      <w:sz w:val="30"/>
      <w:szCs w:val="30"/>
    </w:rPr>
  </w:style>
  <w:style w:type="paragraph" w:styleId="a5">
    <w:name w:val="List Paragraph"/>
    <w:basedOn w:val="a"/>
    <w:uiPriority w:val="34"/>
    <w:qFormat/>
    <w:rsid w:val="00631EF4"/>
    <w:pPr>
      <w:ind w:left="720"/>
      <w:contextualSpacing/>
    </w:pPr>
  </w:style>
  <w:style w:type="character" w:styleId="a6">
    <w:name w:val="Placeholder Text"/>
    <w:basedOn w:val="a0"/>
    <w:uiPriority w:val="99"/>
    <w:semiHidden/>
    <w:rsid w:val="005F2182"/>
    <w:rPr>
      <w:color w:val="666666"/>
    </w:rPr>
  </w:style>
  <w:style w:type="paragraph" w:styleId="a7">
    <w:name w:val="header"/>
    <w:basedOn w:val="a"/>
    <w:link w:val="a8"/>
    <w:uiPriority w:val="99"/>
    <w:unhideWhenUsed/>
    <w:rsid w:val="002C229C"/>
    <w:pPr>
      <w:tabs>
        <w:tab w:val="center" w:pos="4677"/>
        <w:tab w:val="right" w:pos="9355"/>
      </w:tabs>
      <w:spacing w:line="240" w:lineRule="auto"/>
    </w:pPr>
  </w:style>
  <w:style w:type="character" w:customStyle="1" w:styleId="a8">
    <w:name w:val="Верхний колонтитул Знак"/>
    <w:basedOn w:val="a0"/>
    <w:link w:val="a7"/>
    <w:uiPriority w:val="99"/>
    <w:rsid w:val="002C229C"/>
  </w:style>
  <w:style w:type="paragraph" w:styleId="a9">
    <w:name w:val="footer"/>
    <w:basedOn w:val="a"/>
    <w:link w:val="aa"/>
    <w:uiPriority w:val="99"/>
    <w:unhideWhenUsed/>
    <w:rsid w:val="002C229C"/>
    <w:pPr>
      <w:tabs>
        <w:tab w:val="center" w:pos="4677"/>
        <w:tab w:val="right" w:pos="9355"/>
      </w:tabs>
      <w:spacing w:line="240" w:lineRule="auto"/>
    </w:pPr>
  </w:style>
  <w:style w:type="character" w:customStyle="1" w:styleId="aa">
    <w:name w:val="Нижний колонтитул Знак"/>
    <w:basedOn w:val="a0"/>
    <w:link w:val="a9"/>
    <w:uiPriority w:val="99"/>
    <w:rsid w:val="002C229C"/>
  </w:style>
  <w:style w:type="paragraph" w:styleId="ab">
    <w:name w:val="TOC Heading"/>
    <w:basedOn w:val="1"/>
    <w:next w:val="a"/>
    <w:uiPriority w:val="39"/>
    <w:unhideWhenUsed/>
    <w:qFormat/>
    <w:rsid w:val="002C229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2C229C"/>
    <w:pPr>
      <w:spacing w:after="100"/>
    </w:pPr>
  </w:style>
  <w:style w:type="paragraph" w:styleId="20">
    <w:name w:val="toc 2"/>
    <w:basedOn w:val="a"/>
    <w:next w:val="a"/>
    <w:autoRedefine/>
    <w:uiPriority w:val="39"/>
    <w:unhideWhenUsed/>
    <w:rsid w:val="002C229C"/>
    <w:pPr>
      <w:spacing w:after="100"/>
      <w:ind w:left="220"/>
    </w:pPr>
  </w:style>
  <w:style w:type="character" w:styleId="ac">
    <w:name w:val="Hyperlink"/>
    <w:basedOn w:val="a0"/>
    <w:uiPriority w:val="99"/>
    <w:unhideWhenUsed/>
    <w:rsid w:val="002C229C"/>
    <w:rPr>
      <w:color w:val="0000FF" w:themeColor="hyperlink"/>
      <w:u w:val="single"/>
    </w:rPr>
  </w:style>
  <w:style w:type="paragraph" w:styleId="ad">
    <w:name w:val="Balloon Text"/>
    <w:basedOn w:val="a"/>
    <w:link w:val="ae"/>
    <w:uiPriority w:val="99"/>
    <w:semiHidden/>
    <w:unhideWhenUsed/>
    <w:rsid w:val="00FF0F5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FF0F5C"/>
    <w:rPr>
      <w:rFonts w:ascii="Tahoma" w:hAnsi="Tahoma" w:cs="Tahoma"/>
      <w:sz w:val="16"/>
      <w:szCs w:val="16"/>
    </w:rPr>
  </w:style>
  <w:style w:type="table" w:styleId="af">
    <w:name w:val="Table Grid"/>
    <w:basedOn w:val="a1"/>
    <w:uiPriority w:val="39"/>
    <w:rsid w:val="006C1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ulaStyle">
    <w:name w:val="FormulaStyle"/>
    <w:basedOn w:val="a"/>
    <w:rsid w:val="004962FA"/>
    <w:pPr>
      <w:spacing w:before="60" w:after="60" w:line="360" w:lineRule="auto"/>
      <w:jc w:val="center"/>
    </w:pPr>
    <w:rPr>
      <w:rFonts w:ascii="Times New Roman" w:eastAsia="Times New Roman" w:hAnsi="Times New Roman" w:cs="Times New Roman"/>
      <w:sz w:val="28"/>
      <w:szCs w:val="28"/>
      <w:lang w:val="ru-RU"/>
    </w:rPr>
  </w:style>
  <w:style w:type="paragraph" w:styleId="30">
    <w:name w:val="toc 3"/>
    <w:basedOn w:val="a"/>
    <w:next w:val="a"/>
    <w:autoRedefine/>
    <w:uiPriority w:val="39"/>
    <w:unhideWhenUsed/>
    <w:rsid w:val="00EB52E2"/>
    <w:pPr>
      <w:spacing w:after="100"/>
      <w:ind w:left="440"/>
    </w:pPr>
  </w:style>
  <w:style w:type="character" w:styleId="af0">
    <w:name w:val="Unresolved Mention"/>
    <w:basedOn w:val="a0"/>
    <w:uiPriority w:val="99"/>
    <w:semiHidden/>
    <w:unhideWhenUsed/>
    <w:rsid w:val="00327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sstat.gov.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versta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ex.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br.r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disclosure.r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2964D-A72F-4ADC-8BC1-59AA4E13D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14512</Words>
  <Characters>82723</Characters>
  <Application>Microsoft Office Word</Application>
  <DocSecurity>0</DocSecurity>
  <Lines>689</Lines>
  <Paragraphs>194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Alexeyes1</dc:creator>
  <cp:lastModifiedBy>Александр</cp:lastModifiedBy>
  <cp:revision>2</cp:revision>
  <dcterms:created xsi:type="dcterms:W3CDTF">2026-06-28T05:02:00Z</dcterms:created>
  <dcterms:modified xsi:type="dcterms:W3CDTF">2026-06-28T05:02:00Z</dcterms:modified>
</cp:coreProperties>
</file>