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8" w:space="0" w:color="auto"/>
        </w:tblBorders>
        <w:tblLook w:val="04A0" w:firstRow="1" w:lastRow="0" w:firstColumn="1" w:lastColumn="0" w:noHBand="0" w:noVBand="1"/>
      </w:tblPr>
      <w:tblGrid>
        <w:gridCol w:w="9322"/>
      </w:tblGrid>
      <w:tr w:rsidR="00CD1CF2" w:rsidRPr="00EB1E9C"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77E26932">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r>
              <w:rPr>
                <w:rFonts w:ascii="Times New Roman" w:eastAsia="Times New Roman" w:hAnsi="Times New Roman" w:cs="Times New Roman"/>
                <w:b/>
                <w:sz w:val="26"/>
                <w:szCs w:val="26"/>
              </w:rPr>
              <w:t>Институт</w:t>
            </w:r>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ИнЭИ</w:t>
            </w:r>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r>
              <w:rPr>
                <w:rFonts w:ascii="Times New Roman" w:eastAsia="Times New Roman" w:hAnsi="Times New Roman" w:cs="Times New Roman"/>
                <w:b/>
                <w:sz w:val="26"/>
                <w:szCs w:val="26"/>
              </w:rPr>
              <w:t>Кафедра</w:t>
            </w:r>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17"/>
        <w:gridCol w:w="47"/>
      </w:tblGrid>
      <w:tr w:rsidR="00CD1CF2" w:rsidRPr="00CD1CF2" w14:paraId="65B057AE" w14:textId="77777777" w:rsidTr="00BA7AD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Направление</w:t>
            </w:r>
          </w:p>
        </w:tc>
        <w:tc>
          <w:tcPr>
            <w:tcW w:w="7426" w:type="dxa"/>
            <w:gridSpan w:val="13"/>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38.03.01 Экономика</w:t>
            </w:r>
          </w:p>
        </w:tc>
      </w:tr>
      <w:tr w:rsidR="00CD1CF2" w:rsidRPr="0048431F" w14:paraId="794BBF09" w14:textId="77777777" w:rsidTr="00BA7AD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2"/>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Pr>
                <w:rFonts w:ascii="Times New Roman" w:eastAsia="Times New Roman" w:hAnsi="Times New Roman" w:cs="Times New Roman"/>
                <w:sz w:val="20"/>
                <w:szCs w:val="20"/>
              </w:rPr>
              <w:t>(код и наименование)</w:t>
            </w:r>
          </w:p>
        </w:tc>
      </w:tr>
      <w:tr w:rsidR="00CD1CF2" w:rsidRPr="0048431F" w14:paraId="7A94BA75" w14:textId="77777777" w:rsidTr="00BA7AD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Образовательная программа</w:t>
            </w:r>
          </w:p>
        </w:tc>
        <w:tc>
          <w:tcPr>
            <w:tcW w:w="5965" w:type="dxa"/>
            <w:gridSpan w:val="7"/>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BA7AD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Форма обучения</w:t>
            </w:r>
          </w:p>
        </w:tc>
        <w:tc>
          <w:tcPr>
            <w:tcW w:w="6972" w:type="dxa"/>
            <w:gridSpan w:val="8"/>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очная</w:t>
            </w:r>
          </w:p>
        </w:tc>
      </w:tr>
      <w:tr w:rsidR="00CD1CF2" w:rsidRPr="0048431F" w14:paraId="5EEB7D90" w14:textId="77777777" w:rsidTr="00BA7AD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8"/>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(очная</w:t>
            </w:r>
            <w:r>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rPr>
              <w:t>очно-заочная</w:t>
            </w:r>
            <w:r>
              <w:rPr>
                <w:rFonts w:ascii="Times New Roman" w:eastAsia="Times New Roman" w:hAnsi="Times New Roman" w:cs="Times New Roman"/>
                <w:sz w:val="20"/>
                <w:szCs w:val="20"/>
                <w:lang w:val="en-US"/>
              </w:rPr>
              <w:t>/</w:t>
            </w:r>
            <w:r>
              <w:rPr>
                <w:rFonts w:ascii="Times New Roman" w:eastAsia="Times New Roman" w:hAnsi="Times New Roman" w:cs="Times New Roman"/>
                <w:sz w:val="20"/>
                <w:szCs w:val="20"/>
              </w:rPr>
              <w:t>заочная)</w:t>
            </w:r>
          </w:p>
        </w:tc>
      </w:tr>
      <w:tr w:rsidR="00CD1CF2" w:rsidRPr="00EB1E9C" w14:paraId="05168C60" w14:textId="77777777" w:rsidTr="00BA7AD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Тема:</w:t>
            </w:r>
          </w:p>
        </w:tc>
        <w:tc>
          <w:tcPr>
            <w:tcW w:w="8385" w:type="dxa"/>
            <w:gridSpan w:val="16"/>
            <w:tcBorders>
              <w:bottom w:val="single" w:sz="4" w:space="0" w:color="auto"/>
            </w:tcBorders>
            <w:vAlign w:val="bottom"/>
          </w:tcPr>
          <w:p w14:paraId="3CEDAD1A" w14:textId="50E11923" w:rsidR="00CD1CF2" w:rsidRPr="00D2601B" w:rsidRDefault="00D2601B" w:rsidP="00D2601B">
            <w:pPr>
              <w:spacing w:line="240" w:lineRule="auto"/>
              <w:jc w:val="center"/>
              <w:rPr>
                <w:rFonts w:ascii="Times New Roman" w:hAnsi="Times New Roman" w:cs="Times New Roman"/>
                <w:b/>
                <w:sz w:val="26"/>
                <w:szCs w:val="26"/>
                <w:lang w:val="ru-RU"/>
              </w:rPr>
            </w:pPr>
            <w:r w:rsidRPr="00D2601B">
              <w:rPr>
                <w:rFonts w:ascii="Times New Roman" w:hAnsi="Times New Roman" w:cs="Times New Roman"/>
                <w:noProof/>
                <w:sz w:val="26"/>
                <w:szCs w:val="26"/>
                <w:lang w:val="ru-RU"/>
              </w:rPr>
              <w:t>Оценка состава и качества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BA7AD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Студент</w:t>
            </w:r>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3"/>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BA7AD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группа</w:t>
            </w:r>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3698" w:type="dxa"/>
            <w:gridSpan w:val="3"/>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фамилия и инициалы</w:t>
            </w:r>
          </w:p>
        </w:tc>
      </w:tr>
      <w:tr w:rsidR="00CD1CF2" w:rsidRPr="0048431F" w14:paraId="3171A266" w14:textId="77777777" w:rsidTr="00BA7AD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Руководитель ВКР</w:t>
            </w:r>
          </w:p>
        </w:tc>
        <w:tc>
          <w:tcPr>
            <w:tcW w:w="1279" w:type="dxa"/>
            <w:gridSpan w:val="2"/>
            <w:tcBorders>
              <w:bottom w:val="single" w:sz="4" w:space="0" w:color="auto"/>
            </w:tcBorders>
            <w:vAlign w:val="bottom"/>
          </w:tcPr>
          <w:p w14:paraId="543CA921" w14:textId="7F4A2AFB" w:rsidR="00CD1CF2" w:rsidRPr="00D2601B"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к. э. н.</w:t>
            </w:r>
          </w:p>
        </w:tc>
        <w:tc>
          <w:tcPr>
            <w:tcW w:w="2267" w:type="dxa"/>
            <w:gridSpan w:val="4"/>
            <w:tcBorders>
              <w:bottom w:val="single" w:sz="4" w:space="0" w:color="auto"/>
            </w:tcBorders>
            <w:vAlign w:val="bottom"/>
          </w:tcPr>
          <w:p w14:paraId="363137B9" w14:textId="449AE5BF" w:rsidR="00CD1CF2" w:rsidRPr="00EB1E9C" w:rsidRDefault="00EB1E9C"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доцент</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gridSpan w:val="2"/>
            <w:tcBorders>
              <w:bottom w:val="single" w:sz="4" w:space="0" w:color="auto"/>
            </w:tcBorders>
            <w:vAlign w:val="bottom"/>
          </w:tcPr>
          <w:p w14:paraId="66FA7544" w14:textId="2560C24E" w:rsidR="00CD1CF2" w:rsidRPr="00CD1CF2"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 Е.</w:t>
            </w:r>
          </w:p>
        </w:tc>
      </w:tr>
      <w:tr w:rsidR="00CD1CF2" w:rsidRPr="0048431F" w14:paraId="2ED8E814" w14:textId="77777777" w:rsidTr="00BA7AD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должность</w:t>
            </w:r>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2564" w:type="dxa"/>
            <w:gridSpan w:val="2"/>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фамилия и инициалы</w:t>
            </w:r>
          </w:p>
        </w:tc>
      </w:tr>
      <w:tr w:rsidR="00CD1CF2" w:rsidRPr="0048431F" w14:paraId="75A5DE55" w14:textId="77777777" w:rsidTr="00BA7AD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Консультант</w:t>
            </w:r>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BA7AD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должность</w:t>
            </w:r>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2564" w:type="dxa"/>
            <w:gridSpan w:val="2"/>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фамилия и инициалы</w:t>
            </w:r>
          </w:p>
        </w:tc>
      </w:tr>
      <w:tr w:rsidR="00CD1CF2" w:rsidRPr="0048431F" w14:paraId="4F10FB5E" w14:textId="77777777" w:rsidTr="00BA7AD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Внешний консультант</w:t>
            </w:r>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BA7AD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должность</w:t>
            </w:r>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2564" w:type="dxa"/>
            <w:gridSpan w:val="2"/>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фамилия и инициалы</w:t>
            </w:r>
          </w:p>
        </w:tc>
      </w:tr>
      <w:tr w:rsidR="00CD1CF2" w:rsidRPr="0048431F" w14:paraId="307A8522" w14:textId="77777777" w:rsidTr="00BA7AD7">
        <w:trPr>
          <w:trHeight w:val="80"/>
        </w:trPr>
        <w:tc>
          <w:tcPr>
            <w:tcW w:w="9369" w:type="dxa"/>
            <w:gridSpan w:val="17"/>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BA7AD7">
        <w:trPr>
          <w:trHeight w:val="283"/>
        </w:trPr>
        <w:tc>
          <w:tcPr>
            <w:tcW w:w="9369" w:type="dxa"/>
            <w:gridSpan w:val="17"/>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r>
              <w:rPr>
                <w:rFonts w:ascii="Times New Roman" w:eastAsia="Times New Roman" w:hAnsi="Times New Roman" w:cs="Times New Roman"/>
                <w:sz w:val="20"/>
                <w:szCs w:val="20"/>
              </w:rPr>
              <w:t>организация</w:t>
            </w:r>
          </w:p>
        </w:tc>
      </w:tr>
      <w:tr w:rsidR="00CD1CF2" w:rsidRPr="0048431F" w14:paraId="7B766E4D" w14:textId="77777777" w:rsidTr="00BA7AD7">
        <w:trPr>
          <w:trHeight w:val="340"/>
        </w:trPr>
        <w:tc>
          <w:tcPr>
            <w:tcW w:w="9369" w:type="dxa"/>
            <w:gridSpan w:val="17"/>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Pr>
                <w:rFonts w:ascii="Times New Roman" w:eastAsia="Times New Roman" w:hAnsi="Times New Roman" w:cs="Times New Roman"/>
                <w:b/>
                <w:sz w:val="26"/>
                <w:szCs w:val="26"/>
              </w:rPr>
              <w:t>«Работа допущена к защите»</w:t>
            </w:r>
          </w:p>
        </w:tc>
      </w:tr>
      <w:tr w:rsidR="00CD1CF2" w:rsidRPr="0048431F" w14:paraId="168A90CD" w14:textId="77777777" w:rsidTr="00BA7AD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Заведующий кафедрой</w:t>
            </w:r>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gridSpan w:val="2"/>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Крыленко Е.Е.</w:t>
            </w:r>
          </w:p>
        </w:tc>
      </w:tr>
      <w:tr w:rsidR="00CD1CF2" w:rsidRPr="0048431F" w14:paraId="16D3541A" w14:textId="77777777" w:rsidTr="00BA7AD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0"/>
                <w:szCs w:val="20"/>
              </w:rPr>
              <w:t>уч. степень</w:t>
            </w:r>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0"/>
                <w:szCs w:val="20"/>
              </w:rPr>
              <w:t>звание</w:t>
            </w:r>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0"/>
                <w:szCs w:val="20"/>
              </w:rPr>
              <w:t>подпись</w:t>
            </w:r>
          </w:p>
        </w:tc>
        <w:tc>
          <w:tcPr>
            <w:tcW w:w="2564" w:type="dxa"/>
            <w:gridSpan w:val="2"/>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0"/>
                <w:szCs w:val="20"/>
              </w:rPr>
              <w:t>фамилия и инициалы</w:t>
            </w:r>
          </w:p>
        </w:tc>
      </w:tr>
      <w:tr w:rsidR="00CD1CF2" w:rsidRPr="0048431F" w14:paraId="78EA4155" w14:textId="77777777" w:rsidTr="00BA7AD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Дата</w:t>
            </w:r>
          </w:p>
        </w:tc>
        <w:tc>
          <w:tcPr>
            <w:tcW w:w="2564" w:type="dxa"/>
            <w:gridSpan w:val="2"/>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BA7AD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Pr>
                <w:rFonts w:ascii="Times New Roman" w:eastAsia="Times New Roman" w:hAnsi="Times New Roman" w:cs="Times New Roman"/>
                <w:b/>
                <w:sz w:val="26"/>
                <w:szCs w:val="26"/>
              </w:rPr>
              <w:t>Москва, 202</w:t>
            </w:r>
            <w:r>
              <w:rPr>
                <w:rFonts w:ascii="Times New Roman" w:eastAsia="Times New Roman" w:hAnsi="Times New Roman" w:cs="Times New Roman"/>
                <w:b/>
                <w:sz w:val="26"/>
                <w:szCs w:val="26"/>
                <w:lang w:val="ru-RU"/>
              </w:rPr>
              <w:t>6</w:t>
            </w:r>
          </w:p>
        </w:tc>
        <w:tc>
          <w:tcPr>
            <w:tcW w:w="2564" w:type="dxa"/>
            <w:gridSpan w:val="2"/>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r w:rsidR="00BA7AD7" w:rsidRPr="00EB1E9C" w14:paraId="7428E6D6" w14:textId="77777777" w:rsidTr="00BA7AD7">
        <w:tblPrEx>
          <w:tblBorders>
            <w:bottom w:val="single" w:sz="18" w:space="0" w:color="auto"/>
          </w:tblBorders>
        </w:tblPrEx>
        <w:trPr>
          <w:gridAfter w:val="1"/>
          <w:wAfter w:w="47" w:type="dxa"/>
          <w:trHeight w:val="1361"/>
        </w:trPr>
        <w:tc>
          <w:tcPr>
            <w:tcW w:w="9322" w:type="dxa"/>
            <w:gridSpan w:val="16"/>
            <w:tcBorders>
              <w:top w:val="nil"/>
              <w:left w:val="nil"/>
              <w:bottom w:val="single" w:sz="12" w:space="0" w:color="auto"/>
              <w:right w:val="nil"/>
            </w:tcBorders>
            <w:vAlign w:val="center"/>
          </w:tcPr>
          <w:p w14:paraId="572F0D53" w14:textId="7CAD081F"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noProof/>
                <w:sz w:val="28"/>
                <w:szCs w:val="28"/>
                <w:lang w:val="ru-RU"/>
              </w:rPr>
              <w:lastRenderedPageBreak/>
              <w:drawing>
                <wp:anchor distT="0" distB="0" distL="114300" distR="114300" simplePos="0" relativeHeight="251658240" behindDoc="1" locked="0" layoutInCell="1" allowOverlap="1" wp14:anchorId="4A526D11" wp14:editId="3E55AD34">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0" y="3898"/>
                      <wp:lineTo x="0" y="16565"/>
                      <wp:lineTo x="3231" y="20950"/>
                      <wp:lineTo x="4154" y="20950"/>
                      <wp:lineTo x="17077" y="20950"/>
                      <wp:lineTo x="18000" y="20950"/>
                      <wp:lineTo x="21231" y="16565"/>
                      <wp:lineTo x="21231" y="5847"/>
                      <wp:lineTo x="18000" y="1949"/>
                      <wp:lineTo x="14769" y="0"/>
                      <wp:lineTo x="6462" y="0"/>
                    </wp:wrapPolygon>
                  </wp:wrapTight>
                  <wp:docPr id="5286801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pic:spPr>
                      </pic:pic>
                    </a:graphicData>
                  </a:graphic>
                  <wp14:sizeRelH relativeFrom="page">
                    <wp14:pctWidth>0</wp14:pctWidth>
                  </wp14:sizeRelH>
                  <wp14:sizeRelV relativeFrom="page">
                    <wp14:pctHeight>0</wp14:pctHeight>
                  </wp14:sizeRelV>
                </wp:anchor>
              </w:drawing>
            </w:r>
            <w:r w:rsidRPr="00BA7AD7">
              <w:rPr>
                <w:rFonts w:ascii="Times New Roman" w:hAnsi="Times New Roman" w:cs="Times New Roman"/>
                <w:b/>
                <w:sz w:val="28"/>
                <w:szCs w:val="28"/>
                <w:lang w:val="ru-RU"/>
              </w:rPr>
              <w:t>МИНОБРНАУКИ РОССИИ</w:t>
            </w:r>
          </w:p>
          <w:p w14:paraId="431F156D" w14:textId="77777777" w:rsidR="00BA7AD7" w:rsidRPr="00BA7AD7" w:rsidRDefault="00BA7AD7" w:rsidP="00407C66">
            <w:pPr>
              <w:spacing w:line="240" w:lineRule="auto"/>
              <w:jc w:val="center"/>
              <w:rPr>
                <w:rFonts w:ascii="Times New Roman" w:hAnsi="Times New Roman" w:cs="Times New Roman"/>
                <w:bCs/>
                <w:sz w:val="28"/>
                <w:szCs w:val="28"/>
                <w:lang w:val="ru-RU"/>
              </w:rPr>
            </w:pPr>
            <w:r w:rsidRPr="00BA7AD7">
              <w:rPr>
                <w:rFonts w:ascii="Times New Roman" w:hAnsi="Times New Roman" w:cs="Times New Roman"/>
                <w:bCs/>
                <w:sz w:val="28"/>
                <w:szCs w:val="28"/>
                <w:lang w:val="ru-RU"/>
              </w:rPr>
              <w:t>федеральное государственное бюджетное образовательное</w:t>
            </w:r>
          </w:p>
          <w:p w14:paraId="1A85BC22"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учреждение высшего образования</w:t>
            </w:r>
          </w:p>
          <w:p w14:paraId="6ACDCC70" w14:textId="13AB82A2"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«Национальный исследовательский университет «МЭИ»</w:t>
            </w:r>
          </w:p>
        </w:tc>
      </w:tr>
    </w:tbl>
    <w:p w14:paraId="21B44920" w14:textId="77777777" w:rsidR="00407C66" w:rsidRPr="00EB1E9C" w:rsidRDefault="00407C66">
      <w:pPr>
        <w:rPr>
          <w:lang w:val="ru-RU"/>
        </w:rPr>
      </w:pPr>
    </w:p>
    <w:tbl>
      <w:tblPr>
        <w:tblW w:w="9322" w:type="dxa"/>
        <w:tblLook w:val="04A0" w:firstRow="1" w:lastRow="0" w:firstColumn="1" w:lastColumn="0" w:noHBand="0" w:noVBand="1"/>
      </w:tblPr>
      <w:tblGrid>
        <w:gridCol w:w="6180"/>
        <w:gridCol w:w="3142"/>
      </w:tblGrid>
      <w:tr w:rsidR="00BA7AD7" w:rsidRPr="00BA7AD7" w14:paraId="76378286" w14:textId="77777777">
        <w:trPr>
          <w:trHeight w:val="371"/>
        </w:trPr>
        <w:tc>
          <w:tcPr>
            <w:tcW w:w="6180" w:type="dxa"/>
            <w:hideMark/>
          </w:tcPr>
          <w:p w14:paraId="283238FE"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Институт</w:t>
            </w:r>
          </w:p>
        </w:tc>
        <w:tc>
          <w:tcPr>
            <w:tcW w:w="3142" w:type="dxa"/>
            <w:tcBorders>
              <w:top w:val="nil"/>
              <w:left w:val="nil"/>
              <w:bottom w:val="single" w:sz="4" w:space="0" w:color="auto"/>
              <w:right w:val="nil"/>
            </w:tcBorders>
            <w:hideMark/>
          </w:tcPr>
          <w:p w14:paraId="29C14317"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ИнЭИ</w:t>
            </w:r>
          </w:p>
        </w:tc>
      </w:tr>
      <w:tr w:rsidR="00BA7AD7" w:rsidRPr="00BA7AD7" w14:paraId="5905A2E9" w14:textId="77777777">
        <w:trPr>
          <w:trHeight w:val="303"/>
        </w:trPr>
        <w:tc>
          <w:tcPr>
            <w:tcW w:w="6180" w:type="dxa"/>
            <w:hideMark/>
          </w:tcPr>
          <w:p w14:paraId="4A973F39"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Кафедра</w:t>
            </w:r>
          </w:p>
        </w:tc>
        <w:tc>
          <w:tcPr>
            <w:tcW w:w="3142" w:type="dxa"/>
            <w:tcBorders>
              <w:top w:val="single" w:sz="4" w:space="0" w:color="auto"/>
              <w:left w:val="nil"/>
              <w:bottom w:val="single" w:sz="4" w:space="0" w:color="auto"/>
              <w:right w:val="nil"/>
            </w:tcBorders>
            <w:hideMark/>
          </w:tcPr>
          <w:p w14:paraId="276140F4"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ЭЭП</w:t>
            </w:r>
          </w:p>
        </w:tc>
      </w:tr>
    </w:tbl>
    <w:p w14:paraId="01216F7F" w14:textId="1C6625D2" w:rsidR="00BA7AD7"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ЗАДАНИЕ НА ВЫПУСКНУЮ</w:t>
      </w:r>
    </w:p>
    <w:p w14:paraId="7CF29B59" w14:textId="023EB1FA" w:rsidR="00407C66"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КВАЛИФИКАЦИОННУЮ РАБОТУ БАКАЛАВРА</w:t>
      </w:r>
    </w:p>
    <w:tbl>
      <w:tblPr>
        <w:tblW w:w="9375" w:type="dxa"/>
        <w:tblLayout w:type="fixed"/>
        <w:tblCellMar>
          <w:left w:w="57" w:type="dxa"/>
          <w:right w:w="57" w:type="dxa"/>
        </w:tblCellMar>
        <w:tblLook w:val="04A0" w:firstRow="1" w:lastRow="0" w:firstColumn="1" w:lastColumn="0" w:noHBand="0" w:noVBand="1"/>
      </w:tblPr>
      <w:tblGrid>
        <w:gridCol w:w="988"/>
        <w:gridCol w:w="282"/>
        <w:gridCol w:w="30"/>
        <w:gridCol w:w="650"/>
        <w:gridCol w:w="29"/>
        <w:gridCol w:w="142"/>
        <w:gridCol w:w="7"/>
        <w:gridCol w:w="276"/>
        <w:gridCol w:w="1000"/>
        <w:gridCol w:w="135"/>
        <w:gridCol w:w="142"/>
        <w:gridCol w:w="1417"/>
        <w:gridCol w:w="575"/>
        <w:gridCol w:w="1135"/>
        <w:gridCol w:w="2567"/>
      </w:tblGrid>
      <w:tr w:rsidR="00BA7AD7" w:rsidRPr="00BA7AD7" w14:paraId="10AF9894" w14:textId="77777777" w:rsidTr="00407C66">
        <w:trPr>
          <w:trHeight w:val="292"/>
        </w:trPr>
        <w:tc>
          <w:tcPr>
            <w:tcW w:w="1950" w:type="dxa"/>
            <w:gridSpan w:val="4"/>
            <w:tcBorders>
              <w:top w:val="nil"/>
              <w:left w:val="nil"/>
              <w:bottom w:val="single" w:sz="4" w:space="0" w:color="auto"/>
              <w:right w:val="nil"/>
            </w:tcBorders>
            <w:vAlign w:val="bottom"/>
            <w:hideMark/>
          </w:tcPr>
          <w:p w14:paraId="7B0EC2D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Направление</w:t>
            </w:r>
          </w:p>
        </w:tc>
        <w:tc>
          <w:tcPr>
            <w:tcW w:w="7425" w:type="dxa"/>
            <w:gridSpan w:val="11"/>
            <w:tcBorders>
              <w:top w:val="nil"/>
              <w:left w:val="nil"/>
              <w:bottom w:val="single" w:sz="4" w:space="0" w:color="auto"/>
              <w:right w:val="nil"/>
            </w:tcBorders>
            <w:vAlign w:val="bottom"/>
            <w:hideMark/>
          </w:tcPr>
          <w:p w14:paraId="00567ABF"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38.03.01 Экономика</w:t>
            </w:r>
          </w:p>
        </w:tc>
      </w:tr>
      <w:tr w:rsidR="00BA7AD7" w:rsidRPr="00BA7AD7" w14:paraId="05D2E9E3" w14:textId="77777777" w:rsidTr="00407C66">
        <w:trPr>
          <w:trHeight w:val="283"/>
        </w:trPr>
        <w:tc>
          <w:tcPr>
            <w:tcW w:w="1979" w:type="dxa"/>
            <w:gridSpan w:val="5"/>
            <w:tcBorders>
              <w:top w:val="single" w:sz="4" w:space="0" w:color="auto"/>
              <w:left w:val="nil"/>
              <w:bottom w:val="nil"/>
              <w:right w:val="nil"/>
            </w:tcBorders>
            <w:vAlign w:val="bottom"/>
          </w:tcPr>
          <w:p w14:paraId="3B7D192B" w14:textId="77777777" w:rsidR="00BA7AD7" w:rsidRPr="00BA7AD7" w:rsidRDefault="00BA7AD7" w:rsidP="00407C66">
            <w:pPr>
              <w:spacing w:line="240" w:lineRule="auto"/>
              <w:rPr>
                <w:rFonts w:ascii="Times New Roman" w:hAnsi="Times New Roman" w:cs="Times New Roman"/>
                <w:sz w:val="28"/>
                <w:szCs w:val="28"/>
                <w:lang w:val="ru-RU"/>
              </w:rPr>
            </w:pPr>
          </w:p>
        </w:tc>
        <w:tc>
          <w:tcPr>
            <w:tcW w:w="7396" w:type="dxa"/>
            <w:gridSpan w:val="10"/>
            <w:tcBorders>
              <w:top w:val="single" w:sz="4" w:space="0" w:color="auto"/>
              <w:left w:val="nil"/>
              <w:bottom w:val="nil"/>
              <w:right w:val="nil"/>
            </w:tcBorders>
            <w:hideMark/>
          </w:tcPr>
          <w:p w14:paraId="493B5FB1"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(код и наименование)</w:t>
            </w:r>
          </w:p>
        </w:tc>
      </w:tr>
      <w:tr w:rsidR="00BA7AD7" w:rsidRPr="00BA7AD7" w14:paraId="443FFD8D" w14:textId="77777777" w:rsidTr="00407C66">
        <w:trPr>
          <w:trHeight w:val="331"/>
        </w:trPr>
        <w:tc>
          <w:tcPr>
            <w:tcW w:w="3404" w:type="dxa"/>
            <w:gridSpan w:val="9"/>
            <w:tcBorders>
              <w:top w:val="nil"/>
              <w:left w:val="nil"/>
              <w:bottom w:val="single" w:sz="4" w:space="0" w:color="auto"/>
              <w:right w:val="nil"/>
            </w:tcBorders>
            <w:vAlign w:val="bottom"/>
            <w:hideMark/>
          </w:tcPr>
          <w:p w14:paraId="0763621D"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Образовательная программа</w:t>
            </w:r>
          </w:p>
        </w:tc>
        <w:tc>
          <w:tcPr>
            <w:tcW w:w="5971" w:type="dxa"/>
            <w:gridSpan w:val="6"/>
            <w:tcBorders>
              <w:top w:val="nil"/>
              <w:left w:val="nil"/>
              <w:bottom w:val="single" w:sz="4" w:space="0" w:color="auto"/>
              <w:right w:val="nil"/>
            </w:tcBorders>
            <w:vAlign w:val="bottom"/>
            <w:hideMark/>
          </w:tcPr>
          <w:p w14:paraId="0AB7B24D"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Корпоративные финансы</w:t>
            </w:r>
          </w:p>
        </w:tc>
      </w:tr>
      <w:tr w:rsidR="00BA7AD7" w:rsidRPr="00BA7AD7" w14:paraId="0CF804AA" w14:textId="77777777" w:rsidTr="00407C66">
        <w:trPr>
          <w:trHeight w:val="510"/>
        </w:trPr>
        <w:tc>
          <w:tcPr>
            <w:tcW w:w="2404" w:type="dxa"/>
            <w:gridSpan w:val="8"/>
            <w:tcBorders>
              <w:top w:val="single" w:sz="4" w:space="0" w:color="auto"/>
              <w:left w:val="nil"/>
              <w:bottom w:val="single" w:sz="4" w:space="0" w:color="auto"/>
              <w:right w:val="nil"/>
            </w:tcBorders>
            <w:vAlign w:val="bottom"/>
            <w:hideMark/>
          </w:tcPr>
          <w:p w14:paraId="65EEF24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Форма обучения</w:t>
            </w:r>
          </w:p>
        </w:tc>
        <w:tc>
          <w:tcPr>
            <w:tcW w:w="6971" w:type="dxa"/>
            <w:gridSpan w:val="7"/>
            <w:tcBorders>
              <w:top w:val="single" w:sz="4" w:space="0" w:color="auto"/>
              <w:left w:val="nil"/>
              <w:bottom w:val="single" w:sz="4" w:space="0" w:color="auto"/>
              <w:right w:val="nil"/>
            </w:tcBorders>
            <w:vAlign w:val="bottom"/>
            <w:hideMark/>
          </w:tcPr>
          <w:p w14:paraId="1AD232EA"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очная</w:t>
            </w:r>
          </w:p>
        </w:tc>
      </w:tr>
      <w:tr w:rsidR="00BA7AD7" w:rsidRPr="00BA7AD7" w14:paraId="79C6800A" w14:textId="77777777" w:rsidTr="00407C66">
        <w:trPr>
          <w:trHeight w:val="283"/>
        </w:trPr>
        <w:tc>
          <w:tcPr>
            <w:tcW w:w="2404" w:type="dxa"/>
            <w:gridSpan w:val="8"/>
            <w:tcBorders>
              <w:top w:val="single" w:sz="4" w:space="0" w:color="auto"/>
              <w:left w:val="nil"/>
              <w:bottom w:val="nil"/>
              <w:right w:val="nil"/>
            </w:tcBorders>
          </w:tcPr>
          <w:p w14:paraId="21D7B671" w14:textId="77777777" w:rsidR="00BA7AD7" w:rsidRPr="00BA7AD7" w:rsidRDefault="00BA7AD7" w:rsidP="00407C66">
            <w:pPr>
              <w:spacing w:line="240" w:lineRule="auto"/>
              <w:rPr>
                <w:rFonts w:ascii="Times New Roman" w:hAnsi="Times New Roman" w:cs="Times New Roman"/>
                <w:b/>
                <w:sz w:val="28"/>
                <w:szCs w:val="28"/>
                <w:lang w:val="ru-RU"/>
              </w:rPr>
            </w:pPr>
          </w:p>
        </w:tc>
        <w:tc>
          <w:tcPr>
            <w:tcW w:w="6971" w:type="dxa"/>
            <w:gridSpan w:val="7"/>
            <w:tcBorders>
              <w:top w:val="single" w:sz="4" w:space="0" w:color="auto"/>
              <w:left w:val="nil"/>
              <w:bottom w:val="nil"/>
              <w:right w:val="nil"/>
            </w:tcBorders>
            <w:hideMark/>
          </w:tcPr>
          <w:p w14:paraId="6B7EC7DE"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очно-заочная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заочная)</w:t>
            </w:r>
          </w:p>
        </w:tc>
      </w:tr>
      <w:tr w:rsidR="00407C66" w:rsidRPr="00EB1E9C" w14:paraId="683B1FF1" w14:textId="77777777" w:rsidTr="00407C66">
        <w:trPr>
          <w:trHeight w:val="283"/>
        </w:trPr>
        <w:tc>
          <w:tcPr>
            <w:tcW w:w="988" w:type="dxa"/>
            <w:tcBorders>
              <w:top w:val="nil"/>
              <w:left w:val="nil"/>
              <w:bottom w:val="single" w:sz="4" w:space="0" w:color="auto"/>
              <w:right w:val="nil"/>
            </w:tcBorders>
            <w:vAlign w:val="bottom"/>
            <w:hideMark/>
          </w:tcPr>
          <w:p w14:paraId="4F2AEB2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Тема:</w:t>
            </w:r>
          </w:p>
        </w:tc>
        <w:tc>
          <w:tcPr>
            <w:tcW w:w="8387" w:type="dxa"/>
            <w:gridSpan w:val="14"/>
            <w:tcBorders>
              <w:top w:val="nil"/>
              <w:left w:val="nil"/>
              <w:bottom w:val="single" w:sz="4" w:space="0" w:color="auto"/>
              <w:right w:val="nil"/>
            </w:tcBorders>
            <w:vAlign w:val="bottom"/>
          </w:tcPr>
          <w:p w14:paraId="3C8C2A2F" w14:textId="167F9D08" w:rsidR="00407C66" w:rsidRPr="00BA7AD7" w:rsidRDefault="00407C66" w:rsidP="00407C66">
            <w:pPr>
              <w:spacing w:line="240" w:lineRule="auto"/>
              <w:jc w:val="center"/>
              <w:rPr>
                <w:rFonts w:ascii="Times New Roman" w:hAnsi="Times New Roman" w:cs="Times New Roman"/>
                <w:b/>
                <w:sz w:val="28"/>
                <w:szCs w:val="28"/>
                <w:lang w:val="ru-RU"/>
              </w:rPr>
            </w:pPr>
            <w:r>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407C66" w:rsidRPr="00BA7AD7" w14:paraId="5C98857D" w14:textId="77777777" w:rsidTr="00407C66">
        <w:trPr>
          <w:trHeight w:val="814"/>
        </w:trPr>
        <w:tc>
          <w:tcPr>
            <w:tcW w:w="1300" w:type="dxa"/>
            <w:gridSpan w:val="3"/>
            <w:tcBorders>
              <w:top w:val="single" w:sz="4" w:space="0" w:color="auto"/>
              <w:left w:val="nil"/>
              <w:bottom w:val="single" w:sz="4" w:space="0" w:color="auto"/>
              <w:right w:val="nil"/>
            </w:tcBorders>
            <w:vAlign w:val="bottom"/>
            <w:hideMark/>
          </w:tcPr>
          <w:p w14:paraId="3F455CB5"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c>
          <w:tcPr>
            <w:tcW w:w="2239" w:type="dxa"/>
            <w:gridSpan w:val="7"/>
            <w:tcBorders>
              <w:top w:val="single" w:sz="4" w:space="0" w:color="auto"/>
              <w:left w:val="nil"/>
              <w:bottom w:val="single" w:sz="4" w:space="0" w:color="auto"/>
              <w:right w:val="nil"/>
            </w:tcBorders>
            <w:vAlign w:val="bottom"/>
            <w:hideMark/>
          </w:tcPr>
          <w:p w14:paraId="630264C4"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ИЭ-22а-22</w:t>
            </w:r>
          </w:p>
        </w:tc>
        <w:tc>
          <w:tcPr>
            <w:tcW w:w="2134" w:type="dxa"/>
            <w:gridSpan w:val="3"/>
            <w:tcBorders>
              <w:top w:val="single" w:sz="4" w:space="0" w:color="auto"/>
              <w:left w:val="nil"/>
              <w:bottom w:val="single" w:sz="4" w:space="0" w:color="auto"/>
              <w:right w:val="nil"/>
            </w:tcBorders>
            <w:vAlign w:val="bottom"/>
          </w:tcPr>
          <w:p w14:paraId="6DE0AB50" w14:textId="77777777" w:rsidR="00407C66" w:rsidRPr="00BA7AD7" w:rsidRDefault="00407C66" w:rsidP="00407C66">
            <w:pPr>
              <w:spacing w:line="240" w:lineRule="auto"/>
              <w:rPr>
                <w:rFonts w:ascii="Times New Roman" w:hAnsi="Times New Roman" w:cs="Times New Roman"/>
                <w:b/>
                <w:sz w:val="28"/>
                <w:szCs w:val="28"/>
                <w:lang w:val="ru-RU"/>
              </w:rPr>
            </w:pPr>
          </w:p>
        </w:tc>
        <w:tc>
          <w:tcPr>
            <w:tcW w:w="3702" w:type="dxa"/>
            <w:gridSpan w:val="2"/>
            <w:tcBorders>
              <w:top w:val="single" w:sz="4" w:space="0" w:color="auto"/>
              <w:left w:val="nil"/>
              <w:bottom w:val="single" w:sz="4" w:space="0" w:color="auto"/>
              <w:right w:val="nil"/>
            </w:tcBorders>
            <w:vAlign w:val="bottom"/>
          </w:tcPr>
          <w:p w14:paraId="5F18FC6B" w14:textId="15177AB9"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76EB8F20" w14:textId="77777777" w:rsidTr="00407C66">
        <w:trPr>
          <w:trHeight w:val="283"/>
        </w:trPr>
        <w:tc>
          <w:tcPr>
            <w:tcW w:w="1270" w:type="dxa"/>
            <w:gridSpan w:val="2"/>
            <w:tcBorders>
              <w:top w:val="single" w:sz="4" w:space="0" w:color="auto"/>
              <w:left w:val="nil"/>
              <w:bottom w:val="nil"/>
              <w:right w:val="nil"/>
            </w:tcBorders>
          </w:tcPr>
          <w:p w14:paraId="6245E679"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8"/>
            <w:tcBorders>
              <w:top w:val="single" w:sz="4" w:space="0" w:color="auto"/>
              <w:left w:val="nil"/>
              <w:bottom w:val="nil"/>
              <w:right w:val="nil"/>
            </w:tcBorders>
            <w:hideMark/>
          </w:tcPr>
          <w:p w14:paraId="2EA79689"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группа</w:t>
            </w:r>
          </w:p>
        </w:tc>
        <w:tc>
          <w:tcPr>
            <w:tcW w:w="2134" w:type="dxa"/>
            <w:gridSpan w:val="3"/>
            <w:tcBorders>
              <w:top w:val="single" w:sz="4" w:space="0" w:color="auto"/>
              <w:left w:val="nil"/>
              <w:bottom w:val="nil"/>
              <w:right w:val="nil"/>
            </w:tcBorders>
            <w:hideMark/>
          </w:tcPr>
          <w:p w14:paraId="6E46D2CB"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3702" w:type="dxa"/>
            <w:gridSpan w:val="2"/>
            <w:tcBorders>
              <w:top w:val="single" w:sz="4" w:space="0" w:color="auto"/>
              <w:left w:val="nil"/>
              <w:bottom w:val="nil"/>
              <w:right w:val="nil"/>
            </w:tcBorders>
            <w:hideMark/>
          </w:tcPr>
          <w:p w14:paraId="2E11AB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8CDF4FF" w14:textId="77777777" w:rsidTr="00407C66">
        <w:trPr>
          <w:trHeight w:val="850"/>
        </w:trPr>
        <w:tc>
          <w:tcPr>
            <w:tcW w:w="2128" w:type="dxa"/>
            <w:gridSpan w:val="7"/>
            <w:tcBorders>
              <w:top w:val="nil"/>
              <w:left w:val="nil"/>
              <w:bottom w:val="single" w:sz="4" w:space="0" w:color="auto"/>
              <w:right w:val="nil"/>
            </w:tcBorders>
            <w:vAlign w:val="bottom"/>
            <w:hideMark/>
          </w:tcPr>
          <w:p w14:paraId="45DEC6D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c>
          <w:tcPr>
            <w:tcW w:w="1276" w:type="dxa"/>
            <w:gridSpan w:val="2"/>
            <w:tcBorders>
              <w:top w:val="nil"/>
              <w:left w:val="nil"/>
              <w:bottom w:val="single" w:sz="4" w:space="0" w:color="auto"/>
              <w:right w:val="nil"/>
            </w:tcBorders>
            <w:vAlign w:val="bottom"/>
            <w:hideMark/>
          </w:tcPr>
          <w:p w14:paraId="0E7F2F01"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к.э.н.</w:t>
            </w:r>
          </w:p>
        </w:tc>
        <w:tc>
          <w:tcPr>
            <w:tcW w:w="2269" w:type="dxa"/>
            <w:gridSpan w:val="4"/>
            <w:tcBorders>
              <w:top w:val="nil"/>
              <w:left w:val="nil"/>
              <w:bottom w:val="single" w:sz="4" w:space="0" w:color="auto"/>
              <w:right w:val="nil"/>
            </w:tcBorders>
            <w:vAlign w:val="bottom"/>
            <w:hideMark/>
          </w:tcPr>
          <w:p w14:paraId="403AE75F"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доцент</w:t>
            </w:r>
          </w:p>
        </w:tc>
        <w:tc>
          <w:tcPr>
            <w:tcW w:w="1135" w:type="dxa"/>
            <w:tcBorders>
              <w:top w:val="nil"/>
              <w:left w:val="nil"/>
              <w:bottom w:val="single" w:sz="4" w:space="0" w:color="auto"/>
              <w:right w:val="nil"/>
            </w:tcBorders>
            <w:vAlign w:val="bottom"/>
          </w:tcPr>
          <w:p w14:paraId="2ECAEF3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3A480AAA" w14:textId="22C5C718" w:rsidR="00407C66" w:rsidRPr="00BA7AD7" w:rsidRDefault="00EB1E9C" w:rsidP="00407C66">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Ларина И.Е.</w:t>
            </w:r>
          </w:p>
        </w:tc>
      </w:tr>
      <w:tr w:rsidR="00407C66" w:rsidRPr="00BA7AD7" w14:paraId="089501B1" w14:textId="77777777" w:rsidTr="00D2601B">
        <w:trPr>
          <w:trHeight w:val="397"/>
        </w:trPr>
        <w:tc>
          <w:tcPr>
            <w:tcW w:w="2128" w:type="dxa"/>
            <w:gridSpan w:val="7"/>
            <w:tcBorders>
              <w:top w:val="single" w:sz="4" w:space="0" w:color="auto"/>
              <w:left w:val="nil"/>
              <w:bottom w:val="nil"/>
              <w:right w:val="nil"/>
            </w:tcBorders>
          </w:tcPr>
          <w:p w14:paraId="103CC14B" w14:textId="77777777" w:rsidR="00407C66" w:rsidRPr="00BA7AD7" w:rsidRDefault="00407C66" w:rsidP="00407C66">
            <w:pPr>
              <w:spacing w:line="240" w:lineRule="auto"/>
              <w:rPr>
                <w:rFonts w:ascii="Times New Roman" w:hAnsi="Times New Roman" w:cs="Times New Roman"/>
                <w:sz w:val="28"/>
                <w:szCs w:val="28"/>
                <w:lang w:val="ru-RU"/>
              </w:rPr>
            </w:pPr>
          </w:p>
        </w:tc>
        <w:tc>
          <w:tcPr>
            <w:tcW w:w="1276" w:type="dxa"/>
            <w:gridSpan w:val="2"/>
            <w:tcBorders>
              <w:top w:val="single" w:sz="4" w:space="0" w:color="auto"/>
              <w:left w:val="nil"/>
              <w:bottom w:val="nil"/>
              <w:right w:val="nil"/>
            </w:tcBorders>
            <w:hideMark/>
          </w:tcPr>
          <w:p w14:paraId="05D00808"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18D0CDB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1D707871"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EC938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45FF5D28" w14:textId="77777777" w:rsidTr="00407C66">
        <w:trPr>
          <w:trHeight w:val="624"/>
        </w:trPr>
        <w:tc>
          <w:tcPr>
            <w:tcW w:w="2121" w:type="dxa"/>
            <w:gridSpan w:val="6"/>
            <w:tcBorders>
              <w:top w:val="nil"/>
              <w:left w:val="nil"/>
              <w:bottom w:val="single" w:sz="4" w:space="0" w:color="auto"/>
              <w:right w:val="nil"/>
            </w:tcBorders>
            <w:vAlign w:val="bottom"/>
            <w:hideMark/>
          </w:tcPr>
          <w:p w14:paraId="576EA875" w14:textId="77777777" w:rsidR="00407C66" w:rsidRPr="00BA7AD7" w:rsidRDefault="00407C66" w:rsidP="00407C66">
            <w:pPr>
              <w:spacing w:line="240" w:lineRule="auto"/>
              <w:rPr>
                <w:rFonts w:ascii="Times New Roman" w:hAnsi="Times New Roman" w:cs="Times New Roman"/>
                <w:sz w:val="28"/>
                <w:szCs w:val="28"/>
                <w:lang w:val="ru-RU"/>
              </w:rPr>
            </w:pPr>
            <w:r w:rsidRPr="00BA7AD7">
              <w:rPr>
                <w:rFonts w:ascii="Times New Roman" w:hAnsi="Times New Roman" w:cs="Times New Roman"/>
                <w:b/>
                <w:sz w:val="28"/>
                <w:szCs w:val="28"/>
                <w:lang w:val="ru-RU"/>
              </w:rPr>
              <w:t>Консультант</w:t>
            </w:r>
          </w:p>
        </w:tc>
        <w:tc>
          <w:tcPr>
            <w:tcW w:w="1283" w:type="dxa"/>
            <w:gridSpan w:val="3"/>
            <w:tcBorders>
              <w:top w:val="nil"/>
              <w:left w:val="nil"/>
              <w:bottom w:val="single" w:sz="4" w:space="0" w:color="auto"/>
              <w:right w:val="nil"/>
            </w:tcBorders>
            <w:vAlign w:val="bottom"/>
          </w:tcPr>
          <w:p w14:paraId="4B418372"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2B5C7851"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1580955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00EE0340"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447F1A6" w14:textId="77777777" w:rsidTr="00D2601B">
        <w:trPr>
          <w:trHeight w:val="397"/>
        </w:trPr>
        <w:tc>
          <w:tcPr>
            <w:tcW w:w="2121" w:type="dxa"/>
            <w:gridSpan w:val="6"/>
            <w:tcBorders>
              <w:top w:val="single" w:sz="4" w:space="0" w:color="auto"/>
              <w:left w:val="nil"/>
              <w:bottom w:val="nil"/>
              <w:right w:val="nil"/>
            </w:tcBorders>
          </w:tcPr>
          <w:p w14:paraId="70A59621" w14:textId="77777777" w:rsidR="00407C66" w:rsidRPr="00BA7AD7" w:rsidRDefault="00407C66" w:rsidP="00407C66">
            <w:pPr>
              <w:spacing w:line="240" w:lineRule="auto"/>
              <w:rPr>
                <w:rFonts w:ascii="Times New Roman" w:hAnsi="Times New Roman" w:cs="Times New Roman"/>
                <w:b/>
                <w:sz w:val="28"/>
                <w:szCs w:val="28"/>
                <w:lang w:val="ru-RU"/>
              </w:rPr>
            </w:pPr>
          </w:p>
        </w:tc>
        <w:tc>
          <w:tcPr>
            <w:tcW w:w="1283" w:type="dxa"/>
            <w:gridSpan w:val="3"/>
            <w:tcBorders>
              <w:top w:val="single" w:sz="4" w:space="0" w:color="auto"/>
              <w:left w:val="nil"/>
              <w:bottom w:val="nil"/>
              <w:right w:val="nil"/>
            </w:tcBorders>
            <w:hideMark/>
          </w:tcPr>
          <w:p w14:paraId="1B7D6A0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355A2427"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5E29C52E"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037E6DD3"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5C5C85F2" w14:textId="77777777" w:rsidTr="00407C66">
        <w:trPr>
          <w:trHeight w:val="799"/>
        </w:trPr>
        <w:tc>
          <w:tcPr>
            <w:tcW w:w="2121" w:type="dxa"/>
            <w:gridSpan w:val="6"/>
            <w:tcBorders>
              <w:top w:val="nil"/>
              <w:left w:val="nil"/>
              <w:bottom w:val="single" w:sz="4" w:space="0" w:color="auto"/>
              <w:right w:val="nil"/>
            </w:tcBorders>
            <w:vAlign w:val="bottom"/>
            <w:hideMark/>
          </w:tcPr>
          <w:p w14:paraId="770E376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Внешний консультант</w:t>
            </w:r>
          </w:p>
        </w:tc>
        <w:tc>
          <w:tcPr>
            <w:tcW w:w="1283" w:type="dxa"/>
            <w:gridSpan w:val="3"/>
            <w:tcBorders>
              <w:top w:val="nil"/>
              <w:left w:val="nil"/>
              <w:bottom w:val="single" w:sz="4" w:space="0" w:color="auto"/>
              <w:right w:val="nil"/>
            </w:tcBorders>
            <w:vAlign w:val="bottom"/>
          </w:tcPr>
          <w:p w14:paraId="77708345"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3268DCE3"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7BEEBCD0"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10CE7B4A"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3430109" w14:textId="77777777" w:rsidTr="00D2601B">
        <w:trPr>
          <w:trHeight w:val="397"/>
        </w:trPr>
        <w:tc>
          <w:tcPr>
            <w:tcW w:w="2121" w:type="dxa"/>
            <w:gridSpan w:val="6"/>
            <w:tcBorders>
              <w:top w:val="single" w:sz="4" w:space="0" w:color="auto"/>
              <w:left w:val="nil"/>
              <w:bottom w:val="nil"/>
              <w:right w:val="nil"/>
            </w:tcBorders>
          </w:tcPr>
          <w:p w14:paraId="55E23FBD" w14:textId="77777777" w:rsidR="00407C66" w:rsidRPr="00BA7AD7" w:rsidRDefault="00407C66" w:rsidP="00407C66">
            <w:pPr>
              <w:spacing w:line="240" w:lineRule="auto"/>
              <w:rPr>
                <w:rFonts w:ascii="Times New Roman" w:hAnsi="Times New Roman" w:cs="Times New Roman"/>
                <w:sz w:val="28"/>
                <w:szCs w:val="28"/>
                <w:lang w:val="ru-RU"/>
              </w:rPr>
            </w:pPr>
          </w:p>
        </w:tc>
        <w:tc>
          <w:tcPr>
            <w:tcW w:w="1283" w:type="dxa"/>
            <w:gridSpan w:val="3"/>
            <w:tcBorders>
              <w:top w:val="single" w:sz="4" w:space="0" w:color="auto"/>
              <w:left w:val="nil"/>
              <w:bottom w:val="nil"/>
              <w:right w:val="nil"/>
            </w:tcBorders>
            <w:hideMark/>
          </w:tcPr>
          <w:p w14:paraId="63B41C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0FB4BC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23BBC7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5DFBC2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6F866677" w14:textId="77777777" w:rsidTr="00407C66">
        <w:trPr>
          <w:trHeight w:val="80"/>
        </w:trPr>
        <w:tc>
          <w:tcPr>
            <w:tcW w:w="9375" w:type="dxa"/>
            <w:gridSpan w:val="15"/>
            <w:tcBorders>
              <w:top w:val="nil"/>
              <w:left w:val="nil"/>
              <w:bottom w:val="single" w:sz="4" w:space="0" w:color="auto"/>
              <w:right w:val="nil"/>
            </w:tcBorders>
            <w:vAlign w:val="bottom"/>
          </w:tcPr>
          <w:p w14:paraId="5C8B8551" w14:textId="77777777" w:rsidR="00407C66" w:rsidRPr="00BA7AD7" w:rsidRDefault="00407C66" w:rsidP="00407C66">
            <w:pPr>
              <w:spacing w:line="240" w:lineRule="auto"/>
              <w:rPr>
                <w:rFonts w:ascii="Times New Roman" w:hAnsi="Times New Roman" w:cs="Times New Roman"/>
                <w:sz w:val="28"/>
                <w:szCs w:val="28"/>
                <w:lang w:val="en-US"/>
              </w:rPr>
            </w:pPr>
          </w:p>
        </w:tc>
      </w:tr>
      <w:tr w:rsidR="00407C66" w:rsidRPr="00BA7AD7" w14:paraId="69A3CF05" w14:textId="77777777" w:rsidTr="00407C66">
        <w:trPr>
          <w:trHeight w:val="283"/>
        </w:trPr>
        <w:tc>
          <w:tcPr>
            <w:tcW w:w="9375" w:type="dxa"/>
            <w:gridSpan w:val="15"/>
            <w:tcBorders>
              <w:top w:val="single" w:sz="4" w:space="0" w:color="auto"/>
              <w:left w:val="nil"/>
              <w:bottom w:val="nil"/>
              <w:right w:val="nil"/>
            </w:tcBorders>
            <w:vAlign w:val="center"/>
            <w:hideMark/>
          </w:tcPr>
          <w:p w14:paraId="1215CE9B" w14:textId="77777777" w:rsidR="00407C66" w:rsidRPr="00407C66" w:rsidRDefault="00407C66" w:rsidP="00407C66">
            <w:pPr>
              <w:spacing w:line="240" w:lineRule="auto"/>
              <w:jc w:val="center"/>
              <w:rPr>
                <w:rFonts w:ascii="Times New Roman" w:hAnsi="Times New Roman" w:cs="Times New Roman"/>
                <w:sz w:val="20"/>
                <w:szCs w:val="20"/>
                <w:lang w:val="en-US"/>
              </w:rPr>
            </w:pPr>
            <w:r w:rsidRPr="00407C66">
              <w:rPr>
                <w:rFonts w:ascii="Times New Roman" w:hAnsi="Times New Roman" w:cs="Times New Roman"/>
                <w:sz w:val="20"/>
                <w:szCs w:val="20"/>
                <w:lang w:val="ru-RU"/>
              </w:rPr>
              <w:t>организация</w:t>
            </w:r>
          </w:p>
        </w:tc>
      </w:tr>
      <w:tr w:rsidR="00407C66" w:rsidRPr="00BA7AD7" w14:paraId="0D7A0E0C" w14:textId="77777777" w:rsidTr="00407C66">
        <w:trPr>
          <w:trHeight w:val="783"/>
        </w:trPr>
        <w:tc>
          <w:tcPr>
            <w:tcW w:w="1979" w:type="dxa"/>
            <w:gridSpan w:val="5"/>
            <w:tcBorders>
              <w:top w:val="nil"/>
              <w:left w:val="nil"/>
              <w:bottom w:val="single" w:sz="4" w:space="0" w:color="auto"/>
              <w:right w:val="nil"/>
            </w:tcBorders>
            <w:vAlign w:val="bottom"/>
            <w:hideMark/>
          </w:tcPr>
          <w:p w14:paraId="4C49F44B"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Заведующий кафедрой</w:t>
            </w:r>
          </w:p>
        </w:tc>
        <w:tc>
          <w:tcPr>
            <w:tcW w:w="1702" w:type="dxa"/>
            <w:gridSpan w:val="6"/>
            <w:tcBorders>
              <w:top w:val="nil"/>
              <w:left w:val="nil"/>
              <w:bottom w:val="single" w:sz="4" w:space="0" w:color="auto"/>
              <w:right w:val="nil"/>
            </w:tcBorders>
            <w:vAlign w:val="bottom"/>
            <w:hideMark/>
          </w:tcPr>
          <w:p w14:paraId="4C2DB64A" w14:textId="77777777" w:rsidR="00407C66" w:rsidRPr="00BA7AD7" w:rsidRDefault="00407C66" w:rsidP="00407C66">
            <w:pPr>
              <w:spacing w:line="240" w:lineRule="auto"/>
              <w:rPr>
                <w:rFonts w:ascii="Times New Roman" w:hAnsi="Times New Roman" w:cs="Times New Roman"/>
                <w:sz w:val="28"/>
                <w:szCs w:val="28"/>
                <w:lang w:val="en-US"/>
              </w:rPr>
            </w:pPr>
            <w:r w:rsidRPr="00BA7AD7">
              <w:rPr>
                <w:rFonts w:ascii="Times New Roman" w:hAnsi="Times New Roman" w:cs="Times New Roman"/>
                <w:sz w:val="28"/>
                <w:szCs w:val="28"/>
                <w:lang w:val="en-US"/>
              </w:rPr>
              <w:t>к.э.н.</w:t>
            </w:r>
          </w:p>
        </w:tc>
        <w:tc>
          <w:tcPr>
            <w:tcW w:w="1417" w:type="dxa"/>
            <w:tcBorders>
              <w:top w:val="nil"/>
              <w:left w:val="nil"/>
              <w:bottom w:val="single" w:sz="4" w:space="0" w:color="auto"/>
              <w:right w:val="nil"/>
            </w:tcBorders>
            <w:vAlign w:val="bottom"/>
            <w:hideMark/>
          </w:tcPr>
          <w:p w14:paraId="10B714F2" w14:textId="77777777" w:rsidR="00407C66" w:rsidRPr="00BA7AD7" w:rsidRDefault="00407C66" w:rsidP="00407C66">
            <w:pPr>
              <w:spacing w:line="240" w:lineRule="auto"/>
              <w:rPr>
                <w:rFonts w:ascii="Times New Roman" w:hAnsi="Times New Roman" w:cs="Times New Roman"/>
                <w:sz w:val="28"/>
                <w:szCs w:val="28"/>
                <w:lang w:val="en-US"/>
              </w:rPr>
            </w:pPr>
            <w:r w:rsidRPr="00BA7AD7">
              <w:rPr>
                <w:rFonts w:ascii="Times New Roman" w:hAnsi="Times New Roman" w:cs="Times New Roman"/>
                <w:sz w:val="28"/>
                <w:szCs w:val="28"/>
                <w:lang w:val="en-US"/>
              </w:rPr>
              <w:t>доцент</w:t>
            </w:r>
          </w:p>
        </w:tc>
        <w:tc>
          <w:tcPr>
            <w:tcW w:w="1710" w:type="dxa"/>
            <w:gridSpan w:val="2"/>
            <w:tcBorders>
              <w:top w:val="nil"/>
              <w:left w:val="nil"/>
              <w:bottom w:val="single" w:sz="4" w:space="0" w:color="auto"/>
              <w:right w:val="nil"/>
            </w:tcBorders>
            <w:vAlign w:val="bottom"/>
          </w:tcPr>
          <w:p w14:paraId="5AAB3625" w14:textId="77777777" w:rsidR="00407C66" w:rsidRPr="00BA7AD7" w:rsidRDefault="00407C66" w:rsidP="00407C66">
            <w:pPr>
              <w:spacing w:line="240" w:lineRule="auto"/>
              <w:rPr>
                <w:rFonts w:ascii="Times New Roman" w:hAnsi="Times New Roman" w:cs="Times New Roman"/>
                <w:sz w:val="28"/>
                <w:szCs w:val="28"/>
                <w:lang w:val="en-US"/>
              </w:rPr>
            </w:pPr>
          </w:p>
        </w:tc>
        <w:tc>
          <w:tcPr>
            <w:tcW w:w="2567" w:type="dxa"/>
            <w:tcBorders>
              <w:top w:val="nil"/>
              <w:left w:val="nil"/>
              <w:bottom w:val="single" w:sz="4" w:space="0" w:color="auto"/>
              <w:right w:val="nil"/>
            </w:tcBorders>
            <w:vAlign w:val="bottom"/>
            <w:hideMark/>
          </w:tcPr>
          <w:p w14:paraId="7549060D" w14:textId="77777777" w:rsidR="00407C66" w:rsidRPr="00BA7AD7" w:rsidRDefault="00407C66" w:rsidP="00407C66">
            <w:pPr>
              <w:spacing w:line="240" w:lineRule="auto"/>
              <w:rPr>
                <w:rFonts w:ascii="Times New Roman" w:hAnsi="Times New Roman" w:cs="Times New Roman"/>
                <w:sz w:val="28"/>
                <w:szCs w:val="28"/>
                <w:lang w:val="en-US"/>
              </w:rPr>
            </w:pPr>
            <w:r w:rsidRPr="00BA7AD7">
              <w:rPr>
                <w:rFonts w:ascii="Times New Roman" w:hAnsi="Times New Roman" w:cs="Times New Roman"/>
                <w:sz w:val="28"/>
                <w:szCs w:val="28"/>
                <w:lang w:val="en-US"/>
              </w:rPr>
              <w:t>Крыленко Е.Е.</w:t>
            </w:r>
          </w:p>
        </w:tc>
      </w:tr>
      <w:tr w:rsidR="00407C66" w:rsidRPr="00BA7AD7" w14:paraId="4E9AEB5F" w14:textId="77777777" w:rsidTr="00D2601B">
        <w:trPr>
          <w:trHeight w:val="397"/>
        </w:trPr>
        <w:tc>
          <w:tcPr>
            <w:tcW w:w="1979" w:type="dxa"/>
            <w:gridSpan w:val="5"/>
            <w:tcBorders>
              <w:top w:val="single" w:sz="4" w:space="0" w:color="auto"/>
              <w:left w:val="nil"/>
              <w:bottom w:val="nil"/>
              <w:right w:val="nil"/>
            </w:tcBorders>
          </w:tcPr>
          <w:p w14:paraId="1E799670" w14:textId="77777777" w:rsidR="00407C66" w:rsidRPr="00BA7AD7" w:rsidRDefault="00407C66" w:rsidP="00407C66">
            <w:pPr>
              <w:spacing w:line="240" w:lineRule="auto"/>
              <w:rPr>
                <w:rFonts w:ascii="Times New Roman" w:hAnsi="Times New Roman" w:cs="Times New Roman"/>
                <w:b/>
                <w:sz w:val="28"/>
                <w:szCs w:val="28"/>
                <w:lang w:val="en-US"/>
              </w:rPr>
            </w:pPr>
          </w:p>
        </w:tc>
        <w:tc>
          <w:tcPr>
            <w:tcW w:w="1702" w:type="dxa"/>
            <w:gridSpan w:val="6"/>
            <w:tcBorders>
              <w:top w:val="single" w:sz="4" w:space="0" w:color="auto"/>
              <w:left w:val="nil"/>
              <w:bottom w:val="nil"/>
              <w:right w:val="nil"/>
            </w:tcBorders>
            <w:hideMark/>
          </w:tcPr>
          <w:p w14:paraId="398D0361"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уч. степень</w:t>
            </w:r>
          </w:p>
        </w:tc>
        <w:tc>
          <w:tcPr>
            <w:tcW w:w="1417" w:type="dxa"/>
            <w:tcBorders>
              <w:top w:val="single" w:sz="4" w:space="0" w:color="auto"/>
              <w:left w:val="nil"/>
              <w:bottom w:val="nil"/>
              <w:right w:val="nil"/>
            </w:tcBorders>
            <w:hideMark/>
          </w:tcPr>
          <w:p w14:paraId="71C77F05"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звание</w:t>
            </w:r>
          </w:p>
        </w:tc>
        <w:tc>
          <w:tcPr>
            <w:tcW w:w="1710" w:type="dxa"/>
            <w:gridSpan w:val="2"/>
            <w:tcBorders>
              <w:top w:val="single" w:sz="4" w:space="0" w:color="auto"/>
              <w:left w:val="nil"/>
              <w:bottom w:val="nil"/>
              <w:right w:val="nil"/>
            </w:tcBorders>
            <w:hideMark/>
          </w:tcPr>
          <w:p w14:paraId="0D60DA68"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57A7775C"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33BBE64" w14:textId="77777777" w:rsidTr="00407C66">
        <w:trPr>
          <w:trHeight w:val="347"/>
        </w:trPr>
        <w:tc>
          <w:tcPr>
            <w:tcW w:w="3681" w:type="dxa"/>
            <w:gridSpan w:val="11"/>
            <w:tcBorders>
              <w:top w:val="nil"/>
              <w:left w:val="nil"/>
              <w:bottom w:val="single" w:sz="4" w:space="0" w:color="auto"/>
              <w:right w:val="nil"/>
            </w:tcBorders>
            <w:vAlign w:val="bottom"/>
            <w:hideMark/>
          </w:tcPr>
          <w:p w14:paraId="28448B62"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Место выполнения работы</w:t>
            </w:r>
          </w:p>
        </w:tc>
        <w:tc>
          <w:tcPr>
            <w:tcW w:w="5694" w:type="dxa"/>
            <w:gridSpan w:val="4"/>
            <w:tcBorders>
              <w:top w:val="nil"/>
              <w:left w:val="nil"/>
              <w:bottom w:val="single" w:sz="4" w:space="0" w:color="auto"/>
              <w:right w:val="nil"/>
            </w:tcBorders>
            <w:vAlign w:val="bottom"/>
            <w:hideMark/>
          </w:tcPr>
          <w:p w14:paraId="68A3E958"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ФГБОУ ВО «НИУ «МЭИ»</w:t>
            </w:r>
          </w:p>
        </w:tc>
      </w:tr>
    </w:tbl>
    <w:p w14:paraId="19638B55"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Содержание разделов задания и исходные данные</w:t>
      </w:r>
    </w:p>
    <w:p w14:paraId="4BA5DC76"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 xml:space="preserve">Глава 1. Теоретические аспекты формирования и оценки качества инвестиционного портфеля </w:t>
      </w:r>
    </w:p>
    <w:p w14:paraId="35077A54"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1.1 Понятие, экономическая сущность, принципы и методы формирования инвестиционного портфеля</w:t>
      </w:r>
    </w:p>
    <w:p w14:paraId="7AECABB9"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1.2 Методики оценки эффективности и качества инвестиционного портфеля</w:t>
      </w:r>
    </w:p>
    <w:p w14:paraId="30AC8B0B"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2. Анализ инвестиционного портфеля ОПИФ РФИ «ВИМ-Металлургия»</w:t>
      </w:r>
    </w:p>
    <w:p w14:paraId="665EF65E"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2.1. Структура и состав инвестиционного портфеля ОПИФ РФИ «ВИМ-Металлургия»</w:t>
      </w:r>
    </w:p>
    <w:p w14:paraId="6DA3EBE5" w14:textId="641E580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2.2. Характеристика крупнейших объектов инвестирования</w:t>
      </w:r>
    </w:p>
    <w:p w14:paraId="36469798"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3. Разработка рекомендация по повышению качества инвестиционного портфеля ОПИФ РФИ «ВИМ-Металлургия»</w:t>
      </w:r>
    </w:p>
    <w:p w14:paraId="4D3268BA"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3.1. Рекомендации по повышению качества портфеля</w:t>
      </w:r>
    </w:p>
    <w:p w14:paraId="4949FB9D" w14:textId="21E87E7D"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3.2. Обоснование эффективности предложенных решений</w:t>
      </w:r>
    </w:p>
    <w:p w14:paraId="31F2890F" w14:textId="7C908F1D" w:rsidR="00BA7AD7" w:rsidRPr="00EB1E9C" w:rsidRDefault="00BA7AD7" w:rsidP="00BA7AD7">
      <w:pPr>
        <w:rPr>
          <w:rFonts w:ascii="Times New Roman" w:hAnsi="Times New Roman" w:cs="Times New Roman"/>
          <w:color w:val="FF0000"/>
          <w:sz w:val="24"/>
          <w:szCs w:val="24"/>
          <w:lang w:val="ru-RU"/>
        </w:rPr>
      </w:pPr>
      <w:r w:rsidRPr="00EB1E9C">
        <w:rPr>
          <w:rFonts w:ascii="Times New Roman" w:hAnsi="Times New Roman" w:cs="Times New Roman"/>
          <w:color w:val="FF0000"/>
          <w:sz w:val="24"/>
          <w:szCs w:val="24"/>
          <w:lang w:val="ru-RU"/>
        </w:rPr>
        <w:t xml:space="preserve">Исходные данные: биржевые котировки Московской биржи по акциям и фьючерсам ПАО «Корпоративный центр ИКС 5», ПАО «Магнит» и «Лента»; </w:t>
      </w:r>
      <w:r w:rsidR="00306918" w:rsidRPr="00EB1E9C">
        <w:rPr>
          <w:rFonts w:ascii="Times New Roman" w:hAnsi="Times New Roman" w:cs="Times New Roman"/>
          <w:color w:val="FF0000"/>
          <w:sz w:val="24"/>
          <w:szCs w:val="24"/>
          <w:lang w:val="ru-RU"/>
        </w:rPr>
        <w:t>годовая бухгалтерская</w:t>
      </w:r>
      <w:r w:rsidRPr="00EB1E9C">
        <w:rPr>
          <w:rFonts w:ascii="Times New Roman" w:hAnsi="Times New Roman" w:cs="Times New Roman"/>
          <w:color w:val="FF0000"/>
          <w:sz w:val="24"/>
          <w:szCs w:val="24"/>
          <w:lang w:val="ru-RU"/>
        </w:rPr>
        <w:t xml:space="preserve"> </w:t>
      </w:r>
      <w:r w:rsidR="00306918" w:rsidRPr="00EB1E9C">
        <w:rPr>
          <w:rFonts w:ascii="Times New Roman" w:hAnsi="Times New Roman" w:cs="Times New Roman"/>
          <w:color w:val="FF0000"/>
          <w:sz w:val="24"/>
          <w:szCs w:val="24"/>
          <w:lang w:val="ru-RU"/>
        </w:rPr>
        <w:t>(</w:t>
      </w:r>
      <w:r w:rsidRPr="00EB1E9C">
        <w:rPr>
          <w:rFonts w:ascii="Times New Roman" w:hAnsi="Times New Roman" w:cs="Times New Roman"/>
          <w:color w:val="FF0000"/>
          <w:sz w:val="24"/>
          <w:szCs w:val="24"/>
          <w:lang w:val="ru-RU"/>
        </w:rPr>
        <w:t>финансовая</w:t>
      </w:r>
      <w:r w:rsidR="00306918" w:rsidRPr="00EB1E9C">
        <w:rPr>
          <w:rFonts w:ascii="Times New Roman" w:hAnsi="Times New Roman" w:cs="Times New Roman"/>
          <w:color w:val="FF0000"/>
          <w:sz w:val="24"/>
          <w:szCs w:val="24"/>
          <w:lang w:val="ru-RU"/>
        </w:rPr>
        <w:t>)</w:t>
      </w:r>
      <w:r w:rsidRPr="00EB1E9C">
        <w:rPr>
          <w:rFonts w:ascii="Times New Roman" w:hAnsi="Times New Roman" w:cs="Times New Roman"/>
          <w:color w:val="FF0000"/>
          <w:sz w:val="24"/>
          <w:szCs w:val="24"/>
          <w:lang w:val="ru-RU"/>
        </w:rPr>
        <w:t xml:space="preserve"> отчётность по </w:t>
      </w:r>
      <w:r w:rsidR="00306918" w:rsidRPr="00EB1E9C">
        <w:rPr>
          <w:rFonts w:ascii="Times New Roman" w:hAnsi="Times New Roman" w:cs="Times New Roman"/>
          <w:color w:val="FF0000"/>
          <w:sz w:val="24"/>
          <w:szCs w:val="24"/>
          <w:lang w:val="ru-RU"/>
        </w:rPr>
        <w:t>РСБУ</w:t>
      </w:r>
      <w:r w:rsidRPr="00EB1E9C">
        <w:rPr>
          <w:rFonts w:ascii="Times New Roman" w:hAnsi="Times New Roman" w:cs="Times New Roman"/>
          <w:color w:val="FF0000"/>
          <w:sz w:val="24"/>
          <w:szCs w:val="24"/>
          <w:lang w:val="ru-RU"/>
        </w:rPr>
        <w:t xml:space="preserve"> </w:t>
      </w:r>
      <w:r w:rsidR="00306918" w:rsidRPr="00EB1E9C">
        <w:rPr>
          <w:rFonts w:ascii="Times New Roman" w:hAnsi="Times New Roman" w:cs="Times New Roman"/>
          <w:color w:val="FF0000"/>
          <w:sz w:val="24"/>
          <w:szCs w:val="24"/>
          <w:lang w:val="ru-RU"/>
        </w:rPr>
        <w:t>ПАО «Северсталь», ПАО «ММК», ПАО «ГМК Норникель», ПАО «ЭН+ ГРУП», ПАО «ВСМПО-АВИСМА».</w:t>
      </w:r>
      <w:r w:rsidR="00EB1E9C">
        <w:rPr>
          <w:rFonts w:ascii="Times New Roman" w:hAnsi="Times New Roman" w:cs="Times New Roman"/>
          <w:color w:val="FF0000"/>
          <w:sz w:val="24"/>
          <w:szCs w:val="24"/>
          <w:lang w:val="ru-RU"/>
        </w:rPr>
        <w:t xml:space="preserve"> </w:t>
      </w:r>
      <w:r w:rsidR="00EB1E9C" w:rsidRPr="00EB1E9C">
        <w:rPr>
          <w:rFonts w:ascii="Times New Roman" w:hAnsi="Times New Roman" w:cs="Times New Roman"/>
          <w:color w:val="FF0000"/>
          <w:sz w:val="24"/>
          <w:szCs w:val="24"/>
          <w:highlight w:val="yellow"/>
          <w:lang w:val="ru-RU"/>
        </w:rPr>
        <w:t>Во-первых не так подробно</w:t>
      </w:r>
      <w:r w:rsidR="00EB1E9C">
        <w:rPr>
          <w:rFonts w:ascii="Times New Roman" w:hAnsi="Times New Roman" w:cs="Times New Roman"/>
          <w:color w:val="FF0000"/>
          <w:sz w:val="24"/>
          <w:szCs w:val="24"/>
          <w:highlight w:val="yellow"/>
          <w:lang w:val="ru-RU"/>
        </w:rPr>
        <w:t>,</w:t>
      </w:r>
      <w:r w:rsidR="00EB1E9C" w:rsidRPr="00EB1E9C">
        <w:rPr>
          <w:rFonts w:ascii="Times New Roman" w:hAnsi="Times New Roman" w:cs="Times New Roman"/>
          <w:color w:val="FF0000"/>
          <w:sz w:val="24"/>
          <w:szCs w:val="24"/>
          <w:highlight w:val="yellow"/>
          <w:lang w:val="ru-RU"/>
        </w:rPr>
        <w:t xml:space="preserve"> </w:t>
      </w:r>
      <w:r w:rsidR="00EB1E9C">
        <w:rPr>
          <w:rFonts w:ascii="Times New Roman" w:hAnsi="Times New Roman" w:cs="Times New Roman"/>
          <w:color w:val="FF0000"/>
          <w:sz w:val="24"/>
          <w:szCs w:val="24"/>
          <w:highlight w:val="yellow"/>
          <w:lang w:val="ru-RU"/>
        </w:rPr>
        <w:t>э</w:t>
      </w:r>
      <w:r w:rsidR="00EB1E9C" w:rsidRPr="00EB1E9C">
        <w:rPr>
          <w:rFonts w:ascii="Times New Roman" w:hAnsi="Times New Roman" w:cs="Times New Roman"/>
          <w:color w:val="FF0000"/>
          <w:sz w:val="24"/>
          <w:szCs w:val="24"/>
          <w:highlight w:val="yellow"/>
          <w:lang w:val="ru-RU"/>
        </w:rPr>
        <w:t>то же задание, а потом что здесь делают Лента , Магнит ? Просто нет слов</w:t>
      </w:r>
    </w:p>
    <w:p w14:paraId="5CE7FB1E" w14:textId="4F916A4B" w:rsidR="00F34C03" w:rsidRPr="00651146" w:rsidRDefault="00651146" w:rsidP="00F34C03">
      <w:pPr>
        <w:ind w:left="786"/>
        <w:rPr>
          <w:rFonts w:ascii="Times New Roman" w:hAnsi="Times New Roman" w:cs="Times New Roman"/>
          <w:b/>
          <w:color w:val="00B050"/>
          <w:sz w:val="28"/>
          <w:szCs w:val="28"/>
          <w:lang w:val="ru-RU"/>
        </w:rPr>
      </w:pPr>
      <w:r w:rsidRPr="00651146">
        <w:rPr>
          <w:rFonts w:ascii="Times New Roman" w:hAnsi="Times New Roman" w:cs="Times New Roman"/>
          <w:b/>
          <w:color w:val="00B050"/>
          <w:sz w:val="28"/>
          <w:szCs w:val="28"/>
          <w:lang w:val="ru-RU"/>
        </w:rPr>
        <w:t>Кстати в списке источников ссылка на котировки Московской биржы отсутствуют</w:t>
      </w:r>
    </w:p>
    <w:p w14:paraId="4080D380" w14:textId="6466F593"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Объём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929"/>
        <w:gridCol w:w="3285"/>
      </w:tblGrid>
      <w:tr w:rsidR="00BA7AD7" w:rsidRPr="00BA7AD7" w14:paraId="46C069FA" w14:textId="77777777">
        <w:trPr>
          <w:trHeight w:val="260"/>
        </w:trPr>
        <w:tc>
          <w:tcPr>
            <w:tcW w:w="5929" w:type="dxa"/>
            <w:tcBorders>
              <w:top w:val="nil"/>
              <w:left w:val="nil"/>
              <w:bottom w:val="nil"/>
              <w:right w:val="nil"/>
            </w:tcBorders>
            <w:hideMark/>
          </w:tcPr>
          <w:p w14:paraId="62BA26B8"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листов</w:t>
            </w:r>
          </w:p>
        </w:tc>
        <w:tc>
          <w:tcPr>
            <w:tcW w:w="3285" w:type="dxa"/>
            <w:tcBorders>
              <w:top w:val="nil"/>
              <w:left w:val="nil"/>
              <w:bottom w:val="single" w:sz="4" w:space="0" w:color="auto"/>
              <w:right w:val="nil"/>
            </w:tcBorders>
          </w:tcPr>
          <w:p w14:paraId="1A6C45DA" w14:textId="77777777" w:rsidR="00BA7AD7" w:rsidRPr="00BA7AD7" w:rsidRDefault="00BA7AD7" w:rsidP="00BA7AD7">
            <w:pPr>
              <w:rPr>
                <w:rFonts w:ascii="Times New Roman" w:hAnsi="Times New Roman" w:cs="Times New Roman"/>
                <w:sz w:val="28"/>
                <w:szCs w:val="28"/>
                <w:lang w:val="ru-RU"/>
              </w:rPr>
            </w:pPr>
          </w:p>
        </w:tc>
      </w:tr>
      <w:tr w:rsidR="00BA7AD7" w:rsidRPr="00BA7AD7" w14:paraId="2F49FA8D" w14:textId="77777777" w:rsidTr="00F34C03">
        <w:trPr>
          <w:trHeight w:val="57"/>
        </w:trPr>
        <w:tc>
          <w:tcPr>
            <w:tcW w:w="5929" w:type="dxa"/>
            <w:tcBorders>
              <w:top w:val="nil"/>
              <w:left w:val="nil"/>
              <w:bottom w:val="nil"/>
              <w:right w:val="nil"/>
            </w:tcBorders>
          </w:tcPr>
          <w:p w14:paraId="5EAE74FC" w14:textId="77777777" w:rsidR="00BA7AD7" w:rsidRPr="00BA7AD7" w:rsidRDefault="00BA7AD7" w:rsidP="00BA7AD7">
            <w:pPr>
              <w:rPr>
                <w:rFonts w:ascii="Times New Roman" w:hAnsi="Times New Roman" w:cs="Times New Roman"/>
                <w:b/>
                <w:sz w:val="28"/>
                <w:szCs w:val="28"/>
                <w:lang w:val="ru-RU"/>
              </w:rPr>
            </w:pPr>
          </w:p>
        </w:tc>
        <w:tc>
          <w:tcPr>
            <w:tcW w:w="3285" w:type="dxa"/>
            <w:tcBorders>
              <w:top w:val="single" w:sz="4" w:space="0" w:color="auto"/>
              <w:left w:val="nil"/>
              <w:bottom w:val="nil"/>
              <w:right w:val="nil"/>
            </w:tcBorders>
          </w:tcPr>
          <w:p w14:paraId="65CAC73A" w14:textId="77777777" w:rsidR="00BA7AD7" w:rsidRPr="00BA7AD7" w:rsidRDefault="00BA7AD7" w:rsidP="00BA7AD7">
            <w:pPr>
              <w:rPr>
                <w:rFonts w:ascii="Times New Roman" w:hAnsi="Times New Roman" w:cs="Times New Roman"/>
                <w:sz w:val="28"/>
                <w:szCs w:val="28"/>
                <w:lang w:val="ru-RU"/>
              </w:rPr>
            </w:pPr>
          </w:p>
        </w:tc>
      </w:tr>
      <w:tr w:rsidR="00BA7AD7" w:rsidRPr="00BA7AD7" w14:paraId="798CA44D" w14:textId="77777777">
        <w:trPr>
          <w:trHeight w:val="249"/>
        </w:trPr>
        <w:tc>
          <w:tcPr>
            <w:tcW w:w="5929" w:type="dxa"/>
            <w:tcBorders>
              <w:top w:val="nil"/>
              <w:left w:val="nil"/>
              <w:bottom w:val="nil"/>
              <w:right w:val="nil"/>
            </w:tcBorders>
            <w:hideMark/>
          </w:tcPr>
          <w:p w14:paraId="441DBE1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слайдов в презентации</w:t>
            </w:r>
          </w:p>
        </w:tc>
        <w:tc>
          <w:tcPr>
            <w:tcW w:w="3285" w:type="dxa"/>
            <w:tcBorders>
              <w:top w:val="nil"/>
              <w:left w:val="nil"/>
              <w:bottom w:val="single" w:sz="4" w:space="0" w:color="auto"/>
              <w:right w:val="nil"/>
            </w:tcBorders>
          </w:tcPr>
          <w:p w14:paraId="4411CA59" w14:textId="77777777" w:rsidR="00BA7AD7" w:rsidRPr="00BA7AD7" w:rsidRDefault="00BA7AD7" w:rsidP="00BA7AD7">
            <w:pPr>
              <w:rPr>
                <w:rFonts w:ascii="Times New Roman" w:hAnsi="Times New Roman" w:cs="Times New Roman"/>
                <w:sz w:val="28"/>
                <w:szCs w:val="28"/>
                <w:lang w:val="ru-RU"/>
              </w:rPr>
            </w:pPr>
          </w:p>
        </w:tc>
      </w:tr>
      <w:tr w:rsidR="00BA7AD7" w:rsidRPr="00BA7AD7" w14:paraId="2A72EFEB" w14:textId="77777777">
        <w:trPr>
          <w:trHeight w:val="189"/>
        </w:trPr>
        <w:tc>
          <w:tcPr>
            <w:tcW w:w="5929" w:type="dxa"/>
            <w:tcBorders>
              <w:top w:val="nil"/>
              <w:left w:val="nil"/>
              <w:bottom w:val="nil"/>
              <w:right w:val="nil"/>
            </w:tcBorders>
          </w:tcPr>
          <w:p w14:paraId="3681E6F6" w14:textId="77777777" w:rsidR="00BA7AD7" w:rsidRPr="00BA7AD7" w:rsidRDefault="00BA7AD7" w:rsidP="00BA7AD7">
            <w:pPr>
              <w:rPr>
                <w:rFonts w:ascii="Times New Roman" w:hAnsi="Times New Roman" w:cs="Times New Roman"/>
                <w:sz w:val="28"/>
                <w:szCs w:val="28"/>
                <w:lang w:val="ru-RU"/>
              </w:rPr>
            </w:pPr>
          </w:p>
        </w:tc>
        <w:tc>
          <w:tcPr>
            <w:tcW w:w="3285" w:type="dxa"/>
            <w:tcBorders>
              <w:top w:val="single" w:sz="4" w:space="0" w:color="auto"/>
              <w:left w:val="nil"/>
              <w:bottom w:val="nil"/>
              <w:right w:val="nil"/>
            </w:tcBorders>
          </w:tcPr>
          <w:p w14:paraId="30864788" w14:textId="77777777" w:rsidR="00BA7AD7" w:rsidRPr="00BA7AD7" w:rsidRDefault="00BA7AD7" w:rsidP="00BA7AD7">
            <w:pPr>
              <w:rPr>
                <w:rFonts w:ascii="Times New Roman" w:hAnsi="Times New Roman" w:cs="Times New Roman"/>
                <w:sz w:val="28"/>
                <w:szCs w:val="28"/>
                <w:lang w:val="ru-RU"/>
              </w:rPr>
            </w:pPr>
          </w:p>
        </w:tc>
      </w:tr>
    </w:tbl>
    <w:p w14:paraId="166AD71A" w14:textId="77777777" w:rsidR="00BA7AD7" w:rsidRDefault="00BA7AD7" w:rsidP="00BA7AD7">
      <w:pPr>
        <w:rPr>
          <w:rFonts w:ascii="Times New Roman" w:hAnsi="Times New Roman" w:cs="Times New Roman"/>
          <w:b/>
          <w:sz w:val="28"/>
          <w:szCs w:val="28"/>
          <w:lang w:val="ru-RU"/>
        </w:rPr>
      </w:pPr>
    </w:p>
    <w:p w14:paraId="1BCAB3EC"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BA7AD7" w:rsidRPr="00EB1E9C" w14:paraId="19371F36" w14:textId="77777777">
        <w:trPr>
          <w:trHeight w:val="260"/>
        </w:trPr>
        <w:tc>
          <w:tcPr>
            <w:tcW w:w="9214" w:type="dxa"/>
            <w:tcBorders>
              <w:top w:val="nil"/>
              <w:left w:val="nil"/>
              <w:bottom w:val="single" w:sz="4" w:space="0" w:color="auto"/>
              <w:right w:val="nil"/>
            </w:tcBorders>
            <w:hideMark/>
          </w:tcPr>
          <w:p w14:paraId="27E50D2C" w14:textId="1468A0D8" w:rsidR="00BA7AD7" w:rsidRPr="00F34C03" w:rsidRDefault="00306918"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Об инвестиционных фондах : федер. закон от 29.11.2001 № 156-ФЗ (актуальная редакция 2026 г.).</w:t>
            </w:r>
          </w:p>
        </w:tc>
      </w:tr>
      <w:tr w:rsidR="00BA7AD7" w:rsidRPr="00EB1E9C" w14:paraId="2A8DD67E" w14:textId="77777777" w:rsidTr="00F34C03">
        <w:trPr>
          <w:trHeight w:val="276"/>
        </w:trPr>
        <w:tc>
          <w:tcPr>
            <w:tcW w:w="9214" w:type="dxa"/>
            <w:tcBorders>
              <w:top w:val="single" w:sz="4" w:space="0" w:color="auto"/>
              <w:left w:val="nil"/>
              <w:bottom w:val="single" w:sz="4" w:space="0" w:color="auto"/>
              <w:right w:val="nil"/>
            </w:tcBorders>
          </w:tcPr>
          <w:p w14:paraId="72B5265E" w14:textId="7BA5C396"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Аскинадзи, В. М. Инвестиции : учебник для бакалавров / В. М. Аскинадзи, В. Ф. Максимова. – Переиздание. – Москва : Издательство Юрайт, 2024. – 422 с.</w:t>
            </w:r>
          </w:p>
        </w:tc>
      </w:tr>
      <w:tr w:rsidR="00BA7AD7" w:rsidRPr="00EB1E9C" w14:paraId="711C8381" w14:textId="77777777" w:rsidTr="00F34C03">
        <w:trPr>
          <w:trHeight w:val="276"/>
        </w:trPr>
        <w:tc>
          <w:tcPr>
            <w:tcW w:w="9214" w:type="dxa"/>
            <w:tcBorders>
              <w:top w:val="single" w:sz="4" w:space="0" w:color="auto"/>
              <w:left w:val="nil"/>
              <w:bottom w:val="single" w:sz="4" w:space="0" w:color="auto"/>
              <w:right w:val="nil"/>
            </w:tcBorders>
          </w:tcPr>
          <w:p w14:paraId="1E6A5A72" w14:textId="4CF86BD4"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Брейли, Р. Принципы корпоративных финансов / Р. Брейли, С. Майерс ; пер. с англ. – Переиздание. – Москва : Олимп-Бизнес, 2024. – 1120 с.</w:t>
            </w:r>
          </w:p>
        </w:tc>
      </w:tr>
      <w:tr w:rsidR="00BA7AD7" w:rsidRPr="00EB1E9C" w14:paraId="59A8EF64" w14:textId="77777777" w:rsidTr="00F34C03">
        <w:trPr>
          <w:trHeight w:val="276"/>
        </w:trPr>
        <w:tc>
          <w:tcPr>
            <w:tcW w:w="9214" w:type="dxa"/>
            <w:tcBorders>
              <w:top w:val="single" w:sz="4" w:space="0" w:color="auto"/>
              <w:left w:val="nil"/>
              <w:bottom w:val="single" w:sz="4" w:space="0" w:color="auto"/>
              <w:right w:val="nil"/>
            </w:tcBorders>
          </w:tcPr>
          <w:p w14:paraId="6DEDDFA0" w14:textId="151BC744"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Теплова, Т. В. Инвестиции : учебник и практикум для вузов / Т. В. Теплова. – 3-е изд., перераб. и доп. – Москва : Издательство Юрайт, 2026. – 781 с.</w:t>
            </w:r>
          </w:p>
        </w:tc>
      </w:tr>
      <w:tr w:rsidR="00BA7AD7" w:rsidRPr="00F34C03" w14:paraId="0510680A" w14:textId="77777777" w:rsidTr="00F34C03">
        <w:trPr>
          <w:trHeight w:val="276"/>
        </w:trPr>
        <w:tc>
          <w:tcPr>
            <w:tcW w:w="9214" w:type="dxa"/>
            <w:tcBorders>
              <w:top w:val="single" w:sz="4" w:space="0" w:color="auto"/>
              <w:left w:val="nil"/>
              <w:bottom w:val="single" w:sz="4" w:space="0" w:color="auto"/>
              <w:right w:val="nil"/>
            </w:tcBorders>
          </w:tcPr>
          <w:p w14:paraId="40F4A951" w14:textId="5CB07A09"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Markowitz, H. M. Portfolio Selection: Efficient Diversification of Investments / H. M. Markowitz. – New York : Wiley, 2024 (Reprint). – 344 p.</w:t>
            </w:r>
          </w:p>
        </w:tc>
      </w:tr>
      <w:tr w:rsidR="00BA7AD7" w:rsidRPr="00F34C03" w14:paraId="6844668A" w14:textId="77777777" w:rsidTr="00F34C03">
        <w:trPr>
          <w:trHeight w:val="524"/>
        </w:trPr>
        <w:tc>
          <w:tcPr>
            <w:tcW w:w="9214" w:type="dxa"/>
            <w:tcBorders>
              <w:top w:val="single" w:sz="4" w:space="0" w:color="auto"/>
              <w:left w:val="nil"/>
              <w:bottom w:val="single" w:sz="4" w:space="0" w:color="auto"/>
              <w:right w:val="nil"/>
            </w:tcBorders>
          </w:tcPr>
          <w:p w14:paraId="3827C1D9" w14:textId="5997B2DD"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Sharpe, W. F. Capital asset prices: a theory of market equilibrium under conditions of risk / W. F. Sharpe. – Text : unmediated // The Journal of Finance. – 2024 (Reprint). – Vol. 19, no. 3. – P. 425–442</w:t>
            </w:r>
          </w:p>
        </w:tc>
      </w:tr>
    </w:tbl>
    <w:p w14:paraId="231EABA1" w14:textId="77777777" w:rsidR="00BA7AD7" w:rsidRPr="00F34C03" w:rsidRDefault="00BA7AD7" w:rsidP="00BA7AD7">
      <w:pPr>
        <w:rPr>
          <w:rFonts w:ascii="Times New Roman" w:hAnsi="Times New Roman" w:cs="Times New Roman"/>
          <w:b/>
          <w:sz w:val="28"/>
          <w:szCs w:val="28"/>
          <w:lang w:val="en-US"/>
        </w:rPr>
      </w:pPr>
    </w:p>
    <w:p w14:paraId="6AAAFDC0" w14:textId="77777777" w:rsidR="00BA7AD7" w:rsidRPr="00F34C03" w:rsidRDefault="00BA7AD7" w:rsidP="00BA7AD7">
      <w:pPr>
        <w:rPr>
          <w:rFonts w:ascii="Times New Roman" w:hAnsi="Times New Roman" w:cs="Times New Roman"/>
          <w:b/>
          <w:sz w:val="28"/>
          <w:szCs w:val="28"/>
          <w:lang w:val="en-US"/>
        </w:rPr>
      </w:pPr>
    </w:p>
    <w:p w14:paraId="3CD5ACC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План выполнения выпускной квалификационной работы</w:t>
      </w:r>
    </w:p>
    <w:p w14:paraId="6C523C0F" w14:textId="77777777" w:rsidR="00BA7AD7" w:rsidRPr="00BA7AD7" w:rsidRDefault="00BA7AD7" w:rsidP="00BA7AD7">
      <w:pPr>
        <w:rPr>
          <w:rFonts w:ascii="Times New Roman" w:hAnsi="Times New Roman" w:cs="Times New Roman"/>
          <w:b/>
          <w:sz w:val="28"/>
          <w:szCs w:val="28"/>
          <w:lang w:val="ru-RU"/>
        </w:rPr>
      </w:pPr>
    </w:p>
    <w:tbl>
      <w:tblPr>
        <w:tblW w:w="94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4"/>
        <w:gridCol w:w="4254"/>
        <w:gridCol w:w="1842"/>
        <w:gridCol w:w="2205"/>
      </w:tblGrid>
      <w:tr w:rsidR="00BA7AD7" w:rsidRPr="00BA7AD7" w14:paraId="55AE3CA7" w14:textId="77777777">
        <w:trPr>
          <w:trHeight w:val="639"/>
        </w:trPr>
        <w:tc>
          <w:tcPr>
            <w:tcW w:w="1163" w:type="dxa"/>
            <w:tcBorders>
              <w:top w:val="single" w:sz="4" w:space="0" w:color="000000"/>
              <w:left w:val="single" w:sz="4" w:space="0" w:color="000000"/>
              <w:bottom w:val="single" w:sz="4" w:space="0" w:color="000000"/>
              <w:right w:val="single" w:sz="4" w:space="0" w:color="000000"/>
            </w:tcBorders>
            <w:hideMark/>
          </w:tcPr>
          <w:p w14:paraId="29D70FA0"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w:t>
            </w:r>
          </w:p>
          <w:p w14:paraId="3A7F307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п\п</w:t>
            </w:r>
          </w:p>
        </w:tc>
        <w:tc>
          <w:tcPr>
            <w:tcW w:w="4253" w:type="dxa"/>
            <w:tcBorders>
              <w:top w:val="single" w:sz="4" w:space="0" w:color="000000"/>
              <w:left w:val="single" w:sz="4" w:space="0" w:color="000000"/>
              <w:bottom w:val="single" w:sz="4" w:space="0" w:color="000000"/>
              <w:right w:val="single" w:sz="4" w:space="0" w:color="000000"/>
            </w:tcBorders>
            <w:hideMark/>
          </w:tcPr>
          <w:p w14:paraId="3C73EA3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Содержание разделов</w:t>
            </w:r>
          </w:p>
        </w:tc>
        <w:tc>
          <w:tcPr>
            <w:tcW w:w="1842" w:type="dxa"/>
            <w:tcBorders>
              <w:top w:val="single" w:sz="4" w:space="0" w:color="000000"/>
              <w:left w:val="single" w:sz="4" w:space="0" w:color="000000"/>
              <w:bottom w:val="single" w:sz="4" w:space="0" w:color="000000"/>
              <w:right w:val="single" w:sz="4" w:space="0" w:color="000000"/>
            </w:tcBorders>
            <w:hideMark/>
          </w:tcPr>
          <w:p w14:paraId="45EC88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Срок</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выполнения</w:t>
            </w:r>
          </w:p>
        </w:tc>
        <w:tc>
          <w:tcPr>
            <w:tcW w:w="2205" w:type="dxa"/>
            <w:tcBorders>
              <w:top w:val="single" w:sz="4" w:space="0" w:color="000000"/>
              <w:left w:val="single" w:sz="4" w:space="0" w:color="000000"/>
              <w:bottom w:val="single" w:sz="4" w:space="0" w:color="000000"/>
              <w:right w:val="single" w:sz="4" w:space="0" w:color="000000"/>
            </w:tcBorders>
            <w:hideMark/>
          </w:tcPr>
          <w:p w14:paraId="1E419999"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Трудоёмкость,</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w:t>
            </w:r>
          </w:p>
        </w:tc>
      </w:tr>
      <w:tr w:rsidR="00BA7AD7" w:rsidRPr="00BA7AD7" w14:paraId="6995E852" w14:textId="77777777">
        <w:trPr>
          <w:trHeight w:val="3650"/>
        </w:trPr>
        <w:tc>
          <w:tcPr>
            <w:tcW w:w="1163" w:type="dxa"/>
            <w:tcBorders>
              <w:top w:val="single" w:sz="4" w:space="0" w:color="000000"/>
              <w:left w:val="single" w:sz="4" w:space="0" w:color="000000"/>
              <w:bottom w:val="single" w:sz="4" w:space="0" w:color="000000"/>
              <w:right w:val="single" w:sz="4" w:space="0" w:color="000000"/>
            </w:tcBorders>
            <w:hideMark/>
          </w:tcPr>
          <w:p w14:paraId="1859A3B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hideMark/>
          </w:tcPr>
          <w:p w14:paraId="27C6E89D" w14:textId="3C88BD73" w:rsidR="00D2601B" w:rsidRPr="00D2601B" w:rsidRDefault="00D2601B"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D2601B">
              <w:rPr>
                <w:rFonts w:ascii="Times New Roman" w:hAnsi="Times New Roman" w:cs="Times New Roman"/>
                <w:sz w:val="28"/>
                <w:szCs w:val="28"/>
                <w:lang w:val="ru-RU"/>
              </w:rPr>
              <w:t xml:space="preserve"> 1. </w:t>
            </w:r>
            <w:r>
              <w:rPr>
                <w:rFonts w:ascii="Times New Roman" w:hAnsi="Times New Roman" w:cs="Times New Roman"/>
                <w:sz w:val="28"/>
                <w:szCs w:val="28"/>
                <w:lang w:val="ru-RU"/>
              </w:rPr>
              <w:t xml:space="preserve">Теоретические аспекты формирования и оценки качества инвестиционного портфеля </w:t>
            </w:r>
          </w:p>
          <w:p w14:paraId="14D6A79A"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1.1 Понятие, экономическая сущность, принципы и методы формирования инвестиционного портфеля</w:t>
            </w:r>
          </w:p>
          <w:p w14:paraId="09E88D40"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1.2 Методики оценки эффективности и качества инвестиционного портфеля</w:t>
            </w:r>
          </w:p>
          <w:p w14:paraId="0FB004AA" w14:textId="397F7C9C" w:rsidR="00BA7AD7" w:rsidRPr="00BA7AD7"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1.3 ПИФ как рыночный механизм коллективного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6EAF98CD"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c>
          <w:tcPr>
            <w:tcW w:w="2205" w:type="dxa"/>
            <w:tcBorders>
              <w:top w:val="single" w:sz="4" w:space="0" w:color="000000"/>
              <w:left w:val="single" w:sz="4" w:space="0" w:color="000000"/>
              <w:bottom w:val="single" w:sz="4" w:space="0" w:color="000000"/>
              <w:right w:val="single" w:sz="4" w:space="0" w:color="000000"/>
            </w:tcBorders>
            <w:hideMark/>
          </w:tcPr>
          <w:p w14:paraId="6185EB04"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30%</w:t>
            </w:r>
          </w:p>
        </w:tc>
      </w:tr>
      <w:tr w:rsidR="00BA7AD7" w:rsidRPr="00BA7AD7" w14:paraId="54085F11" w14:textId="77777777">
        <w:trPr>
          <w:trHeight w:val="2618"/>
        </w:trPr>
        <w:tc>
          <w:tcPr>
            <w:tcW w:w="1163" w:type="dxa"/>
            <w:tcBorders>
              <w:top w:val="single" w:sz="4" w:space="0" w:color="000000"/>
              <w:left w:val="single" w:sz="4" w:space="0" w:color="000000"/>
              <w:bottom w:val="single" w:sz="4" w:space="0" w:color="000000"/>
              <w:right w:val="single" w:sz="4" w:space="0" w:color="000000"/>
            </w:tcBorders>
            <w:hideMark/>
          </w:tcPr>
          <w:p w14:paraId="36FE72E6"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0D2CC0FC" w14:textId="0F4640FE"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2. А</w:t>
            </w:r>
            <w:r>
              <w:rPr>
                <w:rFonts w:ascii="Times New Roman" w:hAnsi="Times New Roman" w:cs="Times New Roman"/>
                <w:sz w:val="28"/>
                <w:szCs w:val="28"/>
                <w:lang w:val="ru-RU"/>
              </w:rPr>
              <w:t>нализ инвестиционного портфеля ОПИФ РФИ «ВИМ-Металлургия»</w:t>
            </w:r>
          </w:p>
          <w:p w14:paraId="08F434B4"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2.1. Структура и состав инвестиционного портфеля ОПИФ РФИ «ВИМ-Металлургия»</w:t>
            </w:r>
          </w:p>
          <w:p w14:paraId="151D2EFC" w14:textId="1B9696DD"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2.2. Характеристика крупнейших объектов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1BA029F4"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15.03.2026</w:t>
            </w:r>
          </w:p>
        </w:tc>
        <w:tc>
          <w:tcPr>
            <w:tcW w:w="2205" w:type="dxa"/>
            <w:tcBorders>
              <w:top w:val="single" w:sz="4" w:space="0" w:color="000000"/>
              <w:left w:val="single" w:sz="4" w:space="0" w:color="000000"/>
              <w:bottom w:val="single" w:sz="4" w:space="0" w:color="000000"/>
              <w:right w:val="single" w:sz="4" w:space="0" w:color="000000"/>
            </w:tcBorders>
            <w:hideMark/>
          </w:tcPr>
          <w:p w14:paraId="6A76362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25%</w:t>
            </w:r>
          </w:p>
        </w:tc>
      </w:tr>
      <w:tr w:rsidR="00BA7AD7" w:rsidRPr="00BA7AD7" w14:paraId="0D28AF96" w14:textId="77777777">
        <w:trPr>
          <w:trHeight w:val="90"/>
        </w:trPr>
        <w:tc>
          <w:tcPr>
            <w:tcW w:w="1163" w:type="dxa"/>
            <w:tcBorders>
              <w:top w:val="single" w:sz="4" w:space="0" w:color="000000"/>
              <w:left w:val="single" w:sz="4" w:space="0" w:color="000000"/>
              <w:bottom w:val="single" w:sz="4" w:space="0" w:color="000000"/>
              <w:right w:val="single" w:sz="4" w:space="0" w:color="000000"/>
            </w:tcBorders>
          </w:tcPr>
          <w:p w14:paraId="6033F46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III</w:t>
            </w:r>
            <w:r w:rsidRPr="00BA7AD7">
              <w:rPr>
                <w:rFonts w:ascii="Times New Roman" w:hAnsi="Times New Roman" w:cs="Times New Roman"/>
                <w:sz w:val="28"/>
                <w:szCs w:val="28"/>
                <w:lang w:val="ru-RU"/>
              </w:rPr>
              <w:t>.</w:t>
            </w:r>
          </w:p>
          <w:p w14:paraId="4433FC78" w14:textId="77777777" w:rsidR="00BA7AD7" w:rsidRPr="00BA7AD7" w:rsidRDefault="00BA7AD7" w:rsidP="00BA7AD7">
            <w:pPr>
              <w:rPr>
                <w:rFonts w:ascii="Times New Roman" w:hAnsi="Times New Roman" w:cs="Times New Roman"/>
                <w:sz w:val="28"/>
                <w:szCs w:val="28"/>
                <w:lang w:val="en-US"/>
              </w:rPr>
            </w:pPr>
          </w:p>
          <w:p w14:paraId="19695466" w14:textId="77777777" w:rsidR="00BA7AD7" w:rsidRPr="00BA7AD7" w:rsidRDefault="00BA7AD7" w:rsidP="00BA7AD7">
            <w:pPr>
              <w:rPr>
                <w:rFonts w:ascii="Times New Roman" w:hAnsi="Times New Roman" w:cs="Times New Roman"/>
                <w:sz w:val="28"/>
                <w:szCs w:val="28"/>
                <w:lang w:val="ru-RU"/>
              </w:rPr>
            </w:pPr>
          </w:p>
        </w:tc>
        <w:tc>
          <w:tcPr>
            <w:tcW w:w="4253" w:type="dxa"/>
            <w:tcBorders>
              <w:top w:val="single" w:sz="4" w:space="0" w:color="000000"/>
              <w:left w:val="single" w:sz="4" w:space="0" w:color="000000"/>
              <w:bottom w:val="single" w:sz="4" w:space="0" w:color="000000"/>
              <w:right w:val="single" w:sz="4" w:space="0" w:color="000000"/>
            </w:tcBorders>
          </w:tcPr>
          <w:p w14:paraId="4A222274" w14:textId="5FEC7BA0"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3. Р</w:t>
            </w:r>
            <w:r>
              <w:rPr>
                <w:rFonts w:ascii="Times New Roman" w:hAnsi="Times New Roman" w:cs="Times New Roman"/>
                <w:sz w:val="28"/>
                <w:szCs w:val="28"/>
                <w:lang w:val="ru-RU"/>
              </w:rPr>
              <w:t xml:space="preserve">азработка рекомендация по повышению качества инвестиционного портфеля </w:t>
            </w:r>
            <w:r w:rsidRPr="00306918">
              <w:rPr>
                <w:rFonts w:ascii="Times New Roman" w:hAnsi="Times New Roman" w:cs="Times New Roman"/>
                <w:sz w:val="28"/>
                <w:szCs w:val="28"/>
                <w:lang w:val="ru-RU"/>
              </w:rPr>
              <w:t>ОПИФ РФИ «ВИМ-Металлургия»</w:t>
            </w:r>
          </w:p>
          <w:p w14:paraId="1A9092AF"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3.1. Рекомендации по повышению качества портфеля</w:t>
            </w:r>
          </w:p>
          <w:p w14:paraId="226DBB2D" w14:textId="3758158C"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3.2. Обоснование эффективности предложенных решений</w:t>
            </w:r>
          </w:p>
        </w:tc>
        <w:tc>
          <w:tcPr>
            <w:tcW w:w="1842" w:type="dxa"/>
            <w:tcBorders>
              <w:top w:val="single" w:sz="4" w:space="0" w:color="000000"/>
              <w:left w:val="single" w:sz="4" w:space="0" w:color="000000"/>
              <w:bottom w:val="single" w:sz="4" w:space="0" w:color="000000"/>
              <w:right w:val="single" w:sz="4" w:space="0" w:color="000000"/>
            </w:tcBorders>
            <w:hideMark/>
          </w:tcPr>
          <w:p w14:paraId="66B2755A"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30.04.2026</w:t>
            </w:r>
          </w:p>
        </w:tc>
        <w:tc>
          <w:tcPr>
            <w:tcW w:w="2205" w:type="dxa"/>
            <w:tcBorders>
              <w:top w:val="single" w:sz="4" w:space="0" w:color="000000"/>
              <w:left w:val="single" w:sz="4" w:space="0" w:color="000000"/>
              <w:bottom w:val="single" w:sz="4" w:space="0" w:color="000000"/>
              <w:right w:val="single" w:sz="4" w:space="0" w:color="000000"/>
            </w:tcBorders>
            <w:hideMark/>
          </w:tcPr>
          <w:p w14:paraId="674CECE3"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35%</w:t>
            </w:r>
          </w:p>
        </w:tc>
      </w:tr>
      <w:tr w:rsidR="00BA7AD7" w:rsidRPr="00BA7AD7" w14:paraId="5300F5EE" w14:textId="77777777">
        <w:trPr>
          <w:trHeight w:val="426"/>
        </w:trPr>
        <w:tc>
          <w:tcPr>
            <w:tcW w:w="1163" w:type="dxa"/>
            <w:tcBorders>
              <w:top w:val="single" w:sz="4" w:space="0" w:color="000000"/>
              <w:left w:val="single" w:sz="4" w:space="0" w:color="000000"/>
              <w:bottom w:val="single" w:sz="4" w:space="0" w:color="000000"/>
              <w:right w:val="single" w:sz="4" w:space="0" w:color="000000"/>
            </w:tcBorders>
            <w:hideMark/>
          </w:tcPr>
          <w:p w14:paraId="6CE4CF47"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lastRenderedPageBreak/>
              <w:t>IV</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20F0C311" w14:textId="77777777" w:rsidR="00BA7AD7" w:rsidRPr="00BA7AD7" w:rsidRDefault="00BA7AD7" w:rsidP="00F34C03">
            <w:pPr>
              <w:spacing w:line="240" w:lineRule="auto"/>
              <w:rPr>
                <w:rFonts w:ascii="Times New Roman" w:hAnsi="Times New Roman" w:cs="Times New Roman"/>
                <w:sz w:val="28"/>
                <w:szCs w:val="28"/>
                <w:lang w:val="ru-RU"/>
              </w:rPr>
            </w:pPr>
            <w:r w:rsidRPr="00BA7AD7">
              <w:rPr>
                <w:rFonts w:ascii="Times New Roman" w:hAnsi="Times New Roman" w:cs="Times New Roman"/>
                <w:sz w:val="28"/>
                <w:szCs w:val="28"/>
                <w:lang w:val="ru-RU"/>
              </w:rPr>
              <w:t>Оформление ВКР</w:t>
            </w:r>
          </w:p>
          <w:p w14:paraId="4F7828C9" w14:textId="77777777" w:rsidR="00BA7AD7" w:rsidRPr="00BA7AD7" w:rsidRDefault="00BA7AD7" w:rsidP="00F34C03">
            <w:pPr>
              <w:spacing w:line="240" w:lineRule="auto"/>
              <w:rPr>
                <w:rFonts w:ascii="Times New Roman" w:hAnsi="Times New Roman" w:cs="Times New Roman"/>
                <w:sz w:val="28"/>
                <w:szCs w:val="28"/>
                <w:lang w:val="ru-RU"/>
              </w:rPr>
            </w:pPr>
          </w:p>
        </w:tc>
        <w:tc>
          <w:tcPr>
            <w:tcW w:w="1842" w:type="dxa"/>
            <w:tcBorders>
              <w:top w:val="single" w:sz="4" w:space="0" w:color="000000"/>
              <w:left w:val="single" w:sz="4" w:space="0" w:color="000000"/>
              <w:bottom w:val="single" w:sz="4" w:space="0" w:color="000000"/>
              <w:right w:val="single" w:sz="4" w:space="0" w:color="000000"/>
            </w:tcBorders>
            <w:hideMark/>
          </w:tcPr>
          <w:p w14:paraId="4FC1770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31.05.2026</w:t>
            </w:r>
          </w:p>
        </w:tc>
        <w:tc>
          <w:tcPr>
            <w:tcW w:w="2205" w:type="dxa"/>
            <w:tcBorders>
              <w:top w:val="single" w:sz="4" w:space="0" w:color="000000"/>
              <w:left w:val="single" w:sz="4" w:space="0" w:color="000000"/>
              <w:bottom w:val="single" w:sz="4" w:space="0" w:color="000000"/>
              <w:right w:val="single" w:sz="4" w:space="0" w:color="000000"/>
            </w:tcBorders>
            <w:hideMark/>
          </w:tcPr>
          <w:p w14:paraId="4C00BA89"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10%</w:t>
            </w:r>
          </w:p>
        </w:tc>
      </w:tr>
    </w:tbl>
    <w:p w14:paraId="66E79555" w14:textId="77777777" w:rsidR="00BA7AD7" w:rsidRPr="00BA7AD7" w:rsidRDefault="00BA7AD7" w:rsidP="00BA7AD7">
      <w:pPr>
        <w:rPr>
          <w:rFonts w:ascii="Times New Roman" w:hAnsi="Times New Roman" w:cs="Times New Roman"/>
          <w:b/>
          <w:sz w:val="28"/>
          <w:szCs w:val="28"/>
          <w:lang w:val="ru-RU"/>
        </w:rPr>
      </w:pPr>
    </w:p>
    <w:p w14:paraId="5D58D0F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519097E" w14:textId="77777777">
        <w:trPr>
          <w:trHeight w:val="153"/>
        </w:trPr>
        <w:tc>
          <w:tcPr>
            <w:tcW w:w="9246" w:type="dxa"/>
            <w:gridSpan w:val="5"/>
            <w:tcBorders>
              <w:top w:val="nil"/>
              <w:left w:val="nil"/>
              <w:bottom w:val="nil"/>
              <w:right w:val="nil"/>
            </w:tcBorders>
            <w:hideMark/>
          </w:tcPr>
          <w:p w14:paraId="335593EF"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551A1DB0" w14:textId="77777777" w:rsidTr="00F34C03">
        <w:trPr>
          <w:trHeight w:val="850"/>
        </w:trPr>
        <w:tc>
          <w:tcPr>
            <w:tcW w:w="9246" w:type="dxa"/>
            <w:gridSpan w:val="5"/>
            <w:tcBorders>
              <w:top w:val="nil"/>
              <w:left w:val="nil"/>
              <w:bottom w:val="nil"/>
              <w:right w:val="nil"/>
            </w:tcBorders>
          </w:tcPr>
          <w:p w14:paraId="5468D758" w14:textId="77777777" w:rsidR="00BA7AD7" w:rsidRPr="00BA7AD7" w:rsidRDefault="00BA7AD7" w:rsidP="00BA7AD7">
            <w:pPr>
              <w:rPr>
                <w:rFonts w:ascii="Times New Roman" w:hAnsi="Times New Roman" w:cs="Times New Roman"/>
                <w:sz w:val="28"/>
                <w:szCs w:val="28"/>
                <w:lang w:val="ru-RU"/>
              </w:rPr>
            </w:pPr>
          </w:p>
        </w:tc>
      </w:tr>
      <w:tr w:rsidR="00BA7AD7" w:rsidRPr="00BA7AD7" w14:paraId="202081CA" w14:textId="77777777">
        <w:trPr>
          <w:trHeight w:val="63"/>
        </w:trPr>
        <w:tc>
          <w:tcPr>
            <w:tcW w:w="4712" w:type="dxa"/>
            <w:tcBorders>
              <w:top w:val="nil"/>
              <w:left w:val="nil"/>
              <w:bottom w:val="single" w:sz="4" w:space="0" w:color="auto"/>
              <w:right w:val="nil"/>
            </w:tcBorders>
          </w:tcPr>
          <w:p w14:paraId="65F1D728"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09D7FAC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DBCE861"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32BB8A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0F573888" w14:textId="77777777" w:rsidR="00BA7AD7" w:rsidRPr="00BA7AD7" w:rsidRDefault="00BA7AD7" w:rsidP="00BA7AD7">
            <w:pPr>
              <w:rPr>
                <w:rFonts w:ascii="Times New Roman" w:hAnsi="Times New Roman" w:cs="Times New Roman"/>
                <w:sz w:val="28"/>
                <w:szCs w:val="28"/>
                <w:lang w:val="ru-RU"/>
              </w:rPr>
            </w:pPr>
          </w:p>
        </w:tc>
      </w:tr>
      <w:tr w:rsidR="00BA7AD7" w:rsidRPr="00BA7AD7" w14:paraId="747CB568" w14:textId="77777777">
        <w:trPr>
          <w:trHeight w:val="190"/>
        </w:trPr>
        <w:tc>
          <w:tcPr>
            <w:tcW w:w="4712" w:type="dxa"/>
            <w:tcBorders>
              <w:top w:val="single" w:sz="4" w:space="0" w:color="auto"/>
              <w:left w:val="nil"/>
              <w:bottom w:val="nil"/>
              <w:right w:val="nil"/>
            </w:tcBorders>
            <w:hideMark/>
          </w:tcPr>
          <w:p w14:paraId="1A1FE7B2"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55084BD0"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A515496"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D26D927"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665A52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F484F7D" w14:textId="77777777" w:rsidR="00BA7AD7" w:rsidRPr="00BA7AD7" w:rsidRDefault="00BA7AD7" w:rsidP="00BA7AD7">
      <w:pPr>
        <w:rPr>
          <w:rFonts w:ascii="Times New Roman" w:hAnsi="Times New Roman" w:cs="Times New Roman"/>
          <w:b/>
          <w:sz w:val="28"/>
          <w:szCs w:val="28"/>
          <w:lang w:val="ru-RU"/>
        </w:rPr>
      </w:pPr>
    </w:p>
    <w:p w14:paraId="441E603A"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(консультант 2)</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CB9C402" w14:textId="77777777">
        <w:trPr>
          <w:trHeight w:val="153"/>
        </w:trPr>
        <w:tc>
          <w:tcPr>
            <w:tcW w:w="9246" w:type="dxa"/>
            <w:gridSpan w:val="5"/>
            <w:tcBorders>
              <w:top w:val="nil"/>
              <w:left w:val="nil"/>
              <w:bottom w:val="nil"/>
              <w:right w:val="nil"/>
            </w:tcBorders>
            <w:hideMark/>
          </w:tcPr>
          <w:p w14:paraId="5C5E67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6078913A" w14:textId="77777777" w:rsidTr="00F34C03">
        <w:trPr>
          <w:trHeight w:val="567"/>
        </w:trPr>
        <w:tc>
          <w:tcPr>
            <w:tcW w:w="9246" w:type="dxa"/>
            <w:gridSpan w:val="5"/>
            <w:tcBorders>
              <w:top w:val="nil"/>
              <w:left w:val="nil"/>
              <w:bottom w:val="nil"/>
              <w:right w:val="nil"/>
            </w:tcBorders>
          </w:tcPr>
          <w:p w14:paraId="6DA14FA0" w14:textId="77777777" w:rsidR="00BA7AD7" w:rsidRPr="00BA7AD7" w:rsidRDefault="00BA7AD7" w:rsidP="00BA7AD7">
            <w:pPr>
              <w:rPr>
                <w:rFonts w:ascii="Times New Roman" w:hAnsi="Times New Roman" w:cs="Times New Roman"/>
                <w:sz w:val="28"/>
                <w:szCs w:val="28"/>
                <w:lang w:val="ru-RU"/>
              </w:rPr>
            </w:pPr>
          </w:p>
        </w:tc>
      </w:tr>
      <w:tr w:rsidR="00BA7AD7" w:rsidRPr="00BA7AD7" w14:paraId="55AEBB9A" w14:textId="77777777">
        <w:trPr>
          <w:trHeight w:val="82"/>
        </w:trPr>
        <w:tc>
          <w:tcPr>
            <w:tcW w:w="4712" w:type="dxa"/>
            <w:tcBorders>
              <w:top w:val="nil"/>
              <w:left w:val="nil"/>
              <w:bottom w:val="single" w:sz="4" w:space="0" w:color="auto"/>
              <w:right w:val="nil"/>
            </w:tcBorders>
          </w:tcPr>
          <w:p w14:paraId="0C6851B0"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9128AD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7764C23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6F7B20E6"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1AA19DA" w14:textId="77777777" w:rsidR="00BA7AD7" w:rsidRPr="00BA7AD7" w:rsidRDefault="00BA7AD7" w:rsidP="00BA7AD7">
            <w:pPr>
              <w:rPr>
                <w:rFonts w:ascii="Times New Roman" w:hAnsi="Times New Roman" w:cs="Times New Roman"/>
                <w:sz w:val="28"/>
                <w:szCs w:val="28"/>
                <w:lang w:val="ru-RU"/>
              </w:rPr>
            </w:pPr>
          </w:p>
        </w:tc>
      </w:tr>
      <w:tr w:rsidR="00BA7AD7" w:rsidRPr="00BA7AD7" w14:paraId="7E04A851" w14:textId="77777777">
        <w:trPr>
          <w:trHeight w:val="190"/>
        </w:trPr>
        <w:tc>
          <w:tcPr>
            <w:tcW w:w="4712" w:type="dxa"/>
            <w:tcBorders>
              <w:top w:val="single" w:sz="4" w:space="0" w:color="auto"/>
              <w:left w:val="nil"/>
              <w:bottom w:val="nil"/>
              <w:right w:val="nil"/>
            </w:tcBorders>
            <w:hideMark/>
          </w:tcPr>
          <w:p w14:paraId="2B5FE30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89471F6"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11E4A09E"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AF2945C"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1732416D"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9846182" w14:textId="77777777" w:rsidR="00BA7AD7" w:rsidRPr="00BA7AD7" w:rsidRDefault="00BA7AD7" w:rsidP="00BA7AD7">
      <w:pPr>
        <w:rPr>
          <w:rFonts w:ascii="Times New Roman" w:hAnsi="Times New Roman" w:cs="Times New Roman"/>
          <w:b/>
          <w:sz w:val="28"/>
          <w:szCs w:val="28"/>
          <w:lang w:val="ru-RU"/>
        </w:rPr>
      </w:pPr>
    </w:p>
    <w:p w14:paraId="169DB80F"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(внешний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1857FCA" w14:textId="77777777">
        <w:trPr>
          <w:trHeight w:val="153"/>
        </w:trPr>
        <w:tc>
          <w:tcPr>
            <w:tcW w:w="9246" w:type="dxa"/>
            <w:gridSpan w:val="5"/>
            <w:tcBorders>
              <w:top w:val="nil"/>
              <w:left w:val="nil"/>
              <w:bottom w:val="nil"/>
              <w:right w:val="nil"/>
            </w:tcBorders>
            <w:hideMark/>
          </w:tcPr>
          <w:p w14:paraId="3BAAC648"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7FE7EDA7" w14:textId="77777777" w:rsidTr="00F34C03">
        <w:trPr>
          <w:trHeight w:val="567"/>
        </w:trPr>
        <w:tc>
          <w:tcPr>
            <w:tcW w:w="9246" w:type="dxa"/>
            <w:gridSpan w:val="5"/>
            <w:tcBorders>
              <w:top w:val="nil"/>
              <w:left w:val="nil"/>
              <w:bottom w:val="nil"/>
              <w:right w:val="nil"/>
            </w:tcBorders>
          </w:tcPr>
          <w:p w14:paraId="198434BD" w14:textId="77777777" w:rsidR="00BA7AD7" w:rsidRPr="00BA7AD7" w:rsidRDefault="00BA7AD7" w:rsidP="00BA7AD7">
            <w:pPr>
              <w:rPr>
                <w:rFonts w:ascii="Times New Roman" w:hAnsi="Times New Roman" w:cs="Times New Roman"/>
                <w:sz w:val="28"/>
                <w:szCs w:val="28"/>
                <w:lang w:val="ru-RU"/>
              </w:rPr>
            </w:pPr>
          </w:p>
        </w:tc>
      </w:tr>
      <w:tr w:rsidR="00BA7AD7" w:rsidRPr="00BA7AD7" w14:paraId="42A0C47F" w14:textId="77777777">
        <w:trPr>
          <w:trHeight w:val="82"/>
        </w:trPr>
        <w:tc>
          <w:tcPr>
            <w:tcW w:w="4712" w:type="dxa"/>
            <w:tcBorders>
              <w:top w:val="nil"/>
              <w:left w:val="nil"/>
              <w:bottom w:val="single" w:sz="4" w:space="0" w:color="auto"/>
              <w:right w:val="nil"/>
            </w:tcBorders>
          </w:tcPr>
          <w:p w14:paraId="7F952C4E"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8D1AA4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E7EBFC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F8F5E61"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5A246E1A" w14:textId="77777777" w:rsidR="00BA7AD7" w:rsidRPr="00BA7AD7" w:rsidRDefault="00BA7AD7" w:rsidP="00BA7AD7">
            <w:pPr>
              <w:rPr>
                <w:rFonts w:ascii="Times New Roman" w:hAnsi="Times New Roman" w:cs="Times New Roman"/>
                <w:sz w:val="28"/>
                <w:szCs w:val="28"/>
                <w:lang w:val="ru-RU"/>
              </w:rPr>
            </w:pPr>
          </w:p>
        </w:tc>
      </w:tr>
      <w:tr w:rsidR="00BA7AD7" w:rsidRPr="00BA7AD7" w14:paraId="2377D59F" w14:textId="77777777">
        <w:trPr>
          <w:trHeight w:val="190"/>
        </w:trPr>
        <w:tc>
          <w:tcPr>
            <w:tcW w:w="4712" w:type="dxa"/>
            <w:tcBorders>
              <w:top w:val="single" w:sz="4" w:space="0" w:color="auto"/>
              <w:left w:val="nil"/>
              <w:bottom w:val="nil"/>
              <w:right w:val="nil"/>
            </w:tcBorders>
            <w:hideMark/>
          </w:tcPr>
          <w:p w14:paraId="2C9F08F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6C26BFFE"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25A0673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15A37648"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AFD5377"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474B02FD"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Look w:val="04A0" w:firstRow="1" w:lastRow="0" w:firstColumn="1" w:lastColumn="0" w:noHBand="0" w:noVBand="1"/>
      </w:tblPr>
      <w:tblGrid>
        <w:gridCol w:w="7495"/>
        <w:gridCol w:w="281"/>
        <w:gridCol w:w="1476"/>
      </w:tblGrid>
      <w:tr w:rsidR="00BA7AD7" w:rsidRPr="00BA7AD7" w14:paraId="1458CA3C" w14:textId="77777777">
        <w:trPr>
          <w:trHeight w:val="153"/>
        </w:trPr>
        <w:tc>
          <w:tcPr>
            <w:tcW w:w="7689" w:type="dxa"/>
            <w:hideMark/>
          </w:tcPr>
          <w:p w14:paraId="23BE6FAA"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Дата выдачи задания:</w:t>
            </w:r>
          </w:p>
        </w:tc>
        <w:tc>
          <w:tcPr>
            <w:tcW w:w="283" w:type="dxa"/>
          </w:tcPr>
          <w:p w14:paraId="5BCE98BC" w14:textId="77777777" w:rsidR="00BA7AD7" w:rsidRPr="00BA7AD7" w:rsidRDefault="00BA7AD7" w:rsidP="00BA7AD7">
            <w:pPr>
              <w:rPr>
                <w:rFonts w:ascii="Times New Roman" w:hAnsi="Times New Roman" w:cs="Times New Roman"/>
                <w:b/>
                <w:sz w:val="28"/>
                <w:szCs w:val="28"/>
                <w:lang w:val="ru-RU"/>
              </w:rPr>
            </w:pPr>
          </w:p>
        </w:tc>
        <w:tc>
          <w:tcPr>
            <w:tcW w:w="1274" w:type="dxa"/>
            <w:tcBorders>
              <w:top w:val="nil"/>
              <w:left w:val="nil"/>
              <w:bottom w:val="single" w:sz="4" w:space="0" w:color="auto"/>
              <w:right w:val="nil"/>
            </w:tcBorders>
            <w:hideMark/>
          </w:tcPr>
          <w:p w14:paraId="1FC6452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r>
      <w:tr w:rsidR="00BA7AD7" w:rsidRPr="00BA7AD7" w14:paraId="11DBC09E" w14:textId="77777777">
        <w:trPr>
          <w:trHeight w:val="153"/>
        </w:trPr>
        <w:tc>
          <w:tcPr>
            <w:tcW w:w="7689" w:type="dxa"/>
          </w:tcPr>
          <w:p w14:paraId="2D530F14" w14:textId="77777777" w:rsidR="00BA7AD7" w:rsidRPr="00BA7AD7" w:rsidRDefault="00BA7AD7" w:rsidP="00BA7AD7">
            <w:pPr>
              <w:rPr>
                <w:rFonts w:ascii="Times New Roman" w:hAnsi="Times New Roman" w:cs="Times New Roman"/>
                <w:b/>
                <w:sz w:val="28"/>
                <w:szCs w:val="28"/>
                <w:lang w:val="ru-RU"/>
              </w:rPr>
            </w:pPr>
          </w:p>
        </w:tc>
        <w:tc>
          <w:tcPr>
            <w:tcW w:w="283" w:type="dxa"/>
          </w:tcPr>
          <w:p w14:paraId="66763D57" w14:textId="77777777" w:rsidR="00BA7AD7" w:rsidRPr="00BA7AD7" w:rsidRDefault="00BA7AD7" w:rsidP="00BA7AD7">
            <w:pPr>
              <w:rPr>
                <w:rFonts w:ascii="Times New Roman" w:hAnsi="Times New Roman" w:cs="Times New Roman"/>
                <w:b/>
                <w:sz w:val="28"/>
                <w:szCs w:val="28"/>
                <w:lang w:val="ru-RU"/>
              </w:rPr>
            </w:pPr>
          </w:p>
        </w:tc>
        <w:tc>
          <w:tcPr>
            <w:tcW w:w="1274" w:type="dxa"/>
            <w:tcBorders>
              <w:top w:val="single" w:sz="4" w:space="0" w:color="auto"/>
              <w:left w:val="nil"/>
              <w:bottom w:val="nil"/>
              <w:right w:val="nil"/>
            </w:tcBorders>
            <w:hideMark/>
          </w:tcPr>
          <w:p w14:paraId="611C32F5"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дата</w:t>
            </w:r>
          </w:p>
        </w:tc>
      </w:tr>
    </w:tbl>
    <w:p w14:paraId="3679182F"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76CC16E" w14:textId="77777777">
        <w:trPr>
          <w:trHeight w:val="153"/>
        </w:trPr>
        <w:tc>
          <w:tcPr>
            <w:tcW w:w="9246" w:type="dxa"/>
            <w:gridSpan w:val="5"/>
            <w:tcBorders>
              <w:top w:val="nil"/>
              <w:left w:val="nil"/>
              <w:bottom w:val="nil"/>
              <w:right w:val="nil"/>
            </w:tcBorders>
            <w:hideMark/>
          </w:tcPr>
          <w:p w14:paraId="5EA1920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r>
      <w:tr w:rsidR="00BA7AD7" w:rsidRPr="00BA7AD7" w14:paraId="67BD50C0" w14:textId="77777777">
        <w:trPr>
          <w:trHeight w:val="82"/>
        </w:trPr>
        <w:tc>
          <w:tcPr>
            <w:tcW w:w="4712" w:type="dxa"/>
            <w:tcBorders>
              <w:top w:val="nil"/>
              <w:left w:val="nil"/>
              <w:bottom w:val="single" w:sz="4" w:space="0" w:color="auto"/>
              <w:right w:val="nil"/>
            </w:tcBorders>
            <w:hideMark/>
          </w:tcPr>
          <w:p w14:paraId="22458875" w14:textId="49E1E2CB" w:rsidR="00BA7AD7" w:rsidRPr="00BA7AD7" w:rsidRDefault="00306918" w:rsidP="00BA7AD7">
            <w:pPr>
              <w:rPr>
                <w:rFonts w:ascii="Times New Roman" w:hAnsi="Times New Roman" w:cs="Times New Roman"/>
                <w:sz w:val="28"/>
                <w:szCs w:val="28"/>
                <w:lang w:val="ru-RU"/>
              </w:rPr>
            </w:pPr>
            <w:r>
              <w:rPr>
                <w:rFonts w:ascii="Times New Roman" w:hAnsi="Times New Roman" w:cs="Times New Roman"/>
                <w:sz w:val="28"/>
                <w:szCs w:val="28"/>
                <w:lang w:val="ru-RU"/>
              </w:rPr>
              <w:t>Колпаков Александр Павлович</w:t>
            </w:r>
          </w:p>
        </w:tc>
        <w:tc>
          <w:tcPr>
            <w:tcW w:w="306" w:type="dxa"/>
            <w:tcBorders>
              <w:top w:val="nil"/>
              <w:left w:val="nil"/>
              <w:bottom w:val="nil"/>
              <w:right w:val="nil"/>
            </w:tcBorders>
          </w:tcPr>
          <w:p w14:paraId="6090AEC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298D933C"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7562C3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7FEAA4B3" w14:textId="77777777" w:rsidR="00BA7AD7" w:rsidRPr="00BA7AD7" w:rsidRDefault="00BA7AD7" w:rsidP="00BA7AD7">
            <w:pPr>
              <w:rPr>
                <w:rFonts w:ascii="Times New Roman" w:hAnsi="Times New Roman" w:cs="Times New Roman"/>
                <w:sz w:val="28"/>
                <w:szCs w:val="28"/>
                <w:lang w:val="ru-RU"/>
              </w:rPr>
            </w:pPr>
          </w:p>
        </w:tc>
      </w:tr>
      <w:tr w:rsidR="00BA7AD7" w:rsidRPr="00BA7AD7" w14:paraId="62EE2193" w14:textId="77777777">
        <w:trPr>
          <w:trHeight w:val="190"/>
        </w:trPr>
        <w:tc>
          <w:tcPr>
            <w:tcW w:w="4712" w:type="dxa"/>
            <w:tcBorders>
              <w:top w:val="single" w:sz="4" w:space="0" w:color="auto"/>
              <w:left w:val="nil"/>
              <w:bottom w:val="nil"/>
              <w:right w:val="nil"/>
            </w:tcBorders>
            <w:hideMark/>
          </w:tcPr>
          <w:p w14:paraId="64CFBAF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044F1DF"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FFFC4D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22E405E"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53684A1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48AF578"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5C770BA8" w14:textId="77777777">
        <w:trPr>
          <w:trHeight w:val="153"/>
        </w:trPr>
        <w:tc>
          <w:tcPr>
            <w:tcW w:w="9246" w:type="dxa"/>
            <w:gridSpan w:val="5"/>
            <w:tcBorders>
              <w:top w:val="nil"/>
              <w:left w:val="nil"/>
              <w:bottom w:val="nil"/>
              <w:right w:val="nil"/>
            </w:tcBorders>
            <w:hideMark/>
          </w:tcPr>
          <w:p w14:paraId="41F7DA1B"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r>
      <w:tr w:rsidR="00BA7AD7" w:rsidRPr="00BA7AD7" w14:paraId="1AF11EBF" w14:textId="77777777">
        <w:trPr>
          <w:trHeight w:val="82"/>
        </w:trPr>
        <w:tc>
          <w:tcPr>
            <w:tcW w:w="4712" w:type="dxa"/>
            <w:tcBorders>
              <w:top w:val="nil"/>
              <w:left w:val="nil"/>
              <w:bottom w:val="single" w:sz="4" w:space="0" w:color="auto"/>
              <w:right w:val="nil"/>
            </w:tcBorders>
            <w:hideMark/>
          </w:tcPr>
          <w:p w14:paraId="5E0721A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Ларина Ирина Евгеньевна</w:t>
            </w:r>
          </w:p>
        </w:tc>
        <w:tc>
          <w:tcPr>
            <w:tcW w:w="306" w:type="dxa"/>
            <w:tcBorders>
              <w:top w:val="nil"/>
              <w:left w:val="nil"/>
              <w:bottom w:val="nil"/>
              <w:right w:val="nil"/>
            </w:tcBorders>
          </w:tcPr>
          <w:p w14:paraId="52A37DB4"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651A4166"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B4BCC2F"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5E4F0A7" w14:textId="77777777" w:rsidR="00BA7AD7" w:rsidRPr="00BA7AD7" w:rsidRDefault="00BA7AD7" w:rsidP="00BA7AD7">
            <w:pPr>
              <w:rPr>
                <w:rFonts w:ascii="Times New Roman" w:hAnsi="Times New Roman" w:cs="Times New Roman"/>
                <w:sz w:val="28"/>
                <w:szCs w:val="28"/>
                <w:lang w:val="ru-RU"/>
              </w:rPr>
            </w:pPr>
          </w:p>
        </w:tc>
      </w:tr>
      <w:tr w:rsidR="00BA7AD7" w:rsidRPr="00BA7AD7" w14:paraId="2FB7E24A" w14:textId="77777777">
        <w:trPr>
          <w:trHeight w:val="190"/>
        </w:trPr>
        <w:tc>
          <w:tcPr>
            <w:tcW w:w="4712" w:type="dxa"/>
            <w:tcBorders>
              <w:top w:val="single" w:sz="4" w:space="0" w:color="auto"/>
              <w:left w:val="nil"/>
              <w:bottom w:val="nil"/>
              <w:right w:val="nil"/>
            </w:tcBorders>
            <w:hideMark/>
          </w:tcPr>
          <w:p w14:paraId="2F35445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298B142C"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5791A4A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966EEF2"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4CE95D9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3C70FD76" w14:textId="77777777" w:rsidR="00BA7AD7" w:rsidRPr="00BA7AD7" w:rsidRDefault="00BA7AD7" w:rsidP="00BA7AD7">
      <w:pPr>
        <w:rPr>
          <w:rFonts w:ascii="Times New Roman" w:hAnsi="Times New Roman" w:cs="Times New Roman"/>
          <w:b/>
          <w:sz w:val="28"/>
          <w:szCs w:val="28"/>
          <w:lang w:val="ru-RU"/>
        </w:rPr>
      </w:pPr>
    </w:p>
    <w:p w14:paraId="55B863C5"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i/>
          <w:sz w:val="28"/>
          <w:szCs w:val="28"/>
          <w:lang w:val="ru-RU"/>
        </w:rPr>
        <w:t>Примечания:</w:t>
      </w:r>
    </w:p>
    <w:p w14:paraId="1DD8567C" w14:textId="77777777" w:rsidR="00BA7AD7" w:rsidRPr="00F34C03" w:rsidRDefault="00BA7AD7" w:rsidP="00BA7AD7">
      <w:pPr>
        <w:numPr>
          <w:ilvl w:val="0"/>
          <w:numId w:val="28"/>
        </w:numPr>
        <w:rPr>
          <w:rFonts w:ascii="Times New Roman" w:hAnsi="Times New Roman" w:cs="Times New Roman"/>
          <w:sz w:val="20"/>
          <w:szCs w:val="20"/>
          <w:lang w:val="ru-RU"/>
        </w:rPr>
      </w:pPr>
      <w:r w:rsidRPr="00F34C03">
        <w:rPr>
          <w:rFonts w:ascii="Times New Roman" w:hAnsi="Times New Roman" w:cs="Times New Roman"/>
          <w:sz w:val="20"/>
          <w:szCs w:val="20"/>
          <w:lang w:val="ru-RU"/>
        </w:rPr>
        <w:lastRenderedPageBreak/>
        <w:t>Задание брошюруется вместе с выпускной работой после титульного листа (страницы задания имеют номера 2, 3, 4, 5).</w:t>
      </w:r>
    </w:p>
    <w:p w14:paraId="0F7A8554" w14:textId="3D1A9214" w:rsidR="00BA7AD7" w:rsidRPr="00EB1E9C" w:rsidRDefault="00BA7AD7" w:rsidP="00BA7AD7">
      <w:pPr>
        <w:numPr>
          <w:ilvl w:val="0"/>
          <w:numId w:val="28"/>
        </w:numPr>
        <w:rPr>
          <w:rFonts w:ascii="Times New Roman" w:hAnsi="Times New Roman" w:cs="Times New Roman"/>
          <w:color w:val="FF0000"/>
          <w:sz w:val="20"/>
          <w:szCs w:val="20"/>
          <w:lang w:val="ru-RU"/>
        </w:rPr>
      </w:pPr>
      <w:r w:rsidRPr="00EB1E9C">
        <w:rPr>
          <w:rFonts w:ascii="Times New Roman" w:hAnsi="Times New Roman" w:cs="Times New Roman"/>
          <w:color w:val="FF0000"/>
          <w:sz w:val="20"/>
          <w:szCs w:val="20"/>
          <w:lang w:val="ru-RU"/>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r w:rsidR="00EB1E9C">
        <w:rPr>
          <w:rFonts w:ascii="Times New Roman" w:hAnsi="Times New Roman" w:cs="Times New Roman"/>
          <w:color w:val="FF0000"/>
          <w:sz w:val="20"/>
          <w:szCs w:val="20"/>
          <w:lang w:val="ru-RU"/>
        </w:rPr>
        <w:t xml:space="preserve">   </w:t>
      </w:r>
    </w:p>
    <w:p w14:paraId="0A000001" w14:textId="35E7490B" w:rsidR="00343600" w:rsidRPr="00EB1E9C" w:rsidRDefault="00EB1E9C" w:rsidP="00F34C03">
      <w:pPr>
        <w:jc w:val="center"/>
        <w:rPr>
          <w:rFonts w:ascii="Times New Roman" w:hAnsi="Times New Roman" w:cs="Times New Roman"/>
          <w:b/>
          <w:bCs/>
          <w:color w:val="FF0000"/>
          <w:sz w:val="28"/>
          <w:szCs w:val="28"/>
          <w:lang w:val="ru-RU"/>
        </w:rPr>
      </w:pPr>
      <w:sdt>
        <w:sdtPr>
          <w:rPr>
            <w:rFonts w:ascii="Times New Roman" w:hAnsi="Times New Roman" w:cs="Times New Roman"/>
            <w:color w:val="FF0000"/>
            <w:sz w:val="28"/>
            <w:szCs w:val="28"/>
            <w:lang w:val="ru-RU"/>
          </w:rPr>
          <w:id w:val="-174271183"/>
          <w:showingPlcHdr/>
          <w:docPartObj>
            <w:docPartGallery w:val="Table of Contents"/>
            <w:docPartUnique/>
          </w:docPartObj>
        </w:sdtPr>
        <w:sdtContent>
          <w:r w:rsidR="00BA7AD7" w:rsidRPr="00EB1E9C">
            <w:rPr>
              <w:rFonts w:ascii="Times New Roman" w:hAnsi="Times New Roman" w:cs="Times New Roman"/>
              <w:color w:val="FF0000"/>
              <w:sz w:val="28"/>
              <w:szCs w:val="28"/>
              <w:lang w:val="ru-RU"/>
            </w:rPr>
            <w:t xml:space="preserve">     </w:t>
          </w:r>
        </w:sdtContent>
      </w:sdt>
      <w:r w:rsidR="004D2295" w:rsidRPr="00EB1E9C">
        <w:rPr>
          <w:rFonts w:ascii="Times New Roman" w:hAnsi="Times New Roman" w:cs="Times New Roman"/>
          <w:b/>
          <w:bCs/>
          <w:color w:val="FF0000"/>
          <w:sz w:val="28"/>
          <w:szCs w:val="28"/>
          <w:lang w:val="ru-RU"/>
        </w:rPr>
        <w:t>АННОТАЦИЯ</w:t>
      </w:r>
    </w:p>
    <w:p w14:paraId="3CE11B76" w14:textId="42A74DB6" w:rsidR="004D2295" w:rsidRPr="00EB1E9C" w:rsidRDefault="004D2295" w:rsidP="004D2295">
      <w:pPr>
        <w:spacing w:line="360" w:lineRule="auto"/>
        <w:ind w:firstLine="709"/>
        <w:jc w:val="both"/>
        <w:rPr>
          <w:rFonts w:ascii="Times New Roman" w:hAnsi="Times New Roman" w:cs="Times New Roman"/>
          <w:color w:val="FF0000"/>
          <w:sz w:val="28"/>
          <w:szCs w:val="28"/>
          <w:lang w:val="ru-RU"/>
        </w:rPr>
      </w:pPr>
      <w:r w:rsidRPr="00EB1E9C">
        <w:rPr>
          <w:rFonts w:ascii="Times New Roman" w:hAnsi="Times New Roman" w:cs="Times New Roman"/>
          <w:color w:val="FF0000"/>
          <w:sz w:val="28"/>
          <w:szCs w:val="28"/>
          <w:lang w:val="ru-RU"/>
        </w:rPr>
        <w:t>Выпускная квалификационная работа посвящена оценке состава инвестиционного портфеля ОПИФ РФИ «ВИМ‒Металлургия» и разработке рекомендаций по его оптимизации. Актуальность темы обусловлена макроэкономической нестабильностью, высокой цикличностью сырьевых рынков и санкционными ограничениями, влияющими на деятельность металлургического сектора.</w:t>
      </w:r>
    </w:p>
    <w:p w14:paraId="1EAB2D15" w14:textId="34FF5687" w:rsidR="004D2295" w:rsidRPr="00EB1E9C" w:rsidRDefault="004D2295" w:rsidP="004D2295">
      <w:pPr>
        <w:spacing w:line="360" w:lineRule="auto"/>
        <w:ind w:firstLine="709"/>
        <w:jc w:val="both"/>
        <w:rPr>
          <w:rFonts w:ascii="Times New Roman" w:hAnsi="Times New Roman" w:cs="Times New Roman"/>
          <w:color w:val="FF0000"/>
          <w:sz w:val="28"/>
          <w:szCs w:val="28"/>
          <w:lang w:val="ru-RU"/>
        </w:rPr>
      </w:pPr>
      <w:r w:rsidRPr="00EB1E9C">
        <w:rPr>
          <w:rFonts w:ascii="Times New Roman" w:hAnsi="Times New Roman" w:cs="Times New Roman"/>
          <w:color w:val="FF0000"/>
          <w:sz w:val="28"/>
          <w:szCs w:val="28"/>
          <w:lang w:val="ru-RU"/>
        </w:rPr>
        <w:t>Работа состоит из введения, трёх глав и заключения. В первой главе систематизированы теоретические аспекты формирования инвестиционного портфеля, раскрыты принципы портфельной теории (Марковиц, Шарп), методики оценки качества портфеля и правовое регулирование паевых фондов в Российской Федерации. Во второй главе проведён комплексный анализ структуры инвестиционного портфеля ОПИФ РФИ «ВИМ‒Металлургия»: дана характеристика крупнейших объектов инвестирования (ПАО «Северсталь», ПАО «ММК», ПАО «НЛМК», ПАО «Челябинский цинковый завод»), рассчитаны основные коэффициенты ликвидности, финансовой устойчивости и рентабельности эмитентов, а также портфельные метрики качества (коэффициенты Шарпа, Сортино, Трейнора, альфа Дженсена, VaR). Третья глава содержит обоснованные рекомендации по оптимизации структуры портфеля с учётом ESG-критериев, обоснование эффективности предложенных решений.</w:t>
      </w:r>
    </w:p>
    <w:p w14:paraId="56BB4D06" w14:textId="4FF2E9C7" w:rsidR="004D2295" w:rsidRPr="00EB1E9C" w:rsidRDefault="004D2295" w:rsidP="004D2295">
      <w:pPr>
        <w:spacing w:line="360" w:lineRule="auto"/>
        <w:ind w:firstLine="709"/>
        <w:jc w:val="both"/>
        <w:rPr>
          <w:rFonts w:ascii="Times New Roman" w:hAnsi="Times New Roman" w:cs="Times New Roman"/>
          <w:color w:val="FF0000"/>
          <w:sz w:val="28"/>
          <w:szCs w:val="28"/>
          <w:lang w:val="ru-RU"/>
        </w:rPr>
      </w:pPr>
      <w:r w:rsidRPr="00EB1E9C">
        <w:rPr>
          <w:rFonts w:ascii="Times New Roman" w:hAnsi="Times New Roman" w:cs="Times New Roman"/>
          <w:color w:val="FF0000"/>
          <w:sz w:val="28"/>
          <w:szCs w:val="28"/>
          <w:lang w:val="ru-RU"/>
        </w:rPr>
        <w:t xml:space="preserve">Использованы методы фундаментального и коэффициентного анализа, многофакторная модель Альтмана (Z-score), расчёт VaR, матрица корреляций активов и оптимизация по модели Марковица. Сформулированы практические </w:t>
      </w:r>
      <w:r w:rsidRPr="00EB1E9C">
        <w:rPr>
          <w:rFonts w:ascii="Times New Roman" w:hAnsi="Times New Roman" w:cs="Times New Roman"/>
          <w:color w:val="FF0000"/>
          <w:sz w:val="28"/>
          <w:szCs w:val="28"/>
          <w:lang w:val="ru-RU"/>
        </w:rPr>
        <w:lastRenderedPageBreak/>
        <w:t>рекомендации по повышению качества управления инвестиционным портфелем ОПИФ РФИ «ВИМ‒Металлургия» в условиях санкционных ограничений и волатильности сырьевых рынков.</w:t>
      </w:r>
    </w:p>
    <w:p w14:paraId="0A000005" w14:textId="6A86C9A7" w:rsidR="00343600" w:rsidRPr="00EB1E9C" w:rsidRDefault="004D2295" w:rsidP="004D2295">
      <w:pPr>
        <w:spacing w:line="360" w:lineRule="auto"/>
        <w:ind w:firstLine="709"/>
        <w:jc w:val="both"/>
        <w:rPr>
          <w:rFonts w:ascii="Times New Roman" w:hAnsi="Times New Roman" w:cs="Times New Roman"/>
          <w:color w:val="FF0000"/>
          <w:sz w:val="28"/>
          <w:szCs w:val="28"/>
          <w:lang w:val="en-US"/>
        </w:rPr>
      </w:pPr>
      <w:r w:rsidRPr="00EB1E9C">
        <w:rPr>
          <w:rFonts w:ascii="Times New Roman" w:hAnsi="Times New Roman" w:cs="Times New Roman"/>
          <w:color w:val="FF0000"/>
          <w:sz w:val="28"/>
          <w:szCs w:val="28"/>
          <w:lang w:val="ru-RU"/>
        </w:rPr>
        <w:t>Объём</w:t>
      </w:r>
      <w:r w:rsidRPr="00EB1E9C">
        <w:rPr>
          <w:rFonts w:ascii="Times New Roman" w:hAnsi="Times New Roman" w:cs="Times New Roman"/>
          <w:color w:val="FF0000"/>
          <w:sz w:val="28"/>
          <w:szCs w:val="28"/>
          <w:lang w:val="en-US"/>
        </w:rPr>
        <w:t xml:space="preserve"> </w:t>
      </w:r>
      <w:r w:rsidRPr="00EB1E9C">
        <w:rPr>
          <w:rFonts w:ascii="Times New Roman" w:hAnsi="Times New Roman" w:cs="Times New Roman"/>
          <w:color w:val="FF0000"/>
          <w:sz w:val="28"/>
          <w:szCs w:val="28"/>
          <w:lang w:val="ru-RU"/>
        </w:rPr>
        <w:t>работы</w:t>
      </w:r>
      <w:r w:rsidRPr="00EB1E9C">
        <w:rPr>
          <w:rFonts w:ascii="Times New Roman" w:hAnsi="Times New Roman" w:cs="Times New Roman"/>
          <w:color w:val="FF0000"/>
          <w:sz w:val="28"/>
          <w:szCs w:val="28"/>
          <w:lang w:val="en-US"/>
        </w:rPr>
        <w:t xml:space="preserve"> — 66 </w:t>
      </w:r>
      <w:r w:rsidRPr="00EB1E9C">
        <w:rPr>
          <w:rFonts w:ascii="Times New Roman" w:hAnsi="Times New Roman" w:cs="Times New Roman"/>
          <w:color w:val="FF0000"/>
          <w:sz w:val="28"/>
          <w:szCs w:val="28"/>
          <w:lang w:val="ru-RU"/>
        </w:rPr>
        <w:t>страниц</w:t>
      </w:r>
      <w:r w:rsidRPr="00EB1E9C">
        <w:rPr>
          <w:rFonts w:ascii="Times New Roman" w:hAnsi="Times New Roman" w:cs="Times New Roman"/>
          <w:color w:val="FF0000"/>
          <w:sz w:val="28"/>
          <w:szCs w:val="28"/>
          <w:lang w:val="en-US"/>
        </w:rPr>
        <w:t xml:space="preserve">, 33 </w:t>
      </w:r>
      <w:r w:rsidRPr="00EB1E9C">
        <w:rPr>
          <w:rFonts w:ascii="Times New Roman" w:hAnsi="Times New Roman" w:cs="Times New Roman"/>
          <w:color w:val="FF0000"/>
          <w:sz w:val="28"/>
          <w:szCs w:val="28"/>
          <w:lang w:val="ru-RU"/>
        </w:rPr>
        <w:t>источника</w:t>
      </w:r>
      <w:r w:rsidRPr="00EB1E9C">
        <w:rPr>
          <w:rFonts w:ascii="Times New Roman" w:hAnsi="Times New Roman" w:cs="Times New Roman"/>
          <w:color w:val="FF0000"/>
          <w:sz w:val="28"/>
          <w:szCs w:val="28"/>
          <w:lang w:val="en-US"/>
        </w:rPr>
        <w:t>.</w:t>
      </w:r>
    </w:p>
    <w:p w14:paraId="0A000006" w14:textId="3FE3BD6E" w:rsidR="00343600" w:rsidRPr="00EB1E9C" w:rsidRDefault="004D2295" w:rsidP="004D2295">
      <w:pPr>
        <w:spacing w:line="360" w:lineRule="auto"/>
        <w:ind w:firstLine="709"/>
        <w:jc w:val="center"/>
        <w:rPr>
          <w:rFonts w:ascii="Times New Roman" w:hAnsi="Times New Roman" w:cs="Times New Roman"/>
          <w:b/>
          <w:bCs/>
          <w:color w:val="FF0000"/>
          <w:sz w:val="28"/>
          <w:szCs w:val="28"/>
          <w:lang w:val="en-US"/>
        </w:rPr>
      </w:pPr>
      <w:r w:rsidRPr="00EB1E9C">
        <w:rPr>
          <w:rFonts w:ascii="Times New Roman" w:hAnsi="Times New Roman" w:cs="Times New Roman"/>
          <w:b/>
          <w:bCs/>
          <w:color w:val="FF0000"/>
          <w:sz w:val="28"/>
          <w:szCs w:val="28"/>
          <w:lang w:val="en-US"/>
        </w:rPr>
        <w:t>ABSTRACT</w:t>
      </w:r>
    </w:p>
    <w:p w14:paraId="0A000007" w14:textId="77777777" w:rsidR="00343600" w:rsidRPr="00EB1E9C" w:rsidRDefault="00EB1E9C" w:rsidP="004D2295">
      <w:pPr>
        <w:spacing w:line="360" w:lineRule="auto"/>
        <w:ind w:firstLine="709"/>
        <w:jc w:val="both"/>
        <w:rPr>
          <w:rFonts w:ascii="Times New Roman" w:hAnsi="Times New Roman" w:cs="Times New Roman"/>
          <w:color w:val="FF0000"/>
          <w:sz w:val="28"/>
          <w:szCs w:val="28"/>
          <w:lang w:val="en-US"/>
        </w:rPr>
      </w:pPr>
      <w:r w:rsidRPr="00EB1E9C">
        <w:rPr>
          <w:rFonts w:ascii="Times New Roman" w:hAnsi="Times New Roman" w:cs="Times New Roman"/>
          <w:color w:val="FF0000"/>
          <w:sz w:val="28"/>
          <w:szCs w:val="28"/>
          <w:lang w:val="en-US"/>
        </w:rPr>
        <w:t>This graduation thesis is devoted to the assessment of the investment portfolio composition of the Open-End Mutual Fund OPIF RFI “VIM–Metallurgy” and the development of recommendations for its optimisation. The relevance of the topic is conditioned by macroeconomic instability, the high cyclicality of commodity markets and sanction-related restrictions affecting the Russian metallurgical sector.</w:t>
      </w:r>
    </w:p>
    <w:p w14:paraId="0A000008" w14:textId="77777777" w:rsidR="00343600" w:rsidRPr="00EB1E9C" w:rsidRDefault="00EB1E9C" w:rsidP="004D2295">
      <w:pPr>
        <w:spacing w:line="360" w:lineRule="auto"/>
        <w:ind w:firstLine="709"/>
        <w:jc w:val="both"/>
        <w:rPr>
          <w:rFonts w:ascii="Times New Roman" w:hAnsi="Times New Roman" w:cs="Times New Roman"/>
          <w:color w:val="FF0000"/>
          <w:sz w:val="28"/>
          <w:szCs w:val="28"/>
          <w:lang w:val="en-US"/>
        </w:rPr>
      </w:pPr>
      <w:r w:rsidRPr="00EB1E9C">
        <w:rPr>
          <w:rFonts w:ascii="Times New Roman" w:hAnsi="Times New Roman" w:cs="Times New Roman"/>
          <w:color w:val="FF0000"/>
          <w:sz w:val="28"/>
          <w:szCs w:val="28"/>
          <w:lang w:val="en-US"/>
        </w:rPr>
        <w:t>The thesis comprises an introduction, three chapters, and a conclusion. The first chapter systematises the theoretical foundations of portfolio formation and quality assessment. The second chapter provides a comprehensive analysis of the fund’s portfolio structure, covering the financial condition of major issuers (PJSC Severstal, PJSC MMK, PJSC NLMK, PJSC Chelyabinsk Zinc Plant) and key portfolio quality metrics (Sharpe ratio, Sortino ratio, Treynor ratio, Jensen’s alpha, VaR). The third chapter presents substantiated recommendations for optimising the portfolio structure, including ESG criteria and the Markowitz optimisation model.</w:t>
      </w:r>
    </w:p>
    <w:p w14:paraId="0A000009" w14:textId="77777777" w:rsidR="00343600" w:rsidRPr="00EB1E9C" w:rsidRDefault="00EB1E9C" w:rsidP="004D2295">
      <w:pPr>
        <w:spacing w:line="360" w:lineRule="auto"/>
        <w:ind w:firstLine="709"/>
        <w:jc w:val="both"/>
        <w:rPr>
          <w:rFonts w:ascii="Times New Roman" w:hAnsi="Times New Roman" w:cs="Times New Roman"/>
          <w:color w:val="FF0000"/>
          <w:sz w:val="28"/>
          <w:szCs w:val="28"/>
          <w:lang w:val="en-US"/>
        </w:rPr>
      </w:pPr>
      <w:r w:rsidRPr="00EB1E9C">
        <w:rPr>
          <w:rFonts w:ascii="Times New Roman" w:hAnsi="Times New Roman" w:cs="Times New Roman"/>
          <w:color w:val="FF0000"/>
          <w:sz w:val="28"/>
          <w:szCs w:val="28"/>
          <w:lang w:val="en-US"/>
        </w:rPr>
        <w:t>The study employs fundamental and ratio analysis, the Altman Z-score model, VaR estimation, asset correlation matrix analysis, and Markowitz portfolio optimisation. Practical recommendations are formulated for improving the quality of portfolio management under sanction constraints and commodity market volatility.</w:t>
      </w:r>
    </w:p>
    <w:p w14:paraId="0A000010" w14:textId="77777777" w:rsidR="00343600" w:rsidRPr="00EB1E9C" w:rsidRDefault="00EB1E9C" w:rsidP="004D2295">
      <w:pPr>
        <w:spacing w:line="360" w:lineRule="auto"/>
        <w:ind w:firstLine="709"/>
        <w:jc w:val="both"/>
        <w:rPr>
          <w:rFonts w:ascii="Times New Roman" w:hAnsi="Times New Roman" w:cs="Times New Roman"/>
          <w:color w:val="FF0000"/>
          <w:sz w:val="28"/>
          <w:szCs w:val="28"/>
          <w:lang w:val="en-US"/>
        </w:rPr>
      </w:pPr>
      <w:r w:rsidRPr="00EB1E9C">
        <w:rPr>
          <w:rFonts w:ascii="Times New Roman" w:hAnsi="Times New Roman" w:cs="Times New Roman"/>
          <w:color w:val="FF0000"/>
          <w:sz w:val="28"/>
          <w:szCs w:val="28"/>
          <w:lang w:val="en-US"/>
        </w:rPr>
        <w:t>The work comprises 66 pages, 33 references.</w:t>
      </w:r>
    </w:p>
    <w:p w14:paraId="37528A85" w14:textId="77777777" w:rsidR="00EB1E9C" w:rsidRDefault="00EB1E9C">
      <w:pPr>
        <w:rPr>
          <w:rFonts w:ascii="Times New Roman" w:hAnsi="Times New Roman" w:cs="Times New Roman"/>
          <w:color w:val="FF0000"/>
          <w:sz w:val="28"/>
          <w:szCs w:val="28"/>
          <w:lang w:val="en-US"/>
        </w:rPr>
      </w:pPr>
    </w:p>
    <w:p w14:paraId="7498F099" w14:textId="77777777" w:rsidR="00EB1E9C" w:rsidRDefault="00EB1E9C">
      <w:pPr>
        <w:rPr>
          <w:rFonts w:ascii="Times New Roman" w:hAnsi="Times New Roman" w:cs="Times New Roman"/>
          <w:color w:val="FF0000"/>
          <w:sz w:val="28"/>
          <w:szCs w:val="28"/>
          <w:lang w:val="en-US"/>
        </w:rPr>
      </w:pPr>
    </w:p>
    <w:p w14:paraId="0A000011" w14:textId="095F1B19" w:rsidR="009A2D3C" w:rsidRPr="00EB1E9C" w:rsidRDefault="00EB1E9C">
      <w:pPr>
        <w:rPr>
          <w:rFonts w:ascii="Times New Roman" w:hAnsi="Times New Roman" w:cs="Times New Roman"/>
          <w:color w:val="FF0000"/>
          <w:sz w:val="28"/>
          <w:szCs w:val="28"/>
          <w:lang w:val="ru-RU"/>
        </w:rPr>
      </w:pPr>
      <w:r>
        <w:rPr>
          <w:rFonts w:ascii="Times New Roman" w:hAnsi="Times New Roman" w:cs="Times New Roman"/>
          <w:color w:val="FF0000"/>
          <w:sz w:val="28"/>
          <w:szCs w:val="28"/>
          <w:lang w:val="ru-RU"/>
        </w:rPr>
        <w:t xml:space="preserve">Сокращайте, не так подробно  Аннотация и ее перевод </w:t>
      </w:r>
      <w:r w:rsidRPr="00EB1E9C">
        <w:rPr>
          <w:rFonts w:ascii="Times New Roman" w:hAnsi="Times New Roman" w:cs="Times New Roman"/>
          <w:color w:val="FF0000"/>
          <w:sz w:val="28"/>
          <w:szCs w:val="28"/>
          <w:highlight w:val="yellow"/>
          <w:lang w:val="ru-RU"/>
        </w:rPr>
        <w:t>общим размером 1 стр</w:t>
      </w:r>
      <w:r w:rsidR="009A2D3C" w:rsidRPr="00EB1E9C">
        <w:rPr>
          <w:rFonts w:ascii="Times New Roman" w:hAnsi="Times New Roman" w:cs="Times New Roman"/>
          <w:color w:val="FF0000"/>
          <w:sz w:val="28"/>
          <w:szCs w:val="28"/>
          <w:lang w:val="ru-RU"/>
        </w:rPr>
        <w:br w:type="page"/>
      </w:r>
    </w:p>
    <w:p w14:paraId="23E4C56E" w14:textId="77777777" w:rsidR="00343600" w:rsidRPr="00EB1E9C" w:rsidRDefault="00343600" w:rsidP="00EB1E9C">
      <w:pPr>
        <w:spacing w:line="360" w:lineRule="auto"/>
        <w:rPr>
          <w:rFonts w:ascii="Times New Roman" w:hAnsi="Times New Roman" w:cs="Times New Roman"/>
          <w:sz w:val="28"/>
          <w:szCs w:val="28"/>
          <w:lang w:val="ru-RU"/>
        </w:rPr>
      </w:pPr>
    </w:p>
    <w:sdt>
      <w:sdtPr>
        <w:rPr>
          <w:rFonts w:ascii="Times New Roman" w:eastAsia="Arial" w:hAnsi="Times New Roman" w:cs="Times New Roman"/>
          <w:color w:val="auto"/>
          <w:sz w:val="22"/>
          <w:szCs w:val="22"/>
          <w:lang w:val="en-CA"/>
        </w:rPr>
        <w:id w:val="1404256440"/>
        <w:docPartObj>
          <w:docPartGallery w:val="Table of Contents"/>
          <w:docPartUnique/>
        </w:docPartObj>
      </w:sdtPr>
      <w:sdtEndPr>
        <w:rPr>
          <w:b/>
          <w:bCs/>
        </w:rPr>
      </w:sdtEndPr>
      <w:sdtContent>
        <w:p w14:paraId="5FFD9414" w14:textId="796BF851" w:rsidR="00F834A7" w:rsidRPr="004B6B88" w:rsidRDefault="004D2295" w:rsidP="00C76864">
          <w:pPr>
            <w:pStyle w:val="ab"/>
            <w:spacing w:before="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1E26AFD7" w14:textId="77777777" w:rsidR="00CD1CF2" w:rsidRPr="004B6B88" w:rsidRDefault="00CD1CF2" w:rsidP="00C76864">
          <w:pPr>
            <w:spacing w:line="360" w:lineRule="auto"/>
            <w:jc w:val="both"/>
            <w:rPr>
              <w:rFonts w:ascii="Times New Roman" w:hAnsi="Times New Roman" w:cs="Times New Roman"/>
              <w:sz w:val="28"/>
              <w:szCs w:val="28"/>
              <w:lang w:val="ru-RU"/>
            </w:rPr>
          </w:pPr>
        </w:p>
        <w:p w14:paraId="0FA72C06" w14:textId="63E12A87" w:rsidR="00F34C03" w:rsidRPr="00F34C03"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33526117" w:history="1">
            <w:r w:rsidR="00F34C03" w:rsidRPr="00F34C03">
              <w:rPr>
                <w:rStyle w:val="ac"/>
                <w:rFonts w:ascii="Times New Roman" w:hAnsi="Times New Roman" w:cs="Times New Roman"/>
                <w:noProof/>
                <w:sz w:val="28"/>
                <w:szCs w:val="28"/>
                <w:lang w:val="ru-RU"/>
              </w:rPr>
              <w:t>ВВЕДЕНИЕ</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_Toc233526117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9</w:t>
            </w:r>
            <w:r w:rsidR="00F34C03" w:rsidRPr="00F34C03">
              <w:rPr>
                <w:rFonts w:ascii="Times New Roman" w:hAnsi="Times New Roman" w:cs="Times New Roman"/>
                <w:noProof/>
                <w:webHidden/>
                <w:sz w:val="28"/>
                <w:szCs w:val="28"/>
              </w:rPr>
              <w:fldChar w:fldCharType="end"/>
            </w:r>
          </w:hyperlink>
        </w:p>
        <w:p w14:paraId="1B509163" w14:textId="61C5366C"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18" w:history="1">
            <w:r w:rsidR="00F34C03" w:rsidRPr="00F34C03">
              <w:rPr>
                <w:rStyle w:val="ac"/>
                <w:rFonts w:ascii="Times New Roman" w:hAnsi="Times New Roman" w:cs="Times New Roman"/>
                <w:noProof/>
                <w:sz w:val="28"/>
                <w:szCs w:val="28"/>
                <w:lang w:val="ru-RU"/>
              </w:rPr>
              <w:t>ГЛАВА 1. ТЕОРЕТИЧЕСКИЕ АСПЕКТЫ ФОРМИРОВАНИЯ И ОЦЕНКИ КАЧЕСТВА ИНВЕСТИЦИОННОГО ПОРТФЕЛЯ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_Toc233526118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12</w:t>
            </w:r>
            <w:r w:rsidR="00F34C03" w:rsidRPr="00F34C03">
              <w:rPr>
                <w:rFonts w:ascii="Times New Roman" w:hAnsi="Times New Roman" w:cs="Times New Roman"/>
                <w:noProof/>
                <w:webHidden/>
                <w:sz w:val="28"/>
                <w:szCs w:val="28"/>
              </w:rPr>
              <w:fldChar w:fldCharType="end"/>
            </w:r>
          </w:hyperlink>
        </w:p>
        <w:p w14:paraId="7CE64712" w14:textId="6AB894CC" w:rsidR="00F34C03" w:rsidRPr="00F34C03" w:rsidRDefault="00EB1E9C">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19" w:history="1">
            <w:r w:rsidR="00F34C03" w:rsidRPr="00F34C03">
              <w:rPr>
                <w:rStyle w:val="ac"/>
                <w:rFonts w:ascii="Times New Roman" w:hAnsi="Times New Roman" w:cs="Times New Roman"/>
                <w:noProof/>
                <w:sz w:val="28"/>
                <w:szCs w:val="28"/>
                <w:lang w:val="ru-RU"/>
              </w:rPr>
              <w:t>1.1</w:t>
            </w:r>
            <w:r w:rsidR="00F34C03" w:rsidRPr="00F34C03">
              <w:rPr>
                <w:rFonts w:ascii="Times New Roman" w:eastAsiaTheme="minorEastAsia" w:hAnsi="Times New Roman" w:cs="Times New Roman"/>
                <w:noProof/>
                <w:kern w:val="2"/>
                <w:sz w:val="28"/>
                <w:szCs w:val="28"/>
                <w:lang w:val="ru-RU"/>
                <w14:ligatures w14:val="standardContextual"/>
              </w:rPr>
              <w:tab/>
            </w:r>
            <w:r w:rsidR="00F34C03" w:rsidRPr="00F34C03">
              <w:rPr>
                <w:rStyle w:val="ac"/>
                <w:rFonts w:ascii="Times New Roman" w:hAnsi="Times New Roman" w:cs="Times New Roman"/>
                <w:noProof/>
                <w:sz w:val="28"/>
                <w:szCs w:val="28"/>
                <w:lang w:val="ru-RU"/>
              </w:rPr>
              <w:t>Понятие, экономическая сущность, принципы и методы формирования инвестиционного портфеля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_Toc233526119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12</w:t>
            </w:r>
            <w:r w:rsidR="00F34C03" w:rsidRPr="00F34C03">
              <w:rPr>
                <w:rFonts w:ascii="Times New Roman" w:hAnsi="Times New Roman" w:cs="Times New Roman"/>
                <w:noProof/>
                <w:webHidden/>
                <w:sz w:val="28"/>
                <w:szCs w:val="28"/>
              </w:rPr>
              <w:fldChar w:fldCharType="end"/>
            </w:r>
          </w:hyperlink>
        </w:p>
        <w:p w14:paraId="29418204" w14:textId="6A033830"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0" w:history="1">
            <w:r w:rsidR="00F34C03" w:rsidRPr="00F34C03">
              <w:rPr>
                <w:rStyle w:val="ac"/>
                <w:rFonts w:ascii="Times New Roman" w:hAnsi="Times New Roman" w:cs="Times New Roman"/>
                <w:noProof/>
                <w:sz w:val="28"/>
                <w:szCs w:val="28"/>
                <w:lang w:val="ru-RU"/>
              </w:rPr>
              <w:t>1.2 Методики оценки эффективности и качества инвестиционного портфеля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_Toc233526120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15</w:t>
            </w:r>
            <w:r w:rsidR="00F34C03" w:rsidRPr="00F34C03">
              <w:rPr>
                <w:rFonts w:ascii="Times New Roman" w:hAnsi="Times New Roman" w:cs="Times New Roman"/>
                <w:noProof/>
                <w:webHidden/>
                <w:sz w:val="28"/>
                <w:szCs w:val="28"/>
              </w:rPr>
              <w:fldChar w:fldCharType="end"/>
            </w:r>
          </w:hyperlink>
        </w:p>
        <w:p w14:paraId="51258C53" w14:textId="50592708"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1" w:history="1">
            <w:r w:rsidR="00F34C03" w:rsidRPr="00F34C03">
              <w:rPr>
                <w:rStyle w:val="ac"/>
                <w:rFonts w:ascii="Times New Roman" w:hAnsi="Times New Roman" w:cs="Times New Roman"/>
                <w:noProof/>
                <w:sz w:val="28"/>
                <w:szCs w:val="28"/>
                <w:lang w:val="ru-RU"/>
              </w:rPr>
              <w:t>1.3 ПИФ как рыночный механизм коллективного инвестирования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_Toc233526121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22</w:t>
            </w:r>
            <w:r w:rsidR="00F34C03" w:rsidRPr="00F34C03">
              <w:rPr>
                <w:rFonts w:ascii="Times New Roman" w:hAnsi="Times New Roman" w:cs="Times New Roman"/>
                <w:noProof/>
                <w:webHidden/>
                <w:sz w:val="28"/>
                <w:szCs w:val="28"/>
              </w:rPr>
              <w:fldChar w:fldCharType="end"/>
            </w:r>
          </w:hyperlink>
        </w:p>
        <w:p w14:paraId="288520D3" w14:textId="0893CC82"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2" w:history="1">
            <w:r w:rsidR="00F34C03" w:rsidRPr="00F34C03">
              <w:rPr>
                <w:rStyle w:val="ac"/>
                <w:rFonts w:ascii="Times New Roman" w:hAnsi="Times New Roman" w:cs="Times New Roman"/>
                <w:noProof/>
                <w:sz w:val="28"/>
                <w:szCs w:val="28"/>
                <w:lang w:val="ru-RU"/>
              </w:rPr>
              <w:t>ГЛАВА 2. АНАЛИЗ ИНВЕСТИЦИОННОГО ПОРТФЕЛЯ ОПИФ РФИ «ВИМ-МЕТАЛЛУРГИЯ»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_Toc233526122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26</w:t>
            </w:r>
            <w:r w:rsidR="00F34C03" w:rsidRPr="00F34C03">
              <w:rPr>
                <w:rFonts w:ascii="Times New Roman" w:hAnsi="Times New Roman" w:cs="Times New Roman"/>
                <w:noProof/>
                <w:webHidden/>
                <w:sz w:val="28"/>
                <w:szCs w:val="28"/>
              </w:rPr>
              <w:fldChar w:fldCharType="end"/>
            </w:r>
          </w:hyperlink>
        </w:p>
        <w:p w14:paraId="1648FBDF" w14:textId="490BFBCE"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3" w:history="1">
            <w:r w:rsidR="00F34C03" w:rsidRPr="00F34C03">
              <w:rPr>
                <w:rStyle w:val="ac"/>
                <w:rFonts w:ascii="Times New Roman" w:hAnsi="Times New Roman" w:cs="Times New Roman"/>
                <w:noProof/>
                <w:sz w:val="28"/>
                <w:szCs w:val="28"/>
                <w:lang w:val="ru-RU"/>
              </w:rPr>
              <w:t>2.1. Структура и состав инвестиционного портфеля ОПИФ РФИ «ВИМ-Металлургия»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_Toc233526123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26</w:t>
            </w:r>
            <w:r w:rsidR="00F34C03" w:rsidRPr="00F34C03">
              <w:rPr>
                <w:rFonts w:ascii="Times New Roman" w:hAnsi="Times New Roman" w:cs="Times New Roman"/>
                <w:noProof/>
                <w:webHidden/>
                <w:sz w:val="28"/>
                <w:szCs w:val="28"/>
              </w:rPr>
              <w:fldChar w:fldCharType="end"/>
            </w:r>
          </w:hyperlink>
        </w:p>
        <w:p w14:paraId="08F35CDA" w14:textId="706899FF"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4" w:history="1">
            <w:r w:rsidR="00F34C03" w:rsidRPr="00F34C03">
              <w:rPr>
                <w:rStyle w:val="ac"/>
                <w:rFonts w:ascii="Times New Roman" w:hAnsi="Times New Roman" w:cs="Times New Roman"/>
                <w:noProof/>
                <w:sz w:val="28"/>
                <w:szCs w:val="28"/>
                <w:lang w:val="ru-RU"/>
              </w:rPr>
              <w:t>2.2. Характеристика крупнейших объектов инвестирования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_Toc233526124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29</w:t>
            </w:r>
            <w:r w:rsidR="00F34C03" w:rsidRPr="00F34C03">
              <w:rPr>
                <w:rFonts w:ascii="Times New Roman" w:hAnsi="Times New Roman" w:cs="Times New Roman"/>
                <w:noProof/>
                <w:webHidden/>
                <w:sz w:val="28"/>
                <w:szCs w:val="28"/>
              </w:rPr>
              <w:fldChar w:fldCharType="end"/>
            </w:r>
          </w:hyperlink>
        </w:p>
        <w:p w14:paraId="7B3DCB91" w14:textId="39764221"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5" w:history="1">
            <w:r w:rsidR="00F34C03" w:rsidRPr="00F34C03">
              <w:rPr>
                <w:rStyle w:val="ac"/>
                <w:rFonts w:ascii="Times New Roman" w:hAnsi="Times New Roman" w:cs="Times New Roman"/>
                <w:noProof/>
                <w:sz w:val="28"/>
                <w:szCs w:val="28"/>
                <w:lang w:val="ru-RU"/>
              </w:rPr>
              <w:t>2.3. Анализ показателей качества инвестиционного портфеля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_Toc233526125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40</w:t>
            </w:r>
            <w:r w:rsidR="00F34C03" w:rsidRPr="00F34C03">
              <w:rPr>
                <w:rFonts w:ascii="Times New Roman" w:hAnsi="Times New Roman" w:cs="Times New Roman"/>
                <w:noProof/>
                <w:webHidden/>
                <w:sz w:val="28"/>
                <w:szCs w:val="28"/>
              </w:rPr>
              <w:fldChar w:fldCharType="end"/>
            </w:r>
          </w:hyperlink>
        </w:p>
        <w:p w14:paraId="0CB7789C" w14:textId="3CF7C31B"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6" w:history="1">
            <w:r w:rsidR="00F34C03" w:rsidRPr="00F34C03">
              <w:rPr>
                <w:rStyle w:val="ac"/>
                <w:rFonts w:ascii="Times New Roman" w:hAnsi="Times New Roman" w:cs="Times New Roman"/>
                <w:noProof/>
                <w:sz w:val="28"/>
                <w:szCs w:val="28"/>
                <w:lang w:val="ru-RU"/>
              </w:rPr>
              <w:t>ГЛАВА 3. РАЗРАБОТКА РЕКОМЕНДАЦИЙ ПО ПОВЫШЕНИЮ КАЧЕСТВА ИНВЕСТИЦИОННОГО ПОРТФЕЛЯ ОПИФ РФИ «ВИМ-МЕТАЛЛУРГИЯ»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_Toc233526126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48</w:t>
            </w:r>
            <w:r w:rsidR="00F34C03" w:rsidRPr="00F34C03">
              <w:rPr>
                <w:rFonts w:ascii="Times New Roman" w:hAnsi="Times New Roman" w:cs="Times New Roman"/>
                <w:noProof/>
                <w:webHidden/>
                <w:sz w:val="28"/>
                <w:szCs w:val="28"/>
              </w:rPr>
              <w:fldChar w:fldCharType="end"/>
            </w:r>
          </w:hyperlink>
        </w:p>
        <w:p w14:paraId="759AA0C1" w14:textId="37674DC1"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7" w:history="1">
            <w:r w:rsidR="00F34C03" w:rsidRPr="00F34C03">
              <w:rPr>
                <w:rStyle w:val="ac"/>
                <w:rFonts w:ascii="Times New Roman" w:hAnsi="Times New Roman" w:cs="Times New Roman"/>
                <w:noProof/>
                <w:sz w:val="28"/>
                <w:szCs w:val="28"/>
                <w:lang w:val="ru-RU"/>
              </w:rPr>
              <w:t>3.1. Рекомендации по повышению качества портфеля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_Toc233526127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48</w:t>
            </w:r>
            <w:r w:rsidR="00F34C03" w:rsidRPr="00F34C03">
              <w:rPr>
                <w:rFonts w:ascii="Times New Roman" w:hAnsi="Times New Roman" w:cs="Times New Roman"/>
                <w:noProof/>
                <w:webHidden/>
                <w:sz w:val="28"/>
                <w:szCs w:val="28"/>
              </w:rPr>
              <w:fldChar w:fldCharType="end"/>
            </w:r>
          </w:hyperlink>
        </w:p>
        <w:p w14:paraId="48161322" w14:textId="641A621A" w:rsidR="00F34C03" w:rsidRPr="00F34C03" w:rsidRDefault="00EB1E9C">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8" w:history="1">
            <w:r w:rsidR="00F34C03" w:rsidRPr="00F34C03">
              <w:rPr>
                <w:rStyle w:val="ac"/>
                <w:rFonts w:ascii="Times New Roman" w:hAnsi="Times New Roman" w:cs="Times New Roman"/>
                <w:noProof/>
                <w:sz w:val="28"/>
                <w:szCs w:val="28"/>
                <w:lang w:val="ru-RU"/>
              </w:rPr>
              <w:t>3.2. Обоснование эффективности предложенных решений</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_Toc233526128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52</w:t>
            </w:r>
            <w:r w:rsidR="00F34C03" w:rsidRPr="00F34C03">
              <w:rPr>
                <w:rFonts w:ascii="Times New Roman" w:hAnsi="Times New Roman" w:cs="Times New Roman"/>
                <w:noProof/>
                <w:webHidden/>
                <w:sz w:val="28"/>
                <w:szCs w:val="28"/>
              </w:rPr>
              <w:fldChar w:fldCharType="end"/>
            </w:r>
          </w:hyperlink>
        </w:p>
        <w:p w14:paraId="11E8E57B" w14:textId="2260A01A"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29" w:history="1">
            <w:r w:rsidR="00F34C03" w:rsidRPr="00F34C03">
              <w:rPr>
                <w:rStyle w:val="ac"/>
                <w:rFonts w:ascii="Times New Roman" w:hAnsi="Times New Roman" w:cs="Times New Roman"/>
                <w:noProof/>
                <w:sz w:val="28"/>
                <w:szCs w:val="28"/>
                <w:lang w:val="ru-RU"/>
              </w:rPr>
              <w:t>ЗАКЛЮЧЕНИЕ</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_Toc233526129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62</w:t>
            </w:r>
            <w:r w:rsidR="00F34C03" w:rsidRPr="00F34C03">
              <w:rPr>
                <w:rFonts w:ascii="Times New Roman" w:hAnsi="Times New Roman" w:cs="Times New Roman"/>
                <w:noProof/>
                <w:webHidden/>
                <w:sz w:val="28"/>
                <w:szCs w:val="28"/>
              </w:rPr>
              <w:fldChar w:fldCharType="end"/>
            </w:r>
          </w:hyperlink>
        </w:p>
        <w:p w14:paraId="2EB86944" w14:textId="1C127868"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30" w:history="1">
            <w:r w:rsidR="00F34C03" w:rsidRPr="00F34C03">
              <w:rPr>
                <w:rStyle w:val="ac"/>
                <w:rFonts w:ascii="Times New Roman" w:hAnsi="Times New Roman" w:cs="Times New Roman"/>
                <w:noProof/>
                <w:sz w:val="28"/>
                <w:szCs w:val="28"/>
                <w:lang w:val="ru-RU"/>
              </w:rPr>
              <w:t>Список использованных источников</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_Toc233526130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65</w:t>
            </w:r>
            <w:r w:rsidR="00F34C03" w:rsidRPr="00F34C03">
              <w:rPr>
                <w:rFonts w:ascii="Times New Roman" w:hAnsi="Times New Roman" w:cs="Times New Roman"/>
                <w:noProof/>
                <w:webHidden/>
                <w:sz w:val="28"/>
                <w:szCs w:val="28"/>
              </w:rPr>
              <w:fldChar w:fldCharType="end"/>
            </w:r>
          </w:hyperlink>
        </w:p>
        <w:p w14:paraId="73AB176A" w14:textId="5F594F78" w:rsidR="00F34C03" w:rsidRPr="00F34C03" w:rsidRDefault="00EB1E9C">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26131" w:history="1">
            <w:r w:rsidR="00F34C03" w:rsidRPr="00F34C03">
              <w:rPr>
                <w:rStyle w:val="ac"/>
                <w:rFonts w:ascii="Times New Roman" w:hAnsi="Times New Roman" w:cs="Times New Roman"/>
                <w:noProof/>
                <w:sz w:val="28"/>
                <w:szCs w:val="28"/>
                <w:lang w:val="ru-RU"/>
              </w:rPr>
              <w:t>ПРИЛОЖЕНИЯ</w:t>
            </w:r>
            <w:r w:rsidR="00F34C03" w:rsidRPr="00F34C03">
              <w:rPr>
                <w:rFonts w:ascii="Times New Roman" w:hAnsi="Times New Roman" w:cs="Times New Roman"/>
                <w:noProof/>
                <w:webHidden/>
                <w:sz w:val="28"/>
                <w:szCs w:val="28"/>
              </w:rPr>
              <w:tab/>
            </w:r>
            <w:r w:rsidR="00F34C03" w:rsidRPr="00F34C03">
              <w:rPr>
                <w:rFonts w:ascii="Times New Roman" w:hAnsi="Times New Roman" w:cs="Times New Roman"/>
                <w:noProof/>
                <w:webHidden/>
                <w:sz w:val="28"/>
                <w:szCs w:val="28"/>
              </w:rPr>
              <w:fldChar w:fldCharType="begin"/>
            </w:r>
            <w:r w:rsidR="00F34C03" w:rsidRPr="00F34C03">
              <w:rPr>
                <w:rFonts w:ascii="Times New Roman" w:hAnsi="Times New Roman" w:cs="Times New Roman"/>
                <w:noProof/>
                <w:webHidden/>
                <w:sz w:val="28"/>
                <w:szCs w:val="28"/>
              </w:rPr>
              <w:instrText xml:space="preserve"> PAGEREF _Toc233526131 \h </w:instrText>
            </w:r>
            <w:r w:rsidR="00F34C03" w:rsidRPr="00F34C03">
              <w:rPr>
                <w:rFonts w:ascii="Times New Roman" w:hAnsi="Times New Roman" w:cs="Times New Roman"/>
                <w:noProof/>
                <w:webHidden/>
                <w:sz w:val="28"/>
                <w:szCs w:val="28"/>
              </w:rPr>
            </w:r>
            <w:r w:rsidR="00F34C03" w:rsidRPr="00F34C03">
              <w:rPr>
                <w:rFonts w:ascii="Times New Roman" w:hAnsi="Times New Roman" w:cs="Times New Roman"/>
                <w:noProof/>
                <w:webHidden/>
                <w:sz w:val="28"/>
                <w:szCs w:val="28"/>
              </w:rPr>
              <w:fldChar w:fldCharType="separate"/>
            </w:r>
            <w:r w:rsidR="00F34C03" w:rsidRPr="00F34C03">
              <w:rPr>
                <w:rFonts w:ascii="Times New Roman" w:hAnsi="Times New Roman" w:cs="Times New Roman"/>
                <w:noProof/>
                <w:webHidden/>
                <w:sz w:val="28"/>
                <w:szCs w:val="28"/>
              </w:rPr>
              <w:t>71</w:t>
            </w:r>
            <w:r w:rsidR="00F34C03" w:rsidRPr="00F34C03">
              <w:rPr>
                <w:rFonts w:ascii="Times New Roman" w:hAnsi="Times New Roman" w:cs="Times New Roman"/>
                <w:noProof/>
                <w:webHidden/>
                <w:sz w:val="28"/>
                <w:szCs w:val="28"/>
              </w:rPr>
              <w:fldChar w:fldCharType="end"/>
            </w:r>
          </w:hyperlink>
        </w:p>
        <w:p w14:paraId="2540B728" w14:textId="05AE22D1" w:rsidR="00F834A7" w:rsidRPr="004B6B88" w:rsidRDefault="00F74D7F" w:rsidP="00C76864">
          <w:pPr>
            <w:spacing w:line="360" w:lineRule="auto"/>
            <w:jc w:val="both"/>
            <w:rPr>
              <w:rFonts w:ascii="Times New Roman" w:hAnsi="Times New Roman" w:cs="Times New Roman"/>
              <w:b/>
              <w:bCs/>
            </w:rPr>
          </w:pPr>
          <w:r>
            <w:rPr>
              <w:rFonts w:ascii="Times New Roman" w:hAnsi="Times New Roman" w:cs="Times New Roman"/>
              <w:b/>
              <w:bCs/>
              <w:sz w:val="28"/>
              <w:szCs w:val="28"/>
            </w:rPr>
            <w:fldChar w:fldCharType="end"/>
          </w:r>
        </w:p>
      </w:sdtContent>
    </w:sdt>
    <w:p w14:paraId="3EBF48BB" w14:textId="77777777" w:rsidR="002C229C" w:rsidRPr="004B6B88" w:rsidRDefault="002C229C" w:rsidP="00653A71">
      <w:pPr>
        <w:pStyle w:val="1"/>
        <w:spacing w:before="0" w:after="0" w:line="360" w:lineRule="auto"/>
        <w:rPr>
          <w:rFonts w:cs="Times New Roman"/>
          <w:bCs/>
          <w:szCs w:val="28"/>
          <w:lang w:val="ru-RU"/>
        </w:rPr>
      </w:pPr>
    </w:p>
    <w:p w14:paraId="4B56078C" w14:textId="77777777" w:rsidR="002C229C" w:rsidRPr="004B6B88" w:rsidRDefault="002C229C" w:rsidP="00653A71">
      <w:pPr>
        <w:pStyle w:val="1"/>
        <w:spacing w:before="0" w:after="0" w:line="360" w:lineRule="auto"/>
        <w:rPr>
          <w:rFonts w:cs="Times New Roman"/>
          <w:bCs/>
          <w:szCs w:val="28"/>
          <w:lang w:val="ru-RU"/>
        </w:rPr>
      </w:pPr>
    </w:p>
    <w:p w14:paraId="3E6C68FD" w14:textId="77777777" w:rsidR="002C229C" w:rsidRPr="004B6B88" w:rsidRDefault="002C229C" w:rsidP="002C229C">
      <w:pPr>
        <w:rPr>
          <w:rFonts w:ascii="Times New Roman" w:hAnsi="Times New Roman" w:cs="Times New Roman"/>
          <w:lang w:val="ru-RU"/>
        </w:rPr>
      </w:pPr>
    </w:p>
    <w:p w14:paraId="600497A9" w14:textId="77777777" w:rsidR="00F834A7" w:rsidRPr="004B6B88" w:rsidRDefault="00F834A7" w:rsidP="004167DF">
      <w:pPr>
        <w:pStyle w:val="1"/>
        <w:spacing w:before="0" w:after="0" w:line="360" w:lineRule="auto"/>
        <w:jc w:val="left"/>
        <w:rPr>
          <w:rFonts w:cs="Times New Roman"/>
          <w:bCs/>
          <w:szCs w:val="28"/>
          <w:lang w:val="ru-RU"/>
        </w:rPr>
        <w:sectPr w:rsidR="00F834A7" w:rsidRPr="004B6B88" w:rsidSect="00306918">
          <w:footerReference w:type="default" r:id="rId9"/>
          <w:pgSz w:w="12240" w:h="15840"/>
          <w:pgMar w:top="1440" w:right="1440" w:bottom="1440" w:left="1440" w:header="720" w:footer="720" w:gutter="0"/>
          <w:pgNumType w:start="1"/>
          <w:cols w:space="720"/>
          <w:titlePg/>
          <w:docGrid w:linePitch="299"/>
        </w:sectPr>
      </w:pPr>
    </w:p>
    <w:p w14:paraId="4152A9F2" w14:textId="77777777" w:rsidR="004962FA" w:rsidRPr="004B6B88" w:rsidRDefault="004962FA" w:rsidP="00823BB7">
      <w:pPr>
        <w:pStyle w:val="1"/>
        <w:rPr>
          <w:rFonts w:cs="Times New Roman"/>
          <w:lang w:val="ru-RU"/>
        </w:rPr>
      </w:pPr>
      <w:bookmarkStart w:id="0" w:name="_Toc233526117"/>
      <w:r>
        <w:rPr>
          <w:rFonts w:cs="Times New Roman"/>
          <w:lang w:val="ru-RU"/>
        </w:rPr>
        <w:lastRenderedPageBreak/>
        <w:t>ВВЕДЕНИЕ</w:t>
      </w:r>
      <w:bookmarkEnd w:id="0"/>
    </w:p>
    <w:p w14:paraId="7AF21645" w14:textId="77777777" w:rsidR="00D5153A" w:rsidRPr="004B6B88" w:rsidRDefault="00D5153A" w:rsidP="00D5153A">
      <w:pPr>
        <w:rPr>
          <w:rFonts w:ascii="Times New Roman" w:hAnsi="Times New Roman" w:cs="Times New Roman"/>
          <w:lang w:val="ru-RU"/>
        </w:rPr>
      </w:pPr>
    </w:p>
    <w:p w14:paraId="1B4E75B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условиях современной макроэкономической нестабильности, геополитической турбулентности и структурной трансформации российской экономики одним из ключевых инструментов сохранения и приумножения капитала выступает коллективное инвестирование через паевые инвестиционные фонды (ПИФы). Металлургический сектор традиционно занимает значимое место в структуре российской промышленности, однако его функционирование сопряжено с высокой капиталоёмкостью, существенной зависимостью от волатильности мировых цен на сырьё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ПИФов, специализирующихся на предприятиях металлургической отрасли.</w:t>
      </w:r>
    </w:p>
    <w:p w14:paraId="2C06CE4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Практика показывает, что классические портфельные коэффициенты, основанные исключительно на ретроспективном соотношении риска и доходности, зачастую оказываются недостаточными при изолированном применении: они отражают историческую волатильность рыночных котировок, однако не способны в полной мере охарактеризовать реальную стоимость объектов инвестирования, их финансовое состояние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с углублённым фундаментальным анализом компаний-эмитентов, включая оценку ликвидности, платёжеспособности, </w:t>
      </w:r>
      <w:r>
        <w:rPr>
          <w:rFonts w:ascii="Times New Roman" w:eastAsia="Times New Roman" w:hAnsi="Times New Roman" w:cs="Times New Roman"/>
          <w:sz w:val="28"/>
          <w:szCs w:val="28"/>
          <w:lang w:val="ru-RU"/>
        </w:rPr>
        <w:lastRenderedPageBreak/>
        <w:t>рентабельности и рисков финансовой несостоятельности. Именно синтез классического портфельного и фундаментального анализа для обоснования путей повышения качества портфеля ПИФа представляет собой актуальную научную и прикладную задачу.</w:t>
      </w:r>
    </w:p>
    <w:p w14:paraId="1C24BA7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исследования — оценить качество инвестиционного портфеля ОПИФ РФИ «ВИМ-Металлургия» и разработать практические рекомендации по его повышению.</w:t>
      </w:r>
    </w:p>
    <w:p w14:paraId="48110E1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Для достижения поставленной цели определены следующие задачи исследования:</w:t>
      </w:r>
    </w:p>
    <w:p w14:paraId="515653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раскрыть теоретические и методологические основы формирования инвестиционного портфеля, а также критерии определения его качества на современном финансовом рынке;</w:t>
      </w:r>
    </w:p>
    <w:p w14:paraId="77BD43F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рассмотреть паевой инвестиционный фонд как инструмент коллективного инвестирования и его правовое регулирование в Российской Федерации;</w:t>
      </w:r>
    </w:p>
    <w:p w14:paraId="32E5023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компаний-эмитентов, входящих в структуру портфеля фонда, на основании отчётности за 2024–2025 годы;</w:t>
      </w:r>
    </w:p>
    <w:p w14:paraId="1692EDB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рассчитать и интерпретировать основные метрики качества и эффективности анализируемого инвестиционного портфеля;</w:t>
      </w:r>
    </w:p>
    <w:p w14:paraId="1DB586D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повышение его доходности и эффективную диверсификацию рисков.</w:t>
      </w:r>
    </w:p>
    <w:p w14:paraId="5803341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Объект исследования — ОПИФ РФИ «ВИМ-Металлургия» под управлением АО «ВИМ Инвестиции».</w:t>
      </w:r>
    </w:p>
    <w:p w14:paraId="0DF1F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Предмет исследования — качество инвестиционного портфеля данного фонда.</w:t>
      </w:r>
    </w:p>
    <w:p w14:paraId="15960E6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При проведении исследования использовались фундаментальные труды отечественных и зарубежных авторов в области корпоративных финансов, финансового менеджмента и теории портфельного инвестирования, в частности базовые концепции Г. Марковица, У. Шарпа и Э. Альтмана. Методологический аппарат включает методы фундаментального и финансового анализа: горизонтальный, вертикальный и коэффициентный анализ корпоративной отчётности. Для количественной оценки качества портфеля применялись специализированные показатели — коэффициент Шарпа, коэффициент Сортино, коэффициент Трейнора, альфа Дженсена, 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а также матрица корреляций активов.</w:t>
      </w:r>
    </w:p>
    <w:p w14:paraId="38B3A59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Эмпирическую базу составили: открытая финансовая отчётность компаний-эмитентов, сформированная по РСБУ и МСФО за 2024–2025 годы;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нормативно-правовые документы, регулирующие функционирование рынка ценных бумаг в Российской Федерации.</w:t>
      </w:r>
    </w:p>
    <w:p w14:paraId="5EE55F3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аспектам формирования и оценки качества инвестиционного портфеля. Вторая глава содержит анализ финансового состояния ключевых эмитентов. В третьей главе представлены рекомендации по повышению качества портфеля ОПИФ РФИ «ВИМ-Металлургия».</w:t>
      </w:r>
    </w:p>
    <w:p w14:paraId="2082790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hAnsi="Times New Roman" w:cs="Times New Roman"/>
          <w:lang w:val="ru-RU"/>
        </w:rPr>
        <w:br w:type="page"/>
      </w:r>
    </w:p>
    <w:p w14:paraId="4869D649" w14:textId="1F7F8099" w:rsidR="004962FA" w:rsidRDefault="004962FA" w:rsidP="004B6B88">
      <w:pPr>
        <w:pStyle w:val="1"/>
        <w:spacing w:line="360" w:lineRule="auto"/>
        <w:rPr>
          <w:rFonts w:cs="Times New Roman"/>
          <w:lang w:val="ru-RU"/>
        </w:rPr>
      </w:pPr>
      <w:bookmarkStart w:id="1" w:name="_Toc233526118"/>
      <w:r>
        <w:rPr>
          <w:rFonts w:cs="Times New Roman"/>
          <w:lang w:val="ru-RU"/>
        </w:rPr>
        <w:lastRenderedPageBreak/>
        <w:t>ГЛАВА 1.</w:t>
      </w:r>
      <w:r w:rsidR="00D2601B">
        <w:rPr>
          <w:rFonts w:cs="Times New Roman"/>
          <w:lang w:val="ru-RU"/>
        </w:rPr>
        <w:t xml:space="preserve"> </w:t>
      </w:r>
      <w:r>
        <w:rPr>
          <w:rFonts w:cs="Times New Roman"/>
          <w:lang w:val="ru-RU"/>
        </w:rPr>
        <w:t>ТЕОРЕТИЧЕСКИЕ АСПЕКТЫ ФОРМИРОВАНИЯ И ОЦЕНКИ КАЧЕСТВА ИНВЕСТИЦИОННОГО ПОРТФЕЛЯ</w:t>
      </w:r>
      <w:bookmarkEnd w:id="1"/>
    </w:p>
    <w:p w14:paraId="6B471459" w14:textId="77777777" w:rsidR="004B6B88" w:rsidRPr="004B6B88" w:rsidRDefault="004B6B88" w:rsidP="004B6B88">
      <w:pPr>
        <w:spacing w:line="360" w:lineRule="auto"/>
        <w:rPr>
          <w:lang w:val="ru-RU"/>
        </w:rPr>
      </w:pPr>
    </w:p>
    <w:p w14:paraId="781E4428" w14:textId="01D92BD2" w:rsidR="004B6B88" w:rsidRPr="004B6B88" w:rsidRDefault="004962FA" w:rsidP="004B6B88">
      <w:pPr>
        <w:pStyle w:val="2"/>
        <w:numPr>
          <w:ilvl w:val="1"/>
          <w:numId w:val="26"/>
        </w:numPr>
        <w:spacing w:line="360" w:lineRule="auto"/>
        <w:rPr>
          <w:rFonts w:cs="Times New Roman"/>
          <w:lang w:val="ru-RU"/>
        </w:rPr>
      </w:pPr>
      <w:bookmarkStart w:id="2" w:name="_Toc233526119"/>
      <w:r>
        <w:rPr>
          <w:rFonts w:cs="Times New Roman"/>
          <w:lang w:val="ru-RU"/>
        </w:rPr>
        <w:t>Понятие, экономическая сущность, принципы и методы формирования инвестиционного портфеля</w:t>
      </w:r>
      <w:bookmarkEnd w:id="2"/>
    </w:p>
    <w:p w14:paraId="09A4D6D2" w14:textId="77777777" w:rsidR="004962FA" w:rsidRPr="004B6B88" w:rsidRDefault="004962FA" w:rsidP="004B6B88">
      <w:pPr>
        <w:spacing w:line="360" w:lineRule="auto"/>
        <w:rPr>
          <w:rFonts w:ascii="Times New Roman" w:hAnsi="Times New Roman" w:cs="Times New Roman"/>
          <w:lang w:val="ru-RU"/>
        </w:rPr>
      </w:pPr>
    </w:p>
    <w:p w14:paraId="25530642"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современной финансовой теории и практике управления активами инвестиционный портфель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представляет собой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функционирующий как единый объект управления и контроля [7, с. 112].</w:t>
      </w:r>
    </w:p>
    <w:p w14:paraId="7D23C6B9" w14:textId="1E59324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Теоретическую основу современной портфельной теории заложил Г. Марковиц в 1952 году [37]. Его ключевой вклад состоит в строгом математическом доказательстве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Таким образом, объединение активов с неполной положительной корреляцией позволяет снизить совокупный риск ниже уровня, достижимого для любого отдельного инструмента. В дальнейшем У. Шарп [38], Д. Линтнер и Я. Моссин развили теорию Марковица, предложив модель оценки капитальных активов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lastRenderedPageBreak/>
        <w:t>перешедшую от оптимизации портфеля к ценообразованию отдельных активов в условиях рыночного равновесия.</w:t>
      </w:r>
    </w:p>
    <w:p w14:paraId="608BA29D"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интерпретируемых при заданных ограничениях как относительно эффективные и достаточно надёжные [19, с. 210]. В этой логике уместно говорить о системе взаимосвязанных ориентиров: сохранение капитала и его прирост в долгосрочной перспективе; поддержание темпов роста дохода, соответствующих целям инвестора; ограничение уровня риска до значений, совместимых с допустимыми потерями [13, с. 154]; сохранение ликвидности в объёме, достаточном для исполнения обязательств и оперативного реагирования на изменения рыночной конъюнктуры.</w:t>
      </w:r>
    </w:p>
    <w:p w14:paraId="67EA412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исторической доходности. Качество портфеля определяется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возможностью относительно оперативной трансформации части активов в денежную форму при разумных транзакционных издержках [11, с. 230]. Поскольку одновременная максимизация доходности при нулевом риске и абсолютной ликвидности недостижима в условиях реального рынка, формирование портфеля представляет собой задачу поиска компромиссного решения [26, с. 146].</w:t>
      </w:r>
    </w:p>
    <w:p w14:paraId="20D2EA3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Принципы формирования инвестиционного портфеля, получившие обоснование в работах Марковица и Шарпа, составляют методологическую основу современной портфельной теории. К ключевым из них относятся следующие. Принцип диверсификации предполагает распределение капитала </w:t>
      </w:r>
      <w:r>
        <w:rPr>
          <w:rFonts w:ascii="Times New Roman" w:eastAsia="Times New Roman" w:hAnsi="Times New Roman" w:cs="Times New Roman"/>
          <w:sz w:val="28"/>
          <w:szCs w:val="28"/>
          <w:lang w:val="ru-RU"/>
        </w:rPr>
        <w:lastRenderedPageBreak/>
        <w:t>между активами с различными характеристиками доходности и риска с целью снижения несистематической составляющей совокупного риска. Принцип оптимальности ориентирует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обеспечивает возможность трансформации активов в денежные средства без существенных потерь стоимости. Принцип соответствия инвестиционным целям требует согласованности структуры портфеля с горизонтом инвестирования, финансовыми возможностями и риск-профилем инвестора.</w:t>
      </w:r>
    </w:p>
    <w:p w14:paraId="566EE59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категориальном отношении методы формирования инвестиционного портфеля традиционно подразделяются на пассивные и активные. Пассивный подход предполагает воспроизведение состава и весов рыночного бенчмарка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 [20, с. 78].</w:t>
      </w:r>
    </w:p>
    <w:p w14:paraId="7769B301"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условиях высокой волатильности и выраженной цикличности сырьевых рынков пассивные стратегии, механически воспроизводящие отраслевой бенчмарк, могут приводить к значительным просадкам в неблагоприятные периоды цикла. Для достижения целевой доходности при контролируемом уровне риска более значимым становится селективный выбор фундаментально устойчивых эмитентов, способных сохранять </w:t>
      </w:r>
      <w:r>
        <w:rPr>
          <w:rFonts w:ascii="Times New Roman" w:eastAsia="Times New Roman" w:hAnsi="Times New Roman" w:cs="Times New Roman"/>
          <w:sz w:val="28"/>
          <w:szCs w:val="28"/>
          <w:lang w:val="ru-RU"/>
        </w:rPr>
        <w:lastRenderedPageBreak/>
        <w:t>положительный денежный поток и демонстрировать операционную гибкость в условиях санкционных ограничений и повышенной стоимости капитала [9, с. 320]. Таким образом, методологически обоснованный подход к формированию портфеля сочетает инструменты количественного оптимизационного моделирования с результатами фундаментального анализа базовых активов.</w:t>
      </w:r>
    </w:p>
    <w:p w14:paraId="07A2381F" w14:textId="77777777" w:rsidR="004962FA" w:rsidRPr="004B6B88" w:rsidRDefault="004962FA" w:rsidP="004B6B88">
      <w:pPr>
        <w:spacing w:line="360" w:lineRule="auto"/>
        <w:ind w:firstLine="709"/>
        <w:jc w:val="both"/>
        <w:rPr>
          <w:rFonts w:ascii="Times New Roman" w:hAnsi="Times New Roman" w:cs="Times New Roman"/>
          <w:lang w:val="ru-RU"/>
        </w:rPr>
      </w:pPr>
    </w:p>
    <w:p w14:paraId="2D052A92" w14:textId="15EFF11B" w:rsidR="004962FA" w:rsidRPr="004B6B88" w:rsidRDefault="00823BB7" w:rsidP="004B6B88">
      <w:pPr>
        <w:pStyle w:val="2"/>
        <w:spacing w:line="360" w:lineRule="auto"/>
        <w:rPr>
          <w:rFonts w:cs="Times New Roman"/>
          <w:lang w:val="ru-RU"/>
        </w:rPr>
      </w:pPr>
      <w:bookmarkStart w:id="3" w:name="_Toc233526120"/>
      <w:r>
        <w:rPr>
          <w:rFonts w:cs="Times New Roman"/>
          <w:lang w:val="ru-RU"/>
        </w:rPr>
        <w:t>1.2 Методики оценки эффективности и качества инвестиционного портфеля</w:t>
      </w:r>
      <w:bookmarkEnd w:id="3"/>
    </w:p>
    <w:p w14:paraId="4D06535B" w14:textId="77777777" w:rsidR="004962FA" w:rsidRPr="004B6B88" w:rsidRDefault="004962FA" w:rsidP="004B6B88">
      <w:pPr>
        <w:spacing w:line="360" w:lineRule="auto"/>
        <w:ind w:left="709"/>
        <w:rPr>
          <w:rFonts w:ascii="Times New Roman" w:hAnsi="Times New Roman" w:cs="Times New Roman"/>
          <w:lang w:val="ru-RU"/>
        </w:rPr>
      </w:pPr>
    </w:p>
    <w:p w14:paraId="3A3EEA99"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Оценка эффективности и качества инвестиционного портфеля осуществляется с помощью двух взаимодополняющих групп методик: инструментов фундаментального анализа компаний-эмитентов и портфельных метрик риска и доходности. Такая двухуровневая структура обусловлена тем, что рыночные показатели отражают уже состоявшиеся ценовые движения, тогда как фундаментальный анализ позволяет судить о внутренней стоимости активов и устойчивости их денежных потоков [20, с. 110].</w:t>
      </w:r>
    </w:p>
    <w:p w14:paraId="1ABAB4F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Фундаментальный анализ эмитентов базируется на систематическом изучении финансовой отчётности компании с учётом отраслевой специфики. В рамках данного подхода применяется коэффициентный анализ, охватывающий четыре ключевые группы показателей: ликвидности, финансовой устойчивости, деловой активности и рентабельности [22, с. 54].</w:t>
      </w:r>
    </w:p>
    <w:p w14:paraId="07BD493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Показатели ликвидности характеризуют способность компании своевременно исполнять краткосрочные обязательства. Коэффициент текущей ликвидности (</w:t>
      </w:r>
      <w:r>
        <w:rPr>
          <w:rFonts w:ascii="Times New Roman" w:eastAsia="Times New Roman" w:hAnsi="Times New Roman" w:cs="Times New Roman"/>
          <w:sz w:val="28"/>
          <w:szCs w:val="28"/>
        </w:rPr>
        <w:t>Current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рассчитывается по формуле (1):</w:t>
      </w:r>
    </w:p>
    <w:p w14:paraId="03AE8286" w14:textId="29E6948A" w:rsidR="004962FA" w:rsidRPr="00C54970" w:rsidRDefault="00FD20BF" w:rsidP="009E1691">
      <w:pPr>
        <w:pStyle w:val="FormulaStyle"/>
        <w:tabs>
          <w:tab w:val="left" w:pos="3606"/>
        </w:tabs>
        <w:ind w:firstLine="709"/>
        <w:jc w:val="both"/>
        <w:rPr>
          <w:color w:val="FF0000"/>
        </w:rPr>
      </w:pPr>
      <m:oMath>
        <m:r>
          <w:rPr>
            <w:rFonts w:ascii="Cambria Math" w:hAnsi="Cambria Math"/>
          </w:rPr>
          <w:lastRenderedPageBreak/>
          <m:t>CR = OA / CL</m:t>
        </m:r>
      </m:oMath>
      <w:r>
        <w:rPr>
          <w:i/>
          <w:iCs/>
        </w:rPr>
        <w:t xml:space="preserve">   (1)</w:t>
      </w:r>
      <w:r w:rsidR="009E1691">
        <w:rPr>
          <w:i/>
          <w:iCs/>
        </w:rPr>
        <w:tab/>
        <w:t xml:space="preserve">  </w:t>
      </w:r>
      <w:r w:rsidR="009E1691" w:rsidRPr="00C54970">
        <w:rPr>
          <w:i/>
          <w:iCs/>
          <w:color w:val="FF0000"/>
        </w:rPr>
        <w:t>Неправильно оформляет</w:t>
      </w:r>
      <w:r w:rsidR="00C54970" w:rsidRPr="00C54970">
        <w:rPr>
          <w:i/>
          <w:iCs/>
          <w:color w:val="FF0000"/>
        </w:rPr>
        <w:t>е</w:t>
      </w:r>
      <w:r w:rsidR="009E1691" w:rsidRPr="00C54970">
        <w:rPr>
          <w:i/>
          <w:iCs/>
          <w:color w:val="FF0000"/>
        </w:rPr>
        <w:t xml:space="preserve"> формулы</w:t>
      </w:r>
      <w:r w:rsidR="00C54970" w:rsidRPr="00C54970">
        <w:rPr>
          <w:i/>
          <w:iCs/>
          <w:color w:val="FF0000"/>
        </w:rPr>
        <w:t xml:space="preserve"> Замечание не учтено Нормоконтроль не пропустит</w:t>
      </w:r>
    </w:p>
    <w:p w14:paraId="58D2035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OA</w:t>
      </w:r>
      <w:r>
        <w:rPr>
          <w:rFonts w:ascii="Times New Roman" w:eastAsia="Times New Roman" w:hAnsi="Times New Roman" w:cs="Times New Roman"/>
          <w:sz w:val="28"/>
          <w:szCs w:val="28"/>
          <w:lang w:val="ru-RU"/>
        </w:rPr>
        <w:t xml:space="preserve"> — оборотные активы предприятия; </w:t>
      </w:r>
      <w:r>
        <w:rPr>
          <w:rFonts w:ascii="Times New Roman" w:eastAsia="Times New Roman" w:hAnsi="Times New Roman" w:cs="Times New Roman"/>
          <w:sz w:val="28"/>
          <w:szCs w:val="28"/>
        </w:rPr>
        <w:t>CL</w:t>
      </w:r>
      <w:r>
        <w:rPr>
          <w:rFonts w:ascii="Times New Roman" w:eastAsia="Times New Roman" w:hAnsi="Times New Roman" w:cs="Times New Roman"/>
          <w:sz w:val="28"/>
          <w:szCs w:val="28"/>
          <w:lang w:val="ru-RU"/>
        </w:rPr>
        <w:t xml:space="preserve"> — краткосрочные обязательства. Нормативное значение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xml:space="preserve"> ≥ 2,0 указывает на достаточное покрытие текущих обязательств оборотными активами [15, с. 215].</w:t>
      </w:r>
    </w:p>
    <w:p w14:paraId="0BD7882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быстрой ликвидности (</w:t>
      </w:r>
      <w:r>
        <w:rPr>
          <w:rFonts w:ascii="Times New Roman" w:eastAsia="Times New Roman" w:hAnsi="Times New Roman" w:cs="Times New Roman"/>
          <w:sz w:val="28"/>
          <w:szCs w:val="28"/>
        </w:rPr>
        <w:t>Quick</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исключает из числителя наименее ликвидную часть — запасы:</w:t>
      </w:r>
    </w:p>
    <w:p w14:paraId="668E6487" w14:textId="5BA368C9" w:rsidR="004962FA" w:rsidRPr="00C54970" w:rsidRDefault="00FD20BF" w:rsidP="004962FA">
      <w:pPr>
        <w:pStyle w:val="FormulaStyle"/>
        <w:ind w:firstLine="709"/>
        <w:jc w:val="both"/>
        <w:rPr>
          <w:color w:val="FF0000"/>
        </w:rPr>
      </w:pPr>
      <m:oMath>
        <m:r>
          <w:rPr>
            <w:rFonts w:ascii="Cambria Math" w:hAnsi="Cambria Math"/>
            <w:color w:val="FF0000"/>
          </w:rPr>
          <m:t>QR = (OA - Inv) / CL</m:t>
        </m:r>
      </m:oMath>
      <w:r w:rsidRPr="00C54970">
        <w:rPr>
          <w:i/>
          <w:iCs/>
          <w:color w:val="FF0000"/>
        </w:rPr>
        <w:t xml:space="preserve">   (2)</w:t>
      </w:r>
    </w:p>
    <w:p w14:paraId="7FB3899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Inv</w:t>
      </w:r>
      <w:r>
        <w:rPr>
          <w:rFonts w:ascii="Times New Roman" w:eastAsia="Times New Roman" w:hAnsi="Times New Roman" w:cs="Times New Roman"/>
          <w:sz w:val="28"/>
          <w:szCs w:val="28"/>
          <w:lang w:val="ru-RU"/>
        </w:rPr>
        <w:t xml:space="preserve"> — стоимость запасов. Рекомендуемое значение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xml:space="preserve"> ≥ 1,0.</w:t>
      </w:r>
    </w:p>
    <w:p w14:paraId="25B39F4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абсолютной ликвидности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CashR</w:t>
      </w:r>
      <w:r>
        <w:rPr>
          <w:rFonts w:ascii="Times New Roman" w:eastAsia="Times New Roman" w:hAnsi="Times New Roman" w:cs="Times New Roman"/>
          <w:sz w:val="28"/>
          <w:szCs w:val="28"/>
          <w:lang w:val="ru-RU"/>
        </w:rPr>
        <w:t>) показывает долю краткосрочных обязательств, которые могут быть погашены немедленно:</w:t>
      </w:r>
    </w:p>
    <w:p w14:paraId="76F1829C" w14:textId="32A97B7F" w:rsidR="004962FA" w:rsidRPr="004B6B88" w:rsidRDefault="00FD20BF" w:rsidP="004962FA">
      <w:pPr>
        <w:pStyle w:val="FormulaStyle"/>
        <w:ind w:firstLine="709"/>
        <w:jc w:val="both"/>
      </w:pPr>
      <m:oMath>
        <m:r>
          <w:rPr>
            <w:rFonts w:ascii="Cambria Math" w:hAnsi="Cambria Math"/>
          </w:rPr>
          <m:t>CashR = (Cash + CE) / CL</m:t>
        </m:r>
      </m:oMath>
      <w:r>
        <w:rPr>
          <w:i/>
          <w:iCs/>
        </w:rPr>
        <w:t xml:space="preserve">   (3)</w:t>
      </w:r>
    </w:p>
    <w:p w14:paraId="2A2CA0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 денежные средства; </w:t>
      </w:r>
      <w:r>
        <w:rPr>
          <w:rFonts w:ascii="Times New Roman" w:eastAsia="Times New Roman" w:hAnsi="Times New Roman" w:cs="Times New Roman"/>
          <w:sz w:val="28"/>
          <w:szCs w:val="28"/>
        </w:rPr>
        <w:t>CE</w:t>
      </w:r>
      <w:r>
        <w:rPr>
          <w:rFonts w:ascii="Times New Roman" w:eastAsia="Times New Roman" w:hAnsi="Times New Roman" w:cs="Times New Roman"/>
          <w:sz w:val="28"/>
          <w:szCs w:val="28"/>
          <w:lang w:val="ru-RU"/>
        </w:rPr>
        <w:t xml:space="preserve"> — краткосрочные финансовые вложения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equivalents</w:t>
      </w:r>
      <w:r>
        <w:rPr>
          <w:rFonts w:ascii="Times New Roman" w:eastAsia="Times New Roman" w:hAnsi="Times New Roman" w:cs="Times New Roman"/>
          <w:sz w:val="28"/>
          <w:szCs w:val="28"/>
          <w:lang w:val="ru-RU"/>
        </w:rPr>
        <w:t xml:space="preserve">). Нормативное значение </w:t>
      </w:r>
      <w:r>
        <w:rPr>
          <w:rFonts w:ascii="Times New Roman" w:eastAsia="Times New Roman" w:hAnsi="Times New Roman" w:cs="Times New Roman"/>
          <w:sz w:val="28"/>
          <w:szCs w:val="28"/>
        </w:rPr>
        <w:t>CashR</w:t>
      </w:r>
      <w:r>
        <w:rPr>
          <w:rFonts w:ascii="Times New Roman" w:eastAsia="Times New Roman" w:hAnsi="Times New Roman" w:cs="Times New Roman"/>
          <w:sz w:val="28"/>
          <w:szCs w:val="28"/>
          <w:lang w:val="ru-RU"/>
        </w:rPr>
        <w:t xml:space="preserve"> ≥ 0,2 [15, с. 216].</w:t>
      </w:r>
    </w:p>
    <w:p w14:paraId="0D15EB8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Среди показателей рентабельности для портфельного инвестора наибольшее значение имеет рентабельность собственного капитала (</w:t>
      </w:r>
      <w:r>
        <w:rPr>
          <w:rFonts w:ascii="Times New Roman" w:eastAsia="Times New Roman" w:hAnsi="Times New Roman" w:cs="Times New Roman"/>
          <w:sz w:val="28"/>
          <w:szCs w:val="28"/>
        </w:rPr>
        <w:t>Return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Equity</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отражающая эффективность использования средств акционеров:</w:t>
      </w:r>
    </w:p>
    <w:p w14:paraId="1CF84C4B" w14:textId="450C638C" w:rsidR="004962FA" w:rsidRPr="004B6B88" w:rsidRDefault="00FD20BF" w:rsidP="004962FA">
      <w:pPr>
        <w:pStyle w:val="FormulaStyle"/>
        <w:ind w:firstLine="709"/>
        <w:jc w:val="both"/>
      </w:pPr>
      <m:oMath>
        <m:r>
          <w:rPr>
            <w:rFonts w:ascii="Cambria Math" w:hAnsi="Cambria Math"/>
          </w:rPr>
          <m:t>ROE = NI / E</m:t>
        </m:r>
      </m:oMath>
      <w:r>
        <w:rPr>
          <w:i/>
          <w:iCs/>
        </w:rPr>
        <w:t xml:space="preserve">   (4)</w:t>
      </w:r>
    </w:p>
    <w:p w14:paraId="7C9394F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чистая прибыль за отчётный период;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 xml:space="preserve"> — средняя величина собственного капитала. Высокое значение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xml:space="preserve"> при умеренном финансовом рычаге свидетельствует о способности бизнеса генерировать добавленную стоимость для собственников [13, с. 115]. Аналогичным образом рассчитываются рентабельность активов (</w:t>
      </w:r>
      <w:r>
        <w:rPr>
          <w:rFonts w:ascii="Times New Roman" w:eastAsia="Times New Roman" w:hAnsi="Times New Roman" w:cs="Times New Roman"/>
          <w:sz w:val="28"/>
          <w:szCs w:val="28"/>
        </w:rPr>
        <w:t>ROA</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 совокупные активы) и рентабельность продаж (</w:t>
      </w:r>
      <w:r>
        <w:rPr>
          <w:rFonts w:ascii="Times New Roman" w:eastAsia="Times New Roman" w:hAnsi="Times New Roman" w:cs="Times New Roman"/>
          <w:sz w:val="28"/>
          <w:szCs w:val="28"/>
        </w:rPr>
        <w:t>ROS</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Revenue</w:t>
      </w:r>
      <w:r>
        <w:rPr>
          <w:rFonts w:ascii="Times New Roman" w:eastAsia="Times New Roman" w:hAnsi="Times New Roman" w:cs="Times New Roman"/>
          <w:sz w:val="28"/>
          <w:szCs w:val="28"/>
          <w:lang w:val="ru-RU"/>
        </w:rPr>
        <w:t>).</w:t>
      </w:r>
    </w:p>
    <w:p w14:paraId="44C698A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Диагностика риска финансовой несостоятельности осуществляется с помощью многофакторных дискриминантных моделей. Наиболее широко применяется пятифакторная модель Э. Альтмана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score</w:t>
      </w:r>
      <w:r>
        <w:rPr>
          <w:rFonts w:ascii="Times New Roman" w:eastAsia="Times New Roman" w:hAnsi="Times New Roman" w:cs="Times New Roman"/>
          <w:sz w:val="28"/>
          <w:szCs w:val="28"/>
          <w:lang w:val="ru-RU"/>
        </w:rPr>
        <w:t>), предложенная в 1968 году [43]:</w:t>
      </w:r>
    </w:p>
    <w:p w14:paraId="11DB1F1B" w14:textId="497C00E7" w:rsidR="004962FA" w:rsidRPr="004B6B88" w:rsidRDefault="00FD20BF" w:rsidP="004962FA">
      <w:pPr>
        <w:pStyle w:val="FormulaStyle"/>
        <w:ind w:firstLine="709"/>
        <w:jc w:val="both"/>
      </w:pPr>
      <m:oMath>
        <m:r>
          <w:rPr>
            <w:rFonts w:ascii="Cambria Math" w:hAnsi="Cambria Math"/>
          </w:rPr>
          <m:t>Z = 1,2·X₁ + 1,4·X₂ + 3,3·X₃ + 0,6·X₄ + 1,0·X₅</m:t>
        </m:r>
      </m:oMath>
      <w:r>
        <w:rPr>
          <w:i/>
          <w:iCs/>
        </w:rPr>
        <w:t xml:space="preserve">   (5)</w:t>
      </w:r>
    </w:p>
    <w:p w14:paraId="1E44F98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₁ = Рабочий капитал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₂ = Нераспределённая прибыль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₃ = Прибыль до уплаты процентов и налогов (</w:t>
      </w:r>
      <w:r>
        <w:rPr>
          <w:rFonts w:ascii="Times New Roman" w:eastAsia="Times New Roman" w:hAnsi="Times New Roman" w:cs="Times New Roman"/>
          <w:sz w:val="28"/>
          <w:szCs w:val="28"/>
        </w:rPr>
        <w:t>EBIT</w:t>
      </w:r>
      <w:r>
        <w:rPr>
          <w:rFonts w:ascii="Times New Roman" w:eastAsia="Times New Roman" w:hAnsi="Times New Roman" w:cs="Times New Roman"/>
          <w:sz w:val="28"/>
          <w:szCs w:val="28"/>
          <w:lang w:val="ru-RU"/>
        </w:rPr>
        <w:t xml:space="preserve">) / Совокупные активы;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₄ = Рыночная капитализация / Балансовая стоимость заёмного капитала;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 xml:space="preserve">₅ = Выручка / Совокупные активы. Интерпретация результатов: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&gt; 2,99 — зона финансовой устойчивости; 1,81 ≤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 2,99 — зона неопределённости;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&lt; 1,81 — зона высокого риска банкротства [43].</w:t>
      </w:r>
    </w:p>
    <w:p w14:paraId="57252B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Переходя к портфельным метрикам, следует прежде всего зафиксировать базовые соотношения. Ожидаемая доходность портфеля, состоящего из </w:t>
      </w:r>
      <w:r>
        <w:rPr>
          <w:rFonts w:ascii="Times New Roman" w:eastAsia="Times New Roman" w:hAnsi="Times New Roman" w:cs="Times New Roman"/>
          <w:sz w:val="28"/>
          <w:szCs w:val="28"/>
        </w:rPr>
        <w:t>n</w:t>
      </w:r>
      <w:r>
        <w:rPr>
          <w:rFonts w:ascii="Times New Roman" w:eastAsia="Times New Roman" w:hAnsi="Times New Roman" w:cs="Times New Roman"/>
          <w:sz w:val="28"/>
          <w:szCs w:val="28"/>
          <w:lang w:val="ru-RU"/>
        </w:rPr>
        <w:t xml:space="preserve"> активов, определяется как взвешенная сумма ожидаемых доходностей отдельных инструментов:</w:t>
      </w:r>
    </w:p>
    <w:p w14:paraId="47FBD7FC" w14:textId="49E02831" w:rsidR="004962FA" w:rsidRPr="004B6B88" w:rsidRDefault="00FD20BF" w:rsidP="004962FA">
      <w:pPr>
        <w:pStyle w:val="FormulaStyle"/>
        <w:ind w:firstLine="709"/>
        <w:jc w:val="both"/>
      </w:pPr>
      <m:oMath>
        <m:r>
          <w:rPr>
            <w:rFonts w:ascii="Cambria Math" w:hAnsi="Cambria Math"/>
          </w:rPr>
          <m:t xml:space="preserve">E(Rp) = Σᵢ wᵢ · E(Rᵢ) </m:t>
        </m:r>
      </m:oMath>
      <w:r>
        <w:rPr>
          <w:i/>
          <w:iCs/>
        </w:rPr>
        <w:t xml:space="preserve">  (6)</w:t>
      </w:r>
    </w:p>
    <w:p w14:paraId="2399A74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удельный вес </w:t>
      </w:r>
      <w:r>
        <w:rPr>
          <w:rFonts w:ascii="Times New Roman" w:eastAsia="Times New Roman" w:hAnsi="Times New Roman" w:cs="Times New Roman"/>
          <w:sz w:val="28"/>
          <w:szCs w:val="28"/>
        </w:rPr>
        <w:t>i</w:t>
      </w:r>
      <w:r>
        <w:rPr>
          <w:rFonts w:ascii="Times New Roman" w:eastAsia="Times New Roman" w:hAnsi="Times New Roman" w:cs="Times New Roman"/>
          <w:sz w:val="28"/>
          <w:szCs w:val="28"/>
          <w:lang w:val="ru-RU"/>
        </w:rPr>
        <w:t xml:space="preserve">-го актива в портфеле;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Rᵢ</w:t>
      </w:r>
      <w:r>
        <w:rPr>
          <w:rFonts w:ascii="Times New Roman" w:eastAsia="Times New Roman" w:hAnsi="Times New Roman" w:cs="Times New Roman"/>
          <w:sz w:val="28"/>
          <w:szCs w:val="28"/>
          <w:lang w:val="ru-RU"/>
        </w:rPr>
        <w:t xml:space="preserve">) — ожидаемая доходность </w:t>
      </w:r>
      <w:r>
        <w:rPr>
          <w:rFonts w:ascii="Times New Roman" w:eastAsia="Times New Roman" w:hAnsi="Times New Roman" w:cs="Times New Roman"/>
          <w:sz w:val="28"/>
          <w:szCs w:val="28"/>
        </w:rPr>
        <w:t>i</w:t>
      </w:r>
      <w:r>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1.</w:t>
      </w:r>
    </w:p>
    <w:p w14:paraId="58B41D1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Совокупный риск портфеля квантифицируется через дисперсию доходностей:</w:t>
      </w:r>
    </w:p>
    <w:p w14:paraId="10CE1A89" w14:textId="46C1E902" w:rsidR="004962FA" w:rsidRPr="004B6B88" w:rsidRDefault="00FD20BF" w:rsidP="004962FA">
      <w:pPr>
        <w:pStyle w:val="FormulaStyle"/>
        <w:ind w:firstLine="709"/>
        <w:jc w:val="both"/>
      </w:pPr>
      <m:oMath>
        <m:r>
          <w:rPr>
            <w:rFonts w:ascii="Cambria Math" w:hAnsi="Cambria Math"/>
          </w:rPr>
          <m:t>σ²p = Σᵢ Σⱼ wᵢ · wⱼ · Cov(Rᵢ, Rⱼ)</m:t>
        </m:r>
      </m:oMath>
      <w:r>
        <w:rPr>
          <w:i/>
          <w:iCs/>
        </w:rPr>
        <w:t xml:space="preserve">   (7)</w:t>
      </w:r>
    </w:p>
    <w:p w14:paraId="4DDCBF4D" w14:textId="3A640A66"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m:oMath>
        <m:r>
          <w:rPr>
            <w:rFonts w:ascii="Cambria Math" w:eastAsia="Times New Roman" w:hAnsi="Cambria Math" w:cs="Times New Roman"/>
            <w:sz w:val="28"/>
            <w:szCs w:val="28"/>
          </w:rPr>
          <m:t>Cov</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Rᵢ</m:t>
        </m:r>
        <m:r>
          <w:rPr>
            <w:rFonts w:ascii="Cambria Math" w:eastAsia="Times New Roman" w:hAnsi="Cambria Math" w:cs="Times New Roman"/>
            <w:sz w:val="28"/>
            <w:szCs w:val="28"/>
            <w:lang w:val="ru-RU"/>
          </w:rPr>
          <m:t xml:space="preserve">, </m:t>
        </m:r>
        <m:r>
          <w:rPr>
            <w:rFonts w:ascii="Cambria Math" w:eastAsia="Times New Roman" w:hAnsi="Cambria Math" w:cs="Times New Roman"/>
            <w:sz w:val="28"/>
            <w:szCs w:val="28"/>
          </w:rPr>
          <m:t>Rⱼ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ρᵢⱼ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σᵢ</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σⱼ</m:t>
        </m:r>
      </m:oMath>
      <w:r>
        <w:rPr>
          <w:rFonts w:ascii="Times New Roman" w:eastAsia="Times New Roman" w:hAnsi="Times New Roman" w:cs="Times New Roman"/>
          <w:sz w:val="28"/>
          <w:szCs w:val="28"/>
          <w:lang w:val="ru-RU"/>
        </w:rPr>
        <w:t xml:space="preserve"> — ковариация доходностей активов </w:t>
      </w:r>
      <w:r>
        <w:rPr>
          <w:rFonts w:ascii="Times New Roman" w:eastAsia="Times New Roman" w:hAnsi="Times New Roman" w:cs="Times New Roman"/>
          <w:sz w:val="28"/>
          <w:szCs w:val="28"/>
        </w:rPr>
        <w:t>i</w:t>
      </w:r>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коэффициент корреляции между активами </w:t>
      </w:r>
      <w:r>
        <w:rPr>
          <w:rFonts w:ascii="Times New Roman" w:eastAsia="Times New Roman" w:hAnsi="Times New Roman" w:cs="Times New Roman"/>
          <w:sz w:val="28"/>
          <w:szCs w:val="28"/>
        </w:rPr>
        <w:t>i</w:t>
      </w:r>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σⱼ</w:t>
      </w:r>
      <w:r>
        <w:rPr>
          <w:rFonts w:ascii="Times New Roman" w:eastAsia="Times New Roman" w:hAnsi="Times New Roman" w:cs="Times New Roman"/>
          <w:sz w:val="28"/>
          <w:szCs w:val="28"/>
          <w:lang w:val="ru-RU"/>
        </w:rPr>
        <w:t xml:space="preserve"> — стандартные отклонения их доходностей. Стандартное отклонение портфеля </w:t>
      </w:r>
      <w:r>
        <w:rPr>
          <w:rFonts w:ascii="Times New Roman" w:eastAsia="Times New Roman" w:hAnsi="Times New Roman" w:cs="Times New Roman"/>
          <w:sz w:val="28"/>
          <w:szCs w:val="28"/>
        </w:rPr>
        <w:t>σp</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w:t>
      </w:r>
      <w:r>
        <w:rPr>
          <w:rFonts w:ascii="Times New Roman" w:eastAsia="Times New Roman" w:hAnsi="Times New Roman" w:cs="Times New Roman"/>
          <w:sz w:val="28"/>
          <w:szCs w:val="28"/>
          <w:lang w:val="ru-RU"/>
        </w:rPr>
        <w:t>²</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&lt; 1 объединение активов снижает совокупный риск ниже </w:t>
      </w:r>
      <w:r>
        <w:rPr>
          <w:rFonts w:ascii="Times New Roman" w:eastAsia="Times New Roman" w:hAnsi="Times New Roman" w:cs="Times New Roman"/>
          <w:sz w:val="28"/>
          <w:szCs w:val="28"/>
          <w:lang w:val="ru-RU"/>
        </w:rPr>
        <w:lastRenderedPageBreak/>
        <w:t>средневзвешенного риска отдельных позиций — в этом состоит математически доказанный диверсификационный эффект теории Марковица [36; 37].</w:t>
      </w:r>
    </w:p>
    <w:p w14:paraId="28A3DC6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Матрица корреляций активов является центральным аналитическим инструментом при формировании диверсифицированного портфеля. Элемент матрицы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определяется как:</w:t>
      </w:r>
    </w:p>
    <w:p w14:paraId="314AC5FD" w14:textId="3DB04FC4" w:rsidR="004962FA" w:rsidRPr="004B6B88" w:rsidRDefault="00FD20BF" w:rsidP="004962FA">
      <w:pPr>
        <w:pStyle w:val="FormulaStyle"/>
        <w:ind w:firstLine="709"/>
        <w:jc w:val="both"/>
      </w:pPr>
      <m:oMath>
        <m:r>
          <w:rPr>
            <w:rFonts w:ascii="Cambria Math" w:hAnsi="Cambria Math"/>
          </w:rPr>
          <m:t>ρᵢⱼ = Cov(Rᵢ, Rⱼ) / (σᵢ · σⱼ)</m:t>
        </m:r>
      </m:oMath>
      <w:r>
        <w:rPr>
          <w:i/>
          <w:iCs/>
        </w:rPr>
        <w:t xml:space="preserve">   (8)</w:t>
      </w:r>
    </w:p>
    <w:p w14:paraId="1C9A56B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значение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принадлежит отрезку [−1; +1].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движутся строго в противофазе, что обеспечивает максимальный диверсификационный эффект;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полностью сонаправлены и диверсификация не снижает риск. Анализ матрицы корреляций позволяет выявить концентрации взаимозависимостей внутри портфеля: высокая попарная корреляция большинства позиций свидетельствует о недостаточной диверсификации и повышенной уязвимости к отраслевым шокам [25, с. 156]. Применительно к металлургическому портфелю оценка матрицы корреляций представляет особую значимость ввиду отраслевой концентрации активов.</w:t>
      </w:r>
    </w:p>
    <w:p w14:paraId="67FCD8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разработанная У. Шарпом [38], позволяет определить равновесную требуемую доходность для любого актива с учётом его систематического риска:</w:t>
      </w:r>
    </w:p>
    <w:p w14:paraId="69F998C7" w14:textId="7B79E547" w:rsidR="004962FA" w:rsidRPr="004B6B88" w:rsidRDefault="00FD20BF" w:rsidP="004962FA">
      <w:pPr>
        <w:pStyle w:val="FormulaStyle"/>
        <w:ind w:firstLine="709"/>
        <w:jc w:val="both"/>
      </w:pPr>
      <m:oMath>
        <m:r>
          <w:rPr>
            <w:rFonts w:ascii="Cambria Math" w:hAnsi="Cambria Math"/>
          </w:rPr>
          <m:t>E(Rᵢ) = Rf + βᵢ · [E(Rm) - Rf]</m:t>
        </m:r>
      </m:oMath>
      <w:r>
        <w:rPr>
          <w:i/>
          <w:iCs/>
        </w:rPr>
        <w:t xml:space="preserve">   (9)</w:t>
      </w:r>
    </w:p>
    <w:p w14:paraId="276708A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безрисковая ставка доходности; </w:t>
      </w: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ожидаемая доходность рыночного портфеля; </w:t>
      </w:r>
      <w:r>
        <w:rPr>
          <w:rFonts w:ascii="Times New Roman" w:eastAsia="Times New Roman" w:hAnsi="Times New Roman" w:cs="Times New Roman"/>
          <w:sz w:val="28"/>
          <w:szCs w:val="28"/>
        </w:rPr>
        <w:t>βᵢ</w:t>
      </w:r>
      <w:r>
        <w:rPr>
          <w:rFonts w:ascii="Times New Roman" w:eastAsia="Times New Roman" w:hAnsi="Times New Roman" w:cs="Times New Roman"/>
          <w:sz w:val="28"/>
          <w:szCs w:val="28"/>
          <w:lang w:val="ru-RU"/>
        </w:rPr>
        <w:t xml:space="preserve"> — бета-коэффициент актива, измеряющий его систематический риск. Бета-коэффициент для портфеля в целом рассчитывается как:</w:t>
      </w:r>
    </w:p>
    <w:p w14:paraId="36C29F0B" w14:textId="4D5374A8" w:rsidR="004962FA" w:rsidRPr="004B6B88" w:rsidRDefault="00FD20BF" w:rsidP="004962FA">
      <w:pPr>
        <w:pStyle w:val="FormulaStyle"/>
        <w:ind w:firstLine="709"/>
        <w:jc w:val="both"/>
      </w:pPr>
      <m:oMath>
        <m:r>
          <w:rPr>
            <w:rFonts w:ascii="Cambria Math" w:hAnsi="Cambria Math"/>
          </w:rPr>
          <m:t>β</m:t>
        </m:r>
        <m:r>
          <w:rPr>
            <w:rFonts w:ascii="Cambria Math" w:hAnsi="Cambria Math"/>
            <w:lang w:val="en-US"/>
          </w:rPr>
          <m:t>p</m:t>
        </m:r>
        <m:r>
          <w:rPr>
            <w:rFonts w:ascii="Cambria Math" w:hAnsi="Cambria Math"/>
          </w:rPr>
          <m:t xml:space="preserve"> = </m:t>
        </m:r>
        <m:r>
          <w:rPr>
            <w:rFonts w:ascii="Cambria Math" w:hAnsi="Cambria Math"/>
            <w:lang w:val="en-US"/>
          </w:rPr>
          <m:t>Cov</m:t>
        </m:r>
        <m:r>
          <w:rPr>
            <w:rFonts w:ascii="Cambria Math" w:hAnsi="Cambria Math"/>
          </w:rPr>
          <m:t>(</m:t>
        </m:r>
        <m:r>
          <w:rPr>
            <w:rFonts w:ascii="Cambria Math" w:hAnsi="Cambria Math"/>
            <w:lang w:val="en-US"/>
          </w:rPr>
          <m:t>Rp</m:t>
        </m:r>
        <m:r>
          <w:rPr>
            <w:rFonts w:ascii="Cambria Math" w:hAnsi="Cambria Math"/>
          </w:rPr>
          <m:t xml:space="preserve">, </m:t>
        </m:r>
        <m:r>
          <w:rPr>
            <w:rFonts w:ascii="Cambria Math" w:hAnsi="Cambria Math"/>
            <w:lang w:val="en-US"/>
          </w:rPr>
          <m:t>Rm</m:t>
        </m:r>
        <m:r>
          <w:rPr>
            <w:rFonts w:ascii="Cambria Math" w:hAnsi="Cambria Math"/>
          </w:rPr>
          <m:t xml:space="preserve">) / </m:t>
        </m:r>
        <m:r>
          <w:rPr>
            <w:rFonts w:ascii="Cambria Math" w:hAnsi="Cambria Math"/>
            <w:lang w:val="en-US"/>
          </w:rPr>
          <m:t>Var</m:t>
        </m:r>
        <m:r>
          <w:rPr>
            <w:rFonts w:ascii="Cambria Math" w:hAnsi="Cambria Math"/>
          </w:rPr>
          <m:t>(</m:t>
        </m:r>
        <m:r>
          <w:rPr>
            <w:rFonts w:ascii="Cambria Math" w:hAnsi="Cambria Math"/>
            <w:lang w:val="en-US"/>
          </w:rPr>
          <m:t>Rm</m:t>
        </m:r>
        <m:r>
          <w:rPr>
            <w:rFonts w:ascii="Cambria Math" w:hAnsi="Cambria Math"/>
          </w:rPr>
          <m:t>)</m:t>
        </m:r>
      </m:oMath>
      <w:r>
        <w:rPr>
          <w:i/>
          <w:iCs/>
        </w:rPr>
        <w:t xml:space="preserve">   (10)</w:t>
      </w:r>
    </w:p>
    <w:p w14:paraId="635C36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где </w:t>
      </w:r>
      <w:r>
        <w:rPr>
          <w:rFonts w:ascii="Times New Roman" w:eastAsia="Times New Roman" w:hAnsi="Times New Roman" w:cs="Times New Roman"/>
          <w:sz w:val="28"/>
          <w:szCs w:val="28"/>
        </w:rPr>
        <w:t>Cov</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ковариация доходности портфеля с доходностью рыночного бенчмарка;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дисперсия доходности бенчмарка. Значения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&gt; 1 соответствуют портфелю с более высокой чувствительностью к рыночным движениям,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&lt; 1 — более консервативному профилю.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принципиально разделяет совокупный риск на систематический (неустранимый диверсификацией) и несистематический (специфический, устранимый диверсификацией), утверждая, что рынок компенсирует инвестора лишь за принятие первого [35].</w:t>
      </w:r>
    </w:p>
    <w:p w14:paraId="639CD30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 xml:space="preserve">) представляет собой максимальный ожидаемый убыток портфеля за определённый временной горизонт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при заданном уровне доверительной вероятности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В параметрическом методе (при допущении нормального распределения доходностей)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 xml:space="preserve"> рассчитывается по формуле:</w:t>
      </w:r>
    </w:p>
    <w:p w14:paraId="1257F129" w14:textId="09FBA726" w:rsidR="004962FA" w:rsidRPr="004B6B88" w:rsidRDefault="00FD20BF" w:rsidP="004962FA">
      <w:pPr>
        <w:pStyle w:val="FormulaStyle"/>
        <w:ind w:firstLine="709"/>
        <w:jc w:val="both"/>
      </w:pPr>
      <m:oMath>
        <m:r>
          <w:rPr>
            <w:rFonts w:ascii="Cambria Math" w:hAnsi="Cambria Math"/>
          </w:rPr>
          <m:t>VaR(α, T) = -(μp · T - zα · σp · √T) · V</m:t>
        </m:r>
      </m:oMath>
      <w:r>
        <w:rPr>
          <w:i/>
          <w:iCs/>
        </w:rPr>
        <w:t xml:space="preserve">   (11)</w:t>
      </w:r>
    </w:p>
    <w:p w14:paraId="52CB67E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μp</w:t>
      </w:r>
      <w:r>
        <w:rPr>
          <w:rFonts w:ascii="Times New Roman" w:eastAsia="Times New Roman" w:hAnsi="Times New Roman" w:cs="Times New Roman"/>
          <w:sz w:val="28"/>
          <w:szCs w:val="28"/>
          <w:lang w:val="ru-RU"/>
        </w:rPr>
        <w:t xml:space="preserve"> — ожидаемая дневная доходность портфеля; </w:t>
      </w:r>
      <w:r>
        <w:rPr>
          <w:rFonts w:ascii="Times New Roman" w:eastAsia="Times New Roman" w:hAnsi="Times New Roman" w:cs="Times New Roman"/>
          <w:sz w:val="28"/>
          <w:szCs w:val="28"/>
        </w:rPr>
        <w:t>σp</w:t>
      </w:r>
      <w:r>
        <w:rPr>
          <w:rFonts w:ascii="Times New Roman" w:eastAsia="Times New Roman" w:hAnsi="Times New Roman" w:cs="Times New Roman"/>
          <w:sz w:val="28"/>
          <w:szCs w:val="28"/>
          <w:lang w:val="ru-RU"/>
        </w:rPr>
        <w:t xml:space="preserve"> — стандартное отклонение дневной доходности портфеля;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 временной горизонт в торговых днях;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квантиль стандартного нормального распределения для уровня доверия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5%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1,645,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1%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2,326; </w:t>
      </w: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ru-RU"/>
        </w:rPr>
        <w:t xml:space="preserve"> — текущая рыночная стоимость портфеля. Экономический смысл показателя состоит в следующем: с вероятностью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потери портфеля за период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не превысят значения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 Данный показатель широко используется в риск-менеджменте и обязателен к расчёту при комплексной оценке качества портфеля [25, с. 880].</w:t>
      </w:r>
    </w:p>
    <w:p w14:paraId="605E7AC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Группа риск-скорректированных показателей позволяет сопоставить полученную доходность с принятым уровнем риска и тем самым оценить </w:t>
      </w:r>
      <w:r>
        <w:rPr>
          <w:rFonts w:ascii="Times New Roman" w:eastAsia="Times New Roman" w:hAnsi="Times New Roman" w:cs="Times New Roman"/>
          <w:sz w:val="28"/>
          <w:szCs w:val="28"/>
          <w:lang w:val="ru-RU"/>
        </w:rPr>
        <w:lastRenderedPageBreak/>
        <w:t>качество управленческих решений. Коэффициент Шарпа (</w:t>
      </w:r>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p>
    <w:p w14:paraId="239957C0" w14:textId="4F98B64A" w:rsidR="004962FA" w:rsidRPr="004B6B88" w:rsidRDefault="00FD20BF" w:rsidP="004962FA">
      <w:pPr>
        <w:pStyle w:val="FormulaStyle"/>
        <w:ind w:firstLine="709"/>
        <w:jc w:val="both"/>
      </w:pPr>
      <m:oMath>
        <m:r>
          <w:rPr>
            <w:rFonts w:ascii="Cambria Math" w:hAnsi="Cambria Math"/>
          </w:rPr>
          <m:t>Sharpe = (Rp - Rf) / σp</m:t>
        </m:r>
      </m:oMath>
      <w:r>
        <w:rPr>
          <w:i/>
          <w:iCs/>
        </w:rPr>
        <w:t xml:space="preserve">   (12)</w:t>
      </w:r>
    </w:p>
    <w:p w14:paraId="4CC8155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 средняя доходность портфеля за рассматриваемый период;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доходность безрискового актива; </w:t>
      </w:r>
      <w:r>
        <w:rPr>
          <w:rFonts w:ascii="Times New Roman" w:eastAsia="Times New Roman" w:hAnsi="Times New Roman" w:cs="Times New Roman"/>
          <w:sz w:val="28"/>
          <w:szCs w:val="28"/>
        </w:rPr>
        <w:t>σp</w:t>
      </w:r>
      <w:r>
        <w:rPr>
          <w:rFonts w:ascii="Times New Roman" w:eastAsia="Times New Roman" w:hAnsi="Times New Roman" w:cs="Times New Roman"/>
          <w:sz w:val="28"/>
          <w:szCs w:val="28"/>
          <w:lang w:val="ru-RU"/>
        </w:rPr>
        <w:t xml:space="preserve"> — стандартное отклонение доходностей портфеля. Значение </w:t>
      </w:r>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&gt; 1 в типовой трактовке свидетельствует о сравнительно высокой эффективности управления при выбранных допущениях; отрицательное значение означает, что портфель уступает безрисковому активу [38].</w:t>
      </w:r>
    </w:p>
    <w:p w14:paraId="32E7E4C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Сортино (</w:t>
      </w:r>
      <w:r>
        <w:rPr>
          <w:rFonts w:ascii="Times New Roman" w:eastAsia="Times New Roman" w:hAnsi="Times New Roman" w:cs="Times New Roman"/>
          <w:sz w:val="28"/>
          <w:szCs w:val="28"/>
        </w:rPr>
        <w:t>Sortino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уточняет оценку риска, фокусируясь исключительно на отрицательных отклонениях доходности (</w:t>
      </w:r>
      <w:r>
        <w:rPr>
          <w:rFonts w:ascii="Times New Roman" w:eastAsia="Times New Roman" w:hAnsi="Times New Roman" w:cs="Times New Roman"/>
          <w:sz w:val="28"/>
          <w:szCs w:val="28"/>
        </w:rPr>
        <w:t>downside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и тем самым не «наказывая» за положительную волатильность:</w:t>
      </w:r>
    </w:p>
    <w:p w14:paraId="054174C7" w14:textId="71FF06BB" w:rsidR="004962FA" w:rsidRPr="004B6B88" w:rsidRDefault="00FD20BF" w:rsidP="004962FA">
      <w:pPr>
        <w:pStyle w:val="FormulaStyle"/>
        <w:ind w:firstLine="709"/>
        <w:jc w:val="both"/>
      </w:pPr>
      <m:oMath>
        <m:r>
          <w:rPr>
            <w:rFonts w:ascii="Cambria Math" w:hAnsi="Cambria Math"/>
          </w:rPr>
          <m:t>Sortino = (Rp - Rf) / σd</m:t>
        </m:r>
      </m:oMath>
      <w:r>
        <w:rPr>
          <w:i/>
          <w:iCs/>
        </w:rPr>
        <w:t xml:space="preserve">   (13)</w:t>
      </w:r>
    </w:p>
    <w:p w14:paraId="3B29A3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σd</w:t>
      </w:r>
      <w:r>
        <w:rPr>
          <w:rFonts w:ascii="Times New Roman" w:eastAsia="Times New Roman" w:hAnsi="Times New Roman" w:cs="Times New Roman"/>
          <w:sz w:val="28"/>
          <w:szCs w:val="28"/>
          <w:lang w:val="ru-RU"/>
        </w:rPr>
        <w:t xml:space="preserve"> — полустандартное отклонение, рассчитываемое только по наблюдениям, при которых доходность портфеля оказалась ниже целевого уровня (как правило,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или нуля). Данный коэффициент более чувствителен к риску потерь капитала по сравнению с коэффициентом Шарпа [40].</w:t>
      </w:r>
    </w:p>
    <w:p w14:paraId="477CC69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Трейнора (</w:t>
      </w:r>
      <w:r>
        <w:rPr>
          <w:rFonts w:ascii="Times New Roman" w:eastAsia="Times New Roman" w:hAnsi="Times New Roman" w:cs="Times New Roman"/>
          <w:sz w:val="28"/>
          <w:szCs w:val="28"/>
        </w:rPr>
        <w:t>Treynor</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соотносит избыточную доходность портфеля с величиной его систематического риска, выраженного через бета-коэффициент:</w:t>
      </w:r>
    </w:p>
    <w:p w14:paraId="18DB324D" w14:textId="7D35F428" w:rsidR="004962FA" w:rsidRPr="004B6B88" w:rsidRDefault="00FD20BF" w:rsidP="004962FA">
      <w:pPr>
        <w:pStyle w:val="FormulaStyle"/>
        <w:ind w:firstLine="709"/>
        <w:jc w:val="both"/>
      </w:pPr>
      <m:oMath>
        <m:r>
          <w:rPr>
            <w:rFonts w:ascii="Cambria Math" w:hAnsi="Cambria Math"/>
          </w:rPr>
          <m:t>Treynor = (Rp - Rf) / βp</m:t>
        </m:r>
      </m:oMath>
      <w:r>
        <w:rPr>
          <w:i/>
          <w:iCs/>
        </w:rPr>
        <w:t xml:space="preserve">   (14)</w:t>
      </w:r>
    </w:p>
    <w:p w14:paraId="2C25643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 бета-коэффициент портфеля, определённый по формуле (10). Показатель уместен в тех случаях, когда несистематический риск в значительной степени диверсифицирован и аналитически значимым остаётся лишь систематический риск [41].</w:t>
      </w:r>
    </w:p>
    <w:p w14:paraId="3182DE0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Альфа Дженсена (</w:t>
      </w:r>
      <w:r>
        <w:rPr>
          <w:rFonts w:ascii="Times New Roman" w:eastAsia="Times New Roman" w:hAnsi="Times New Roman" w:cs="Times New Roman"/>
          <w:sz w:val="28"/>
          <w:szCs w:val="28"/>
        </w:rPr>
        <w:t>Jensen</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Pr>
          <w:rFonts w:ascii="Times New Roman" w:eastAsia="Times New Roman" w:hAnsi="Times New Roman" w:cs="Times New Roman"/>
          <w:sz w:val="28"/>
          <w:szCs w:val="28"/>
          <w:lang w:val="ru-RU"/>
        </w:rPr>
        <w:t xml:space="preserve">) оценивает абсолютную величину сверхдоходности портфеля относительно теоретической доходности, предсказанной моделью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w:t>
      </w:r>
    </w:p>
    <w:p w14:paraId="048BE3DF" w14:textId="250052E7" w:rsidR="004962FA" w:rsidRPr="004B6B88" w:rsidRDefault="00FD20BF" w:rsidP="004962FA">
      <w:pPr>
        <w:pStyle w:val="FormulaStyle"/>
        <w:ind w:firstLine="709"/>
        <w:jc w:val="both"/>
      </w:pPr>
      <m:oMath>
        <m:r>
          <w:rPr>
            <w:rFonts w:ascii="Cambria Math" w:hAnsi="Cambria Math"/>
          </w:rPr>
          <m:t xml:space="preserve">α = </m:t>
        </m:r>
        <m:r>
          <w:rPr>
            <w:rFonts w:ascii="Cambria Math" w:hAnsi="Cambria Math"/>
            <w:lang w:val="en-CA"/>
          </w:rPr>
          <m:t>Rp</m:t>
        </m:r>
        <m:r>
          <w:rPr>
            <w:rFonts w:ascii="Cambria Math" w:hAnsi="Cambria Math"/>
          </w:rPr>
          <m:t xml:space="preserve"> - [</m:t>
        </m:r>
        <m:r>
          <w:rPr>
            <w:rFonts w:ascii="Cambria Math" w:hAnsi="Cambria Math"/>
            <w:lang w:val="en-CA"/>
          </w:rPr>
          <m:t>Rf</m:t>
        </m:r>
        <m:r>
          <w:rPr>
            <w:rFonts w:ascii="Cambria Math" w:hAnsi="Cambria Math"/>
          </w:rPr>
          <m:t xml:space="preserve"> + β</m:t>
        </m:r>
        <m:r>
          <w:rPr>
            <w:rFonts w:ascii="Cambria Math" w:hAnsi="Cambria Math"/>
            <w:lang w:val="en-CA"/>
          </w:rPr>
          <m:t>p</m:t>
        </m:r>
        <m:r>
          <w:rPr>
            <w:rFonts w:ascii="Cambria Math" w:hAnsi="Cambria Math"/>
          </w:rPr>
          <m:t xml:space="preserve"> · (</m:t>
        </m:r>
        <m:r>
          <w:rPr>
            <w:rFonts w:ascii="Cambria Math" w:hAnsi="Cambria Math"/>
            <w:lang w:val="en-CA"/>
          </w:rPr>
          <m:t>Rm</m:t>
        </m:r>
        <m:r>
          <w:rPr>
            <w:rFonts w:ascii="Cambria Math" w:hAnsi="Cambria Math"/>
          </w:rPr>
          <m:t xml:space="preserve"> - </m:t>
        </m:r>
        <m:r>
          <w:rPr>
            <w:rFonts w:ascii="Cambria Math" w:hAnsi="Cambria Math"/>
            <w:lang w:val="en-CA"/>
          </w:rPr>
          <m:t>Rf</m:t>
        </m:r>
        <m:r>
          <w:rPr>
            <w:rFonts w:ascii="Cambria Math" w:hAnsi="Cambria Math"/>
          </w:rPr>
          <m:t>)]</m:t>
        </m:r>
      </m:oMath>
      <w:r>
        <w:rPr>
          <w:i/>
          <w:iCs/>
        </w:rPr>
        <w:t xml:space="preserve">   (15)</w:t>
      </w:r>
    </w:p>
    <w:p w14:paraId="05B1A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фактическая среднерыночная доходность за рассматриваемый период. Положительное значение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свидетельствует о том, что портфель генерировал доходность сверх рыночных ожиданий при данном уровне систематического риска; отрицательная альфа указывает на отставание от рыночного бенчмарка [42].</w:t>
      </w:r>
    </w:p>
    <w:p w14:paraId="0A58DB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качестве дополнительной меры риска применяется показатель максимальной просадки (</w:t>
      </w:r>
      <w:r>
        <w:rPr>
          <w:rFonts w:ascii="Times New Roman" w:eastAsia="Times New Roman" w:hAnsi="Times New Roman" w:cs="Times New Roman"/>
          <w:sz w:val="28"/>
          <w:szCs w:val="28"/>
        </w:rPr>
        <w:t>Maximum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p>
    <w:p w14:paraId="0DF1F17F" w14:textId="3A807F4B" w:rsidR="004962FA" w:rsidRPr="004B6B88" w:rsidRDefault="00FD20BF" w:rsidP="004962FA">
      <w:pPr>
        <w:pStyle w:val="FormulaStyle"/>
        <w:ind w:firstLine="709"/>
        <w:jc w:val="both"/>
      </w:pPr>
      <m:oMath>
        <m:r>
          <w:rPr>
            <w:rFonts w:ascii="Cambria Math" w:hAnsi="Cambria Math"/>
          </w:rPr>
          <m:t>MDD = (Vpeak - Vtrough) / Vpeak</m:t>
        </m:r>
      </m:oMath>
      <w:r>
        <w:rPr>
          <w:i/>
          <w:iCs/>
        </w:rPr>
        <w:t xml:space="preserve">   (16)</w:t>
      </w:r>
    </w:p>
    <w:p w14:paraId="15CA4BD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Vpeak</w:t>
      </w:r>
      <w:r>
        <w:rPr>
          <w:rFonts w:ascii="Times New Roman" w:eastAsia="Times New Roman" w:hAnsi="Times New Roman" w:cs="Times New Roman"/>
          <w:sz w:val="28"/>
          <w:szCs w:val="28"/>
          <w:lang w:val="ru-RU"/>
        </w:rPr>
        <w:t xml:space="preserve"> — максимальная стоимость портфеля за наблюдаемый период; </w:t>
      </w:r>
      <w:r>
        <w:rPr>
          <w:rFonts w:ascii="Times New Roman" w:eastAsia="Times New Roman" w:hAnsi="Times New Roman" w:cs="Times New Roman"/>
          <w:sz w:val="28"/>
          <w:szCs w:val="28"/>
        </w:rPr>
        <w:t>Vtrough</w:t>
      </w:r>
      <w:r>
        <w:rPr>
          <w:rFonts w:ascii="Times New Roman" w:eastAsia="Times New Roman" w:hAnsi="Times New Roman" w:cs="Times New Roman"/>
          <w:sz w:val="28"/>
          <w:szCs w:val="28"/>
          <w:lang w:val="ru-RU"/>
        </w:rPr>
        <w:t xml:space="preserve"> — минимальная стоимость, зафиксированная после данного пика. Показатель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xml:space="preserve"> характеризует наихудший сценарий потерь для инвестора, вошедшего в позицию на пике стоимости.</w:t>
      </w:r>
    </w:p>
    <w:p w14:paraId="0CCC1B26"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Совокупность перечисленных методик образует взаимодополняющий инструментарий оценки качества портфеля: показатели ликвидности и рентабельности эмитентов характеризуют фундаментальную устойчивость базовых активов;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позволяет диагностировать риск финансовой несостоятельности; матрица корреляций и портфельные параметры Марковица — описывают диверсификационный потенциал;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и коэффициенты Шарпа, Сортино, Трейнора, альфа Дженсена, а также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ru-RU"/>
        </w:rPr>
        <w:lastRenderedPageBreak/>
        <w:t>оценивают качество управленческих решений по принятию риска в сравнении с рыночными ориентирами [25, с. 880].</w:t>
      </w:r>
    </w:p>
    <w:p w14:paraId="7B844710" w14:textId="77777777" w:rsidR="004962FA" w:rsidRPr="004B6B88" w:rsidRDefault="004962FA" w:rsidP="004B6B88">
      <w:pPr>
        <w:spacing w:line="360" w:lineRule="auto"/>
        <w:ind w:firstLine="709"/>
        <w:jc w:val="both"/>
        <w:rPr>
          <w:rFonts w:ascii="Times New Roman" w:hAnsi="Times New Roman" w:cs="Times New Roman"/>
          <w:lang w:val="ru-RU"/>
        </w:rPr>
      </w:pPr>
    </w:p>
    <w:p w14:paraId="0D3A4272" w14:textId="3693DC3F" w:rsidR="004962FA" w:rsidRPr="004B6B88" w:rsidRDefault="00823BB7" w:rsidP="004B6B88">
      <w:pPr>
        <w:pStyle w:val="2"/>
        <w:spacing w:line="360" w:lineRule="auto"/>
        <w:rPr>
          <w:rFonts w:cs="Times New Roman"/>
          <w:lang w:val="ru-RU"/>
        </w:rPr>
      </w:pPr>
      <w:bookmarkStart w:id="4" w:name="_Toc233526121"/>
      <w:r>
        <w:rPr>
          <w:rFonts w:cs="Times New Roman"/>
          <w:lang w:val="ru-RU"/>
        </w:rPr>
        <w:t>1.3 ПИФ как рыночный механизм коллективного инвестирования</w:t>
      </w:r>
      <w:bookmarkEnd w:id="4"/>
    </w:p>
    <w:p w14:paraId="0F473CCC" w14:textId="77777777" w:rsidR="004962FA" w:rsidRPr="004B6B88" w:rsidRDefault="004962FA" w:rsidP="004B6B88">
      <w:pPr>
        <w:spacing w:line="360" w:lineRule="auto"/>
        <w:ind w:left="709"/>
        <w:rPr>
          <w:rFonts w:ascii="Times New Roman" w:hAnsi="Times New Roman" w:cs="Times New Roman"/>
          <w:lang w:val="ru-RU"/>
        </w:rPr>
      </w:pPr>
    </w:p>
    <w:p w14:paraId="0F13C764"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Паевой инвестиционный фонд (ПИФ) представляет собой рыночный механизм коллективного инвестирования, посредством которого средства множества частных и корпоративных инвесторов объединяются в единый имущественный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в Российской Федерации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w:t>
      </w:r>
    </w:p>
    <w:p w14:paraId="04D4EEB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Экономическая сущность ПИФа состоит в том, что каждый инвестор, приобретая инвестиционный пай, становится совладельцем диверсифицированного портфеля активов, который был бы недоступен ему при самостоятельном инвестировании ввиду высокого порога входа на финансовые рынки и необходимости специальных профессиональных компетенций. Таким образом, ПИФ как институт коллективного инвестирования обеспечивает экономию на масштабе при формировании портфеля, профессиональное управление активами и доступ к инструментам, требующим значительного начального капитала.</w:t>
      </w:r>
    </w:p>
    <w:p w14:paraId="77D7B75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 составу и структуре активов российское законодательство выделяет несколько типов ПИФов. Открытые фонды (ОПИФ) обеспечивают инвестору </w:t>
      </w:r>
      <w:r>
        <w:rPr>
          <w:rFonts w:ascii="Times New Roman" w:eastAsia="Times New Roman" w:hAnsi="Times New Roman" w:cs="Times New Roman"/>
          <w:sz w:val="28"/>
          <w:szCs w:val="28"/>
          <w:lang w:val="ru-RU"/>
        </w:rPr>
        <w:lastRenderedPageBreak/>
        <w:t>возможность погашения паёв в любой рабочий день. Интервальные фонды (ИПИФ) допускают операции с паями лишь в установленные правилами доверительного управления временны́е интервалы. Закрытые фонды (ЗПИФ) формируются на фиксированный срок и как правило не предусматривают возможности досрочного погашения паёв. По объекту инвестирования фонды подразделяются на фонды рыночных финансовых инструментов (акций, облигаций, смешанных инвестиций), фонды недвижимости, комбинированные фонды и ряд иных категорий.</w:t>
      </w:r>
    </w:p>
    <w:p w14:paraId="29A0F63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находится под управлением АО «ВИМ Инвестиции» и относится к категории отраслевых фондов акций, ориентированных на металлургический сегмент российского фондового рынка. Фонд инвестирует преимущественно в акции компаний чёрной и цветной металлургии, а также горнодобывающего сектора, котирующихся на Московской бирже. Статус открытого фонда обеспечивает пайщикам ежедневную возможность погашения паёв по текущей стоимости чистых активов.</w:t>
      </w:r>
    </w:p>
    <w:p w14:paraId="1F12A0F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Ключевым преимуществом инвестирования через ПИФ является институциональная диверсификация: управляющая компания формирует портфель из множества позиций, снижая несистематический риск, недостижимый при единоличном формировании портфеля ограниченного объёма. Вместе с тем отраслевая специализация фонда порождает концентрационный риск: в условиях неблагоприятной конъюнктуры металлургического рынка или системных секторальных шоков большинство позиций фонда испытывают одновременное давление, что ограничивает диверсификационный эффект.</w:t>
      </w:r>
    </w:p>
    <w:p w14:paraId="28B6807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Регуляторный режим ПИФов предусматривает ряд механизмов защиты пайщиков. Активы фонда обособлены от имущества управляющей компании </w:t>
      </w:r>
      <w:r>
        <w:rPr>
          <w:rFonts w:ascii="Times New Roman" w:eastAsia="Times New Roman" w:hAnsi="Times New Roman" w:cs="Times New Roman"/>
          <w:sz w:val="28"/>
          <w:szCs w:val="28"/>
          <w:lang w:val="ru-RU"/>
        </w:rPr>
        <w:lastRenderedPageBreak/>
        <w:t>и учитываются специализированным депозитарием, осуществляющим независимый контроль. Оценка стоимости чистых активов (СЧА) и расчёт стоимости одного пая производятся ежедневно по рыночным ценам. Деятельность управляющей компании регулируется Банком России, что обеспечивает надзорную защиту интересов инвесторов.</w:t>
      </w:r>
    </w:p>
    <w:p w14:paraId="7C6B59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Качество управления ПИФом проявляется в выборе общей стратегии (активной либо пассивной), глубине диверсификации, формализованных принципах отбора активов, а также в регулярности и дисциплине ребалансировки [20, с. 78]. Ребалансировка выступает инструментом поддержания целевого соотношения риска и ожидаемой доходности в условиях изменяющейся рыночной среды; она снижает вероятность накопления нежелательной концентрации и позволяет корректировать портфель в ответ на смещение весов отдельных позиций. В отраслевом фонде данная функция приобретает особую значимость: управляющий вынужден принимать решения в условиях не только общерыночной, но и специфической отраслевой неопределённости.</w:t>
      </w:r>
    </w:p>
    <w:p w14:paraId="3D600D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Вывод по первой главе. Проведённое теоретическое исследование позволяет сформулировать следующие ключевые положения, составляющие методологическую основу последующего анализа.</w:t>
      </w:r>
    </w:p>
    <w:p w14:paraId="28F291B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Во-первых, качество инвестиционного портфеля определяется не только ретроспективными рыночными показателями, но и фундаментальным состоянием компаний-эмитентов: их ликвидностью, рентабельностью, долговой нагрузкой и устойчивостью денежных потоков.</w:t>
      </w:r>
    </w:p>
    <w:p w14:paraId="7CCBCA8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Во-вторых, комплексная оценка качества портфеля требует интеграции двух методологических блоков: фундаментального анализа эмитентов (коэффициентный анализ,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и портфельных метрик (матрица </w:t>
      </w:r>
      <w:r>
        <w:rPr>
          <w:rFonts w:ascii="Times New Roman" w:eastAsia="Times New Roman" w:hAnsi="Times New Roman" w:cs="Times New Roman"/>
          <w:sz w:val="28"/>
          <w:szCs w:val="28"/>
          <w:lang w:val="ru-RU"/>
        </w:rPr>
        <w:lastRenderedPageBreak/>
        <w:t xml:space="preserve">корреляций, </w:t>
      </w:r>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 коэффициенты Шарпа, Сортино, Трейнора, альфа Дженсена).</w:t>
      </w:r>
    </w:p>
    <w:p w14:paraId="312582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В-третьих, отраслевая специализация ОПИФ РФИ «ВИМ-Металлургия» обусловливает необходимость особого внимания к цикличности металлургического сектора, санкционным и регуляторным рискам, а также к концентрационным рискам, выявляемым через матрицу корреляций активов. Именно интегрированный методологический подход будет применён в аналитической части настоящей работы.</w:t>
      </w:r>
    </w:p>
    <w:p w14:paraId="7DF0E4A8" w14:textId="4517C349" w:rsidR="00DA4464" w:rsidRPr="004B6B88" w:rsidRDefault="00DA4464" w:rsidP="00DA4464">
      <w:pPr>
        <w:spacing w:line="360" w:lineRule="auto"/>
        <w:ind w:firstLine="709"/>
        <w:jc w:val="both"/>
        <w:rPr>
          <w:rFonts w:ascii="Times New Roman" w:hAnsi="Times New Roman" w:cs="Times New Roman"/>
          <w:lang w:val="ru-RU"/>
        </w:rPr>
      </w:pPr>
    </w:p>
    <w:p w14:paraId="29B4BD74" w14:textId="565556E6" w:rsidR="00631EF4" w:rsidRPr="004B6B88"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4B6B88" w:rsidRDefault="00631EF4" w:rsidP="00631EF4">
      <w:pPr>
        <w:rPr>
          <w:rFonts w:ascii="Times New Roman" w:hAnsi="Times New Roman" w:cs="Times New Roman"/>
          <w:sz w:val="28"/>
          <w:szCs w:val="28"/>
          <w:lang w:val="ru-RU"/>
        </w:rPr>
      </w:pPr>
    </w:p>
    <w:p w14:paraId="1FB26D47" w14:textId="77777777" w:rsidR="00631EF4" w:rsidRPr="004B6B88" w:rsidRDefault="00631EF4" w:rsidP="00631EF4">
      <w:pPr>
        <w:rPr>
          <w:rFonts w:ascii="Times New Roman" w:hAnsi="Times New Roman" w:cs="Times New Roman"/>
          <w:sz w:val="28"/>
          <w:szCs w:val="28"/>
          <w:lang w:val="ru-RU"/>
        </w:rPr>
      </w:pPr>
    </w:p>
    <w:p w14:paraId="1B16F8D0" w14:textId="77777777" w:rsidR="005F2182" w:rsidRPr="004B6B88" w:rsidRDefault="00793D47" w:rsidP="005F2182">
      <w:pPr>
        <w:rPr>
          <w:rFonts w:ascii="Times New Roman" w:hAnsi="Times New Roman" w:cs="Times New Roman"/>
          <w:b/>
          <w:i/>
          <w:sz w:val="28"/>
          <w:szCs w:val="32"/>
          <w:lang w:val="ru-RU"/>
        </w:rPr>
      </w:pPr>
      <w:r>
        <w:rPr>
          <w:rFonts w:ascii="Times New Roman" w:hAnsi="Times New Roman" w:cs="Times New Roman"/>
          <w:lang w:val="ru-RU"/>
        </w:rPr>
        <w:br w:type="page"/>
      </w:r>
    </w:p>
    <w:p w14:paraId="34AE380A" w14:textId="77777777" w:rsidR="0059624A" w:rsidRPr="004B6B88" w:rsidRDefault="0059624A" w:rsidP="004B6B88">
      <w:pPr>
        <w:pStyle w:val="1"/>
        <w:spacing w:line="360" w:lineRule="auto"/>
        <w:rPr>
          <w:rFonts w:cs="Times New Roman"/>
          <w:lang w:val="ru-RU"/>
        </w:rPr>
      </w:pPr>
      <w:bookmarkStart w:id="5" w:name="_Toc233526122"/>
      <w:r>
        <w:rPr>
          <w:rFonts w:cs="Times New Roman"/>
          <w:lang w:val="ru-RU"/>
        </w:rPr>
        <w:lastRenderedPageBreak/>
        <w:t>ГЛАВА 2. АНАЛИЗ ИНВЕСТИЦИОННОГО ПОРТФЕЛЯ ОПИФ РФИ «ВИМ-МЕТАЛЛУРГИЯ»</w:t>
      </w:r>
      <w:bookmarkEnd w:id="5"/>
    </w:p>
    <w:p w14:paraId="4BBBD03B" w14:textId="77777777" w:rsidR="00823BB7" w:rsidRPr="004B6B88" w:rsidRDefault="00823BB7" w:rsidP="004B6B88">
      <w:pPr>
        <w:spacing w:line="360" w:lineRule="auto"/>
        <w:rPr>
          <w:rFonts w:ascii="Times New Roman" w:hAnsi="Times New Roman" w:cs="Times New Roman"/>
          <w:lang w:val="ru-RU"/>
        </w:rPr>
      </w:pPr>
    </w:p>
    <w:p w14:paraId="1AA8B4FF" w14:textId="77777777" w:rsidR="0059624A" w:rsidRPr="004B6B88" w:rsidRDefault="0059624A" w:rsidP="004B6B88">
      <w:pPr>
        <w:pStyle w:val="2"/>
        <w:spacing w:line="360" w:lineRule="auto"/>
        <w:rPr>
          <w:rFonts w:cs="Times New Roman"/>
          <w:lang w:val="ru-RU"/>
        </w:rPr>
      </w:pPr>
      <w:bookmarkStart w:id="6" w:name="_Toc233526123"/>
      <w:r>
        <w:rPr>
          <w:rFonts w:cs="Times New Roman"/>
          <w:lang w:val="ru-RU"/>
        </w:rPr>
        <w:t>2.1. Структура и состав инвестиционного портфеля ОПИФ РФИ «ВИМ-Металлургия»</w:t>
      </w:r>
      <w:bookmarkEnd w:id="6"/>
    </w:p>
    <w:p w14:paraId="589586F6" w14:textId="77777777" w:rsidR="00823BB7" w:rsidRPr="004B6B88" w:rsidRDefault="00823BB7" w:rsidP="004B6B88">
      <w:pPr>
        <w:spacing w:line="360" w:lineRule="auto"/>
        <w:rPr>
          <w:rFonts w:ascii="Times New Roman" w:hAnsi="Times New Roman" w:cs="Times New Roman"/>
          <w:lang w:val="ru-RU"/>
        </w:rPr>
      </w:pPr>
    </w:p>
    <w:p w14:paraId="55345A8D" w14:textId="53AFA84D"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функционирует под управлением АО «ВИМ Инвестиции» и специализируется на вложениях в акции отечественных компаний металлургической и горнодобывающей отрасли, котирующихся на Московской бирже. По состоянию на конец 2025 года стоимость чистых активов (СЧА) Фонда составляла порядка 860 млн рублей, что отражает динамику притока розничного капитала на фоне повышения интереса частных инвесторов к защитным сырьевым позициям.[46]</w:t>
      </w:r>
    </w:p>
    <w:p w14:paraId="5482AABD" w14:textId="29A409B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Инвестиционная декларация Фонда предусматривает размещение не менее 80% активов в акции компаний чёрной металлургии, цветной металлургии и смежных добывающих производств. Оставшаяся часть может быть размещена в инструменты денежного рынка — преимущественно краткосрочные облигации федерального займа (ОФЗ) и депозиты с целью поддержания ликвидности, необходимой для исполнения заявок на погашение паёв.[47]</w:t>
      </w:r>
    </w:p>
    <w:p w14:paraId="33DCF47F" w14:textId="0177748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состава портфеля Фонда на конец 2025 года позволяет выделить пять ключевых позиций, совокупно формирующих более 90% стоимости активов. Крупнейшим объектом инвестирования выступает ПАО «Северсталь» с долей 28,4%, что обусловлено высокой ликвидностью бумаг, стабильной дивидендной политикой и лидирующим положением компании в </w:t>
      </w:r>
      <w:r>
        <w:rPr>
          <w:rFonts w:ascii="Times New Roman" w:eastAsia="Times New Roman" w:hAnsi="Times New Roman" w:cs="Times New Roman"/>
          <w:sz w:val="28"/>
          <w:szCs w:val="28"/>
          <w:lang w:val="ru-RU"/>
        </w:rPr>
        <w:lastRenderedPageBreak/>
        <w:t>отечественной чёрной металлургии. На втором месте располагается ПАО «ГМК Норильский никель» с долей 22,7%: вложение в диверсифицированного производителя цветных и драгоценных металлов частично снижает зависимость портфеля от конъюнктуры стального рынка. Третью позицию занимает ПАО «Магнитогорский металлургический комбинат» (ММК) с долей 19,1% — компания обеспечивает географически диверсифицированный доступ к сегменту плоского проката. Четвёртой по весу позицией является ПАО «ЭН+ ГРУП» с долей 12,6%: производитель алюминия и гидроэлектроэнергии привносит в портфель экспозицию на рынок лёгких металлов и сектор возобновляемой энергетики. Завершает пятёрку ПАО «ВСМПО-АВИСМА» [50] с долей 9,3%, обеспечивающее узкоспециализированную экспозицию на рынок авиационного титана. Прочие позиции и денежные средства формируют оставшиеся 7,9% активов. Структура портфеля детализирована в таблице 1.</w:t>
      </w:r>
    </w:p>
    <w:p w14:paraId="3E9C6BD4" w14:textId="1F9265CF" w:rsidR="0059624A" w:rsidRPr="00946FA2" w:rsidRDefault="0059624A" w:rsidP="0059624A">
      <w:pPr>
        <w:spacing w:before="120" w:after="60" w:line="360" w:lineRule="auto"/>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lang w:val="ru-RU"/>
        </w:rPr>
        <w:t>Таблица 1 — Структура портфеля ОПИФ РФИ «ВИМ-Металлургия» по состоянию на 31.12.2025</w:t>
      </w:r>
      <w:r w:rsidR="00946FA2">
        <w:rPr>
          <w:rFonts w:ascii="Times New Roman" w:eastAsia="Times New Roman" w:hAnsi="Times New Roman" w:cs="Times New Roman"/>
          <w:sz w:val="28"/>
          <w:szCs w:val="28"/>
          <w:lang w:val="ru-RU"/>
        </w:rPr>
        <w:t xml:space="preserve">  </w:t>
      </w:r>
      <w:r w:rsidR="00946FA2" w:rsidRPr="00946FA2">
        <w:rPr>
          <w:rFonts w:ascii="Times New Roman" w:eastAsia="Times New Roman" w:hAnsi="Times New Roman" w:cs="Times New Roman"/>
          <w:color w:val="FF0000"/>
          <w:sz w:val="28"/>
          <w:szCs w:val="28"/>
          <w:lang w:val="ru-RU"/>
        </w:rPr>
        <w:t>Неправильно оформлен перенос таблицы на сл стр.</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59624A" w:rsidRPr="004B6B88" w14:paraId="1D2A5F41"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E166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2AF4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EBD2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FFAA0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Рыночная стоимость, млн руб.</w:t>
            </w:r>
          </w:p>
        </w:tc>
      </w:tr>
      <w:tr w:rsidR="0059624A" w:rsidRPr="004B6B88" w14:paraId="6E8524EF"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5077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66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34FB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4FC7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244,2</w:t>
            </w:r>
          </w:p>
        </w:tc>
      </w:tr>
      <w:tr w:rsidR="0059624A" w:rsidRPr="004B6B88" w14:paraId="370C585E"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D34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Норильский никель»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3CE0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42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C0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195,2</w:t>
            </w:r>
          </w:p>
        </w:tc>
      </w:tr>
      <w:tr w:rsidR="0059624A" w:rsidRPr="004B6B88" w14:paraId="313283A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6DE6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EB72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89A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116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164,3</w:t>
            </w:r>
          </w:p>
        </w:tc>
      </w:tr>
      <w:tr w:rsidR="0059624A" w:rsidRPr="004B6B88" w14:paraId="3A48B05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21C7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2B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 / ВИЭ</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2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FF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108,4</w:t>
            </w:r>
          </w:p>
        </w:tc>
      </w:tr>
      <w:tr w:rsidR="0059624A" w:rsidRPr="004B6B88" w14:paraId="3EADAE0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2905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ПАО «ВСМПО-АВИСМА»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280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Титановая промышленность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581B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F3C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80,0</w:t>
            </w:r>
          </w:p>
        </w:tc>
      </w:tr>
      <w:tr w:rsidR="00823BB7" w:rsidRPr="004B6B88" w14:paraId="6D06F9E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01BB4" w14:textId="1D5BB11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позиции и денежные средства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3A06F" w14:textId="61A5763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E8636" w14:textId="23B4813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8ED2" w14:textId="5ECE943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67,9</w:t>
            </w:r>
          </w:p>
        </w:tc>
      </w:tr>
      <w:tr w:rsidR="00823BB7" w:rsidRPr="004B6B88" w14:paraId="15CC5649"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B96C" w14:textId="5B16F8E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Итого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1948" w14:textId="1B585DB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D012" w14:textId="2810D3A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E388D" w14:textId="2893BBA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860,0</w:t>
            </w:r>
          </w:p>
        </w:tc>
      </w:tr>
    </w:tbl>
    <w:p w14:paraId="456EF36F" w14:textId="35165549" w:rsidR="0059624A" w:rsidRPr="00946FA2" w:rsidRDefault="00946FA2" w:rsidP="00823BB7">
      <w:pPr>
        <w:spacing w:line="360" w:lineRule="auto"/>
        <w:jc w:val="both"/>
        <w:rPr>
          <w:rFonts w:ascii="Times New Roman" w:eastAsia="Times New Roman" w:hAnsi="Times New Roman" w:cs="Times New Roman"/>
          <w:color w:val="FF0000"/>
          <w:sz w:val="28"/>
          <w:szCs w:val="28"/>
          <w:lang w:val="ru-RU"/>
        </w:rPr>
      </w:pPr>
      <w:r w:rsidRPr="00946FA2">
        <w:rPr>
          <w:rFonts w:ascii="Times New Roman" w:eastAsia="Times New Roman" w:hAnsi="Times New Roman" w:cs="Times New Roman"/>
          <w:color w:val="FF0000"/>
          <w:sz w:val="28"/>
          <w:szCs w:val="28"/>
          <w:lang w:val="ru-RU"/>
        </w:rPr>
        <w:t>Игнорируете замечания, своего времени не жалко</w:t>
      </w:r>
      <w:r w:rsidR="00711C8E">
        <w:rPr>
          <w:rFonts w:ascii="Times New Roman" w:eastAsia="Times New Roman" w:hAnsi="Times New Roman" w:cs="Times New Roman"/>
          <w:color w:val="FF0000"/>
          <w:sz w:val="28"/>
          <w:szCs w:val="28"/>
          <w:lang w:val="ru-RU"/>
        </w:rPr>
        <w:t>.</w:t>
      </w:r>
      <w:bookmarkStart w:id="7" w:name="_GoBack"/>
      <w:bookmarkEnd w:id="7"/>
    </w:p>
    <w:p w14:paraId="1B5D0FE1" w14:textId="0D886A9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Из приведённых данных следует, что Фонд демонстрирует выраженную отраслевую концентрацию: доля активов, связанных непосредственно с металлургическим и горнодобывающим производством, превышает 92%. С одной стороны, подобная специализация соответствует инвестиционной декларации и интересам инвесторов, целенаправленно приобретающих паи отраслевого фонда. С другой стороны, она формирует специфический концентрационный риск, при котором неблагоприятная конъюнктура на глобальных рынках сырья способна оказывать одновременное давление на большинство позиций портфеля.</w:t>
      </w:r>
    </w:p>
    <w:p w14:paraId="5C36F9F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части субсекторальной диверсификации необходимо отметить, что три из пяти крупнейших позиций (Северсталь, ММК, ЭН+/РУСАЛ) в той или иной мере зависят от конъюнктуры базовых металлов на мировом рынке и от уровня спроса в строительной и машиностроительной отраслях России. Норильский никель, несмотря на иной продуктовый профиль (никель, медь, палладий, платина), также подвержен глобальной цикличности промышленного производства. ВСМПО-АВИСМА, ориентированная преимущественно на авиационный сектор, частично вносит диверсификацию </w:t>
      </w:r>
      <w:r>
        <w:rPr>
          <w:rFonts w:ascii="Times New Roman" w:eastAsia="Times New Roman" w:hAnsi="Times New Roman" w:cs="Times New Roman"/>
          <w:sz w:val="28"/>
          <w:szCs w:val="28"/>
          <w:lang w:val="ru-RU"/>
        </w:rPr>
        <w:lastRenderedPageBreak/>
        <w:t>по конечному потребителю, однако её доля в портфеле остаётся относительно небольшой для системного снижения концентрационного риска.</w:t>
      </w:r>
    </w:p>
    <w:p w14:paraId="441F45CD"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Динамика СЧА Фонда на протяжении 2024–2025 годов отражала волатильность металлургического сектора. В первой половине 2024 года фонд испытал давление в связи со снижением мировых цен на сталь и усилением санкционных ограничений; во втором полугодии 2024 года наметилось частичное восстановление на фоне роста цен на цветные металлы. В 2025 году динамика СЧА оставалась разнонаправленной: позитивный вклад вносил рост котировок Норильского никеля на фоне дефицита палладия, тогда как стальные компании испытывали давление из-за замедления строительного спроса внутри страны.</w:t>
      </w:r>
    </w:p>
    <w:p w14:paraId="59387B1C"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7EC5AC99" w14:textId="77777777" w:rsidR="0059624A" w:rsidRPr="004B6B88" w:rsidRDefault="0059624A" w:rsidP="004B6B88">
      <w:pPr>
        <w:pStyle w:val="2"/>
        <w:spacing w:line="360" w:lineRule="auto"/>
        <w:rPr>
          <w:rFonts w:cs="Times New Roman"/>
          <w:lang w:val="ru-RU"/>
        </w:rPr>
      </w:pPr>
      <w:bookmarkStart w:id="8" w:name="_Toc233526124"/>
      <w:r>
        <w:rPr>
          <w:rFonts w:cs="Times New Roman"/>
          <w:lang w:val="ru-RU"/>
        </w:rPr>
        <w:t>2.2. Характеристика крупнейших объектов инвестирования</w:t>
      </w:r>
      <w:bookmarkEnd w:id="8"/>
    </w:p>
    <w:p w14:paraId="00530F8E" w14:textId="60CC9BC7" w:rsidR="0059624A" w:rsidRPr="00946FA2" w:rsidRDefault="00946FA2" w:rsidP="004B6B88">
      <w:pPr>
        <w:spacing w:before="240" w:after="120" w:line="360" w:lineRule="auto"/>
        <w:jc w:val="center"/>
        <w:outlineLvl w:val="1"/>
        <w:rPr>
          <w:rFonts w:ascii="Times New Roman" w:eastAsia="Times New Roman" w:hAnsi="Times New Roman" w:cs="Times New Roman"/>
          <w:b/>
          <w:bCs/>
          <w:color w:val="FF0000"/>
          <w:sz w:val="28"/>
          <w:szCs w:val="28"/>
          <w:lang w:val="ru-RU"/>
        </w:rPr>
      </w:pPr>
      <w:r w:rsidRPr="00946FA2">
        <w:rPr>
          <w:rFonts w:ascii="Times New Roman" w:eastAsia="Times New Roman" w:hAnsi="Times New Roman" w:cs="Times New Roman"/>
          <w:b/>
          <w:bCs/>
          <w:color w:val="FF0000"/>
          <w:sz w:val="28"/>
          <w:szCs w:val="28"/>
          <w:lang w:val="ru-RU"/>
        </w:rPr>
        <w:t>Отступы тоже надо сделать правильно</w:t>
      </w:r>
    </w:p>
    <w:p w14:paraId="007B75B4" w14:textId="3644C7C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формирования обоснованного суждения о качестве инвестиционного портфеля необходим анализ финансового состояния компаний-эмитентов, составляющих его основу. В соответствии с методологией, изложенной в главе 1, по каждому из пяти ключевых объектов инвестирования проведён расчёт показателей ликвидности, рентабельности собственного капитала и диагностика риска финансовой несостоятельности по модели Альтмана на основании консолидированной отчётности за 2025 год. Расчёты выполнены по формулам (1)–(5), приведённым в разделе 1.2 настоящей работы.</w:t>
      </w:r>
    </w:p>
    <w:p w14:paraId="1B5F2148" w14:textId="0B475F4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«Северсталь» является одним из крупнейших интегрированных производителей стали в России с полным металлургическим циклом — от </w:t>
      </w:r>
      <w:r>
        <w:rPr>
          <w:rFonts w:ascii="Times New Roman" w:eastAsia="Times New Roman" w:hAnsi="Times New Roman" w:cs="Times New Roman"/>
          <w:sz w:val="28"/>
          <w:szCs w:val="28"/>
          <w:lang w:val="ru-RU"/>
        </w:rPr>
        <w:lastRenderedPageBreak/>
        <w:t>добычи железорудного сырья до производства готового проката. По итогам 2025 года выручка компании составила 891,4 млрд руб., EBITDA — 265,3 млрд руб. (рентабельность по EBITDA 29,8%), чистая прибыль — 147,6 млрд руб. Совокупные активы достигли 682,4 млрд руб., собственный капитал — 438,9 млрд руб., оборотные активы — 214,7 млрд руб., запасы — 78,3 млрд руб., денежные средства и краткосрочные вложения — 89,4 млрд руб., краткосрочные обязательства — 97,6 млрд руб., долгосрочный долг — 92,1 млрд руб.[48]</w:t>
      </w:r>
    </w:p>
    <w:p w14:paraId="2B8C85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коэффициентов ликвидности ПАО «Северсталь» за 2025 год.</w:t>
      </w:r>
    </w:p>
    <w:p w14:paraId="48D9040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рассчитывается по формуле CR = OA / CL:</w:t>
      </w:r>
    </w:p>
    <w:p w14:paraId="487D2B05" w14:textId="27BAA445"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214,7 / 97,6 = 2,20</m:t>
          </m:r>
        </m:oMath>
      </m:oMathPara>
    </w:p>
    <w:p w14:paraId="04E83B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Полученное значение CR = 2,20 соответствует нормативу (≥ 2,0), что свидетельствует о достаточном покрытии краткосрочных обязательств оборотными активами.</w:t>
      </w:r>
    </w:p>
    <w:p w14:paraId="5C31326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быстрой ликвидности по формуле QR = (OA − Inv) / CL:</w:t>
      </w:r>
    </w:p>
    <w:p w14:paraId="6668B72C" w14:textId="7C5CC24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(214,7 - 78,3) / 97,6 = 136,4 / 97,6 = 1,40</m:t>
          </m:r>
        </m:oMath>
      </m:oMathPara>
    </w:p>
    <w:p w14:paraId="5A47ED9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QR = 1,40 превышает норматив (≥ 1,0), подтверждая способность компании погашать текущие обязательства без реализации запасов.</w:t>
      </w:r>
    </w:p>
    <w:p w14:paraId="1471EB0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абсолютной ликвидности по формуле CashR = (Cash + CE) / CL:</w:t>
      </w:r>
    </w:p>
    <w:p w14:paraId="71526872" w14:textId="5C8D725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89,4 / 97,6 = 0,92</m:t>
          </m:r>
        </m:oMath>
      </m:oMathPara>
    </w:p>
    <w:p w14:paraId="017DD5C1"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CashR = 0,92 существенно превышает норматив (≥ 0,2), что указывает на высокую обеспеченность компании ликвидными активами для немедленного погашения обязательств.</w:t>
      </w:r>
    </w:p>
    <w:p w14:paraId="537DF5C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Рентабельность собственного капитала по формуле ROE = NI / E:</w:t>
      </w:r>
    </w:p>
    <w:p w14:paraId="224B8527" w14:textId="66AB7A3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147,6 / 438,9 = 0,336, или 33,6%</m:t>
          </m:r>
        </m:oMath>
      </m:oMathPara>
    </w:p>
    <w:p w14:paraId="463FF9A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ROE = 33,6% является высоким для металлургической отрасли и свидетельствует об эффективном использовании акционерного капитала при умеренной долговой нагрузке.</w:t>
      </w:r>
    </w:p>
    <w:p w14:paraId="1F58E591" w14:textId="6E2327FE"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по формуле Z = 1,2·X₁ + 1,4·X₂ + 3,3·X₃ + 0,6·X₄ + 1,0·X₅:</m:t>
          </m:r>
        </m:oMath>
      </m:oMathPara>
    </w:p>
    <w:p w14:paraId="306BAF1D" w14:textId="2A38A3AB"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X₁ = (214,7 - 97,6) / 682,4 = 117,1 / 682,4 = 0,172; X₂ = 438,9 / 682,4 = 0,643; X₃ = 192,4 / 682,4 = 0,282; X₄ = 890,0 / (97,6 + 92,1) = 890,0 / 189,7 = 4,692; X₅ = 891,4 / 682,4 = 1,306.</m:t>
          </m:r>
        </m:oMath>
      </m:oMathPara>
    </w:p>
    <w:p w14:paraId="2E29B14B" w14:textId="3EC323A3"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0,172 + 1,4 · 0,643 + 3,3 · 0,282 + 0,6 · 4,692 + 1,0 · 1,306</m:t>
          </m:r>
        </m:oMath>
      </m:oMathPara>
    </w:p>
    <w:p w14:paraId="10836836" w14:textId="776D3705"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0,206 + 0,900 + 0,931 + 2,815 + 1,306 = 6,16</m:t>
          </m:r>
        </m:oMath>
      </m:oMathPara>
    </w:p>
    <w:p w14:paraId="1C418A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6,16 значительно превышает верхнюю границу зоны финансовой устойчивости (2,99), что подтверждает низкую вероятность финансовой несостоятельности компании в краткосрочной перспективе. Сводные показатели приведены в таблице 2.</w:t>
      </w:r>
    </w:p>
    <w:p w14:paraId="196D2023"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2 — Финансовые показатели ПАО «Северсталь» за 2025 год</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59624A" w:rsidRPr="004B6B88" w14:paraId="71F86AFB" w14:textId="77777777" w:rsidTr="008D7CA4">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769B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2C23F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6C253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DCF6E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1CDFD1EC"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D1D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текущей ликвидности (CR)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F45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FFB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07D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DCD4E81"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5064D"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быстрой ликвидности (QR)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FA15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CAF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438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1B3242A3"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998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абсолютной ликвидности (CashR)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71C7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C5CD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2B33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3B580CBD"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3322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Рентабельность собственного капитала (ROE)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781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FA6B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F86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0FDFA8A5"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D848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20F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4D2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4B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0C3F41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12557977" w14:textId="3AE8B39C"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«Магнитогорский металлургический комбинат» (ММК) — один из крупнейших российских сталепроизводителей, специализирующийся преимущественно на производстве плоского проката с высокой долей продаж на внутреннем рынке. По итогам 2025 года выручка компании составила 712,8 млрд руб., EBITDA — 162,3 млрд руб. (рентабельность по EBITDA 22,8%), чистая прибыль — 87,4 млрд руб. Совокупные активы — 589,3 млрд руб., собственный капитал — 378,6 млрд руб., оборотные активы — 178,4 млрд руб., запасы — 62,7 млрд руб., денежные средства и краткосрочные вложения — 71,3 млрд руб., краткосрочные обязательства — 84,2 млрд руб., долгосрочный долг — 58,4 млрд руб.</w:t>
      </w:r>
    </w:p>
    <w:p w14:paraId="4DDE3D55" w14:textId="61E3B7D9" w:rsidR="00C04D93" w:rsidRDefault="00C04D93" w:rsidP="0059624A">
      <w:pPr>
        <w:spacing w:before="60" w:after="60"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текущей ликвидности </w:t>
      </w:r>
      <w:r w:rsidRPr="00C04D93">
        <w:rPr>
          <w:rFonts w:ascii="Times New Roman" w:eastAsia="Times New Roman" w:hAnsi="Times New Roman" w:cs="Times New Roman"/>
          <w:sz w:val="28"/>
          <w:szCs w:val="28"/>
          <w:lang w:val="ru-RU"/>
        </w:rPr>
        <w:t>CR = OA / CL</w:t>
      </w:r>
      <w:r w:rsidRPr="004B6B88">
        <w:rPr>
          <w:rFonts w:ascii="Times New Roman" w:eastAsia="Times New Roman" w:hAnsi="Times New Roman" w:cs="Times New Roman"/>
          <w:sz w:val="28"/>
          <w:szCs w:val="28"/>
          <w:lang w:val="ru-RU"/>
        </w:rPr>
        <w:t>:</w:t>
      </w:r>
    </w:p>
    <w:p w14:paraId="474D12FB" w14:textId="4107316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178,4 / 84,2 = 2,12</m:t>
          </m:r>
        </m:oMath>
      </m:oMathPara>
    </w:p>
    <w:p w14:paraId="72DE09B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быстрой ликвидности QR = (OA − Inv) / CL:</w:t>
      </w:r>
    </w:p>
    <w:p w14:paraId="4B2785D9" w14:textId="3D22E49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(178,4 - 62,7) / 84,2 = 115,7 / 84,2 = 1,37</m:t>
          </m:r>
        </m:oMath>
      </m:oMathPara>
    </w:p>
    <w:p w14:paraId="4646C4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абсолютной ликвидности CashR = (Cash + CE) / CL:</w:t>
      </w:r>
    </w:p>
    <w:p w14:paraId="23DC07FB" w14:textId="2EC4AD9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71,3 / 84,2 = 0,85</m:t>
          </m:r>
        </m:oMath>
      </m:oMathPara>
    </w:p>
    <w:p w14:paraId="4B2AF92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4AA6411D" w14:textId="59E79EEF"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87,4 / 378,6 = 0,231, или 23,1%</m:t>
          </m:r>
        </m:oMath>
      </m:oMathPara>
    </w:p>
    <w:p w14:paraId="671CC27C" w14:textId="4B303608"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Z-счёт Альтмана: X₁ = (178,4 - 84,2) / 589,3 = 94,2 / 589,3 = 0,160; X₂ = 378,6 / 589,3 = 0,642; X₃ = 112,8 / 589,3 = 0,191; X₄ = 660,0 / (84,2 + 58,4) = 660,0 / 142,6 = 4,628; X₅ = 712,8 / 589,3 = 1,210.</m:t>
          </m:r>
        </m:oMath>
      </m:oMathPara>
    </w:p>
    <w:p w14:paraId="555DFDCA" w14:textId="6DB34ADA"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0,160 + 1,4 · 0,642 + 3,3 · 0,191 + 0,6 · 4,628 + 1,0 · 1,210</m:t>
          </m:r>
        </m:oMath>
      </m:oMathPara>
    </w:p>
    <w:p w14:paraId="11DE1A0F" w14:textId="7612241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0,192 + 0,899 + 0,630 + 2,777 + 1,210 = 5,71</m:t>
          </m:r>
        </m:oMath>
      </m:oMathPara>
    </w:p>
    <w:p w14:paraId="109A659A" w14:textId="086E862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5,71 подтверждает высокую финансовую устойчивость компании. ММК демонстрирует несколько более низкую рентабельность по сравнению с Северсталью, что объясняется в том числе более высокой долей внутренних продаж и меньшей вертикальной интеграцией по сырью. Сводные показатели приведены в таблице 3</w:t>
      </w:r>
    </w:p>
    <w:p w14:paraId="0E3888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3 — Финансовые показатели ПАО «ММК»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BC334C7"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DD7CF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02E0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C3A1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17CA9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7D5CCEF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AC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096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8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283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FB2235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41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8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E48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B81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76D440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29F2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CashR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0F0F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09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0C9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7897A02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1F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07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B94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A3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234FBCC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82B0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4E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308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604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6C8569F3"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50A7D5B" w14:textId="51842413"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«ГМК Норильский никель» — мировой лидер по производству никеля и палладия, один из крупнейших производителей платины и меди. [43]. Диверсифицированный продуктовый профиль компании обеспечивает устойчивость выручки к конъюнктурным колебаниям в отдельных сегментах. По итогам 2025 года выручка составила 1 214,7 млрд руб., чистая прибыль — </w:t>
      </w:r>
      <w:r>
        <w:rPr>
          <w:rFonts w:ascii="Times New Roman" w:eastAsia="Times New Roman" w:hAnsi="Times New Roman" w:cs="Times New Roman"/>
          <w:sz w:val="28"/>
          <w:szCs w:val="28"/>
          <w:lang w:val="ru-RU"/>
        </w:rPr>
        <w:lastRenderedPageBreak/>
        <w:t>163,2 млрд руб. Совокупные активы — 1 843,4 млрд руб., собственный капитал — 412,8 млрд руб. Оборотные активы — 386,4 млрд руб., запасы — 124,8 млрд руб., денежные средства и краткосрочные вложения — 118,6 млрд руб., краткосрочные обязательства — 247,3 млрд руб., долгосрочный долг — 842,6 млрд руб.</w:t>
      </w:r>
    </w:p>
    <w:p w14:paraId="3E77DC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1742EB2C" w14:textId="2376034D"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386,4 / 247,3 = 1,56</m:t>
          </m:r>
        </m:oMath>
      </m:oMathPara>
    </w:p>
    <w:p w14:paraId="7D44ACC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1,56 ниже нормативного (2,0), что обусловлено традиционно высокой долговой нагрузкой компании, характерной для крупных горнодобывающих предприятий с капиталоёмкими инвестиционными программами.</w:t>
      </w:r>
    </w:p>
    <w:p w14:paraId="4EA55E8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быстрой ликвидности QR = (OA − Inv) / CL:</w:t>
      </w:r>
    </w:p>
    <w:p w14:paraId="39285435" w14:textId="3B39C4F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(386,4 - 124,8) / 247,3 = 261,6 / 247,3 = 1,06</m:t>
          </m:r>
        </m:oMath>
      </m:oMathPara>
    </w:p>
    <w:p w14:paraId="5B33560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абсолютной ликвидности CashR = (Cash + CE) / CL:</w:t>
      </w:r>
    </w:p>
    <w:p w14:paraId="5B79715D" w14:textId="0EB24444"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118,6 / 247,3 = 0,48</m:t>
          </m:r>
        </m:oMath>
      </m:oMathPara>
    </w:p>
    <w:p w14:paraId="5CFED68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3779A9ED" w14:textId="7068FE2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163,2 / 412,8 = 0,395, или 39,5%</m:t>
          </m:r>
        </m:oMath>
      </m:oMathPara>
    </w:p>
    <w:p w14:paraId="5178C69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Высокое значение ROE = 39,5% при значительном финансовом рычаге (отношение долга к EBITDA около 2,5x) отражает характерную для Норникеля модель финансирования: компания исторически использует заёмный капитал для финансирования дивидендных выплат и инвестиционных программ.</w:t>
      </w:r>
    </w:p>
    <w:p w14:paraId="21681C86" w14:textId="6F49D26C"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(386,4 - 247,3) / 1 843,4 = 139,1 / 1 843,4 = 0,075; X₂ = 412,8 / 1 843,4 = 0,224; X₃ = 228,6 / 1 843,4 = 0,124; X₄ = 2 180,0 / (247,3 + 842,6) = 2 180,0 / 1 089,9 = 2,000; X₅ = 1 214,7 / 1 843,4 = 0,659.</m:t>
          </m:r>
        </m:oMath>
      </m:oMathPara>
    </w:p>
    <w:p w14:paraId="321B0FF4" w14:textId="566CE98F"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 = 1,2 · 0,075 + 1,4 · 0,224 + 3,3 · 0,124 + 0,6 · 2,000 + 1,0 · 0,659</m:t>
          </m:r>
        </m:oMath>
      </m:oMathPara>
    </w:p>
    <w:p w14:paraId="533FE439" w14:textId="26F31B9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0,090 + 0,314 + 0,409 + 1,200 + 0,659 = 2,67</m:t>
          </m:r>
        </m:oMath>
      </m:oMathPara>
    </w:p>
    <w:p w14:paraId="55233DB7"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2,67 попадает в зону неопределённости (1,81–2,99). Это не свидетельствует о реальной угрозе банкротства, однако отражает высокую долговую нагрузку, которая при ухудшении операционных показателей может создавать риски для рефинансирования. Результаты сведены в таблицу 4.</w:t>
      </w:r>
    </w:p>
    <w:p w14:paraId="44037B9C"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4 — Финансовые показатели ПАО «ГМК Норильский никель»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37891893"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9D94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005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FD9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3627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584BCE7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0A09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D648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2D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5DA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7D515E8"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F8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CE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7D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B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20682F4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6269"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CashR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3D2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9917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E127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823BB7" w:rsidRPr="004B6B88" w14:paraId="37FAC4F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335D" w14:textId="22B95E0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4D07" w14:textId="3C59071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39,5%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5E201" w14:textId="3E70C675"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C1FC0" w14:textId="077A419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r w:rsidR="00823BB7" w:rsidRPr="004B6B88" w14:paraId="2A3255D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79E7" w14:textId="6814B29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C8269" w14:textId="7D14F4C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2,67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3DAC6" w14:textId="27FF0B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2,99 /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B5AC" w14:textId="7E5D711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Зона неопред.</w:t>
            </w:r>
          </w:p>
        </w:tc>
      </w:tr>
    </w:tbl>
    <w:p w14:paraId="70290D00"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69D2CA72" w14:textId="0820DF7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«ЭН+ ГРУП» представляет собой вертикально интегрированный холдинг, объединяющий крупнейшего российского производителя алюминия (ПАО «РУСАЛ», в котором ЭН+ контролирует 56,9% акций) и гидроэлектростанции Сибири общей установленной мощностью более 19,6 ГВт. Двойственная бизнес-модель — металлургия и электроэнергетика — обеспечивает частичную внутреннюю диверсификацию денежных потоков. По итогам 2025 года выручка ЭН+ составила 1 087,3 млрд руб., чистая прибыль — 72,4 млрд руб. Совокупные активы — 2 146,8 млрд руб., собственный капитал — 398,7 млрд руб., оборотные активы — 287,4 млрд руб., </w:t>
      </w:r>
      <w:r>
        <w:rPr>
          <w:rFonts w:ascii="Times New Roman" w:eastAsia="Times New Roman" w:hAnsi="Times New Roman" w:cs="Times New Roman"/>
          <w:sz w:val="28"/>
          <w:szCs w:val="28"/>
          <w:lang w:val="ru-RU"/>
        </w:rPr>
        <w:lastRenderedPageBreak/>
        <w:t>запасы — 94,6 млрд руб., денежные средства — 63,8 млрд руб., краткосрочные обязательства — 213,4 млрд руб., долгосрочный долг — 1 124,3 млрд руб.</w:t>
      </w:r>
    </w:p>
    <w:p w14:paraId="56AD6A3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55D03138" w14:textId="77777777" w:rsidR="0059624A" w:rsidRPr="004B6B88" w:rsidRDefault="0059624A" w:rsidP="0059624A">
      <w:pPr>
        <w:spacing w:before="60" w:after="6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i/>
          <w:iCs/>
          <w:sz w:val="28"/>
          <w:szCs w:val="28"/>
          <w:lang w:val="ru-RU"/>
        </w:rPr>
        <w:t>CR = 287,4 / 213,4 = 1,35</w:t>
      </w:r>
    </w:p>
    <w:p w14:paraId="2EFD13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1,35 ниже норматива, что является типичной характеристикой крупных промышленных холдингов с активным использованием краткосрочного финансирования для оборотного капитала.</w:t>
      </w:r>
    </w:p>
    <w:p w14:paraId="3DE1ED6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быстрой ликвидности QR = (OA − Inv) / CL:</w:t>
      </w:r>
    </w:p>
    <w:p w14:paraId="1F5CF1A4" w14:textId="16CE0B0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(287,4 - 94,6) / 213,4 = 192,8 / 213,4 = 0,90</m:t>
          </m:r>
        </m:oMath>
      </m:oMathPara>
    </w:p>
    <w:p w14:paraId="4BAEF20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абсолютной ликвидности CashR = (Cash + CE) / CL:</w:t>
      </w:r>
    </w:p>
    <w:p w14:paraId="1187BB08" w14:textId="19E2836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63,8 / 213,4 = 0,30</m:t>
          </m:r>
        </m:oMath>
      </m:oMathPara>
    </w:p>
    <w:p w14:paraId="1F1ED6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7D09A0FA" w14:textId="156BB9D2"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72,4 / 398,7 = 0,182, или 18,2%</m:t>
          </m:r>
        </m:oMath>
      </m:oMathPara>
    </w:p>
    <w:p w14:paraId="757193B9" w14:textId="4027AA57"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(287,4 - 213,4) / 2 146,8 = 74,0 / 2 146,8 = 0,034; X₂ = 398,7 / 2 146,8 = 0,186; X₃ = 104,8 / 2 146,8 = 0,049; X₄ = 420,0 / (213,4 + 1 124,3) = 420,0 / 1 337,7 = 0,314; X₅ = 1 087,3 / 2 146,8 = 0,506.</m:t>
          </m:r>
        </m:oMath>
      </m:oMathPara>
    </w:p>
    <w:p w14:paraId="213D189E" w14:textId="49E64C30"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0,034 + 1,4 · 0,186 + 3,3 · 0,049 + 0,6 · 0,314 + 1,0 · 0,506</m:t>
          </m:r>
        </m:oMath>
      </m:oMathPara>
    </w:p>
    <w:p w14:paraId="3FE63B57" w14:textId="2B8A597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0,041 + 0,260 + 0,162 + 0,188 + 0,506 = 1,16</m:t>
          </m:r>
        </m:oMath>
      </m:oMathPara>
    </w:p>
    <w:p w14:paraId="49A5CB22" w14:textId="0D443E6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1,16 попадает в зону высокого риска банкротства (&lt; 1,81). Данный результат, однако, требует критического осмысления: модель Альтмана была откалибрована на американской выборке производственных компаний и недооценивает устойчивость крупных государственно-значимых холдингов с диверсифицированными денежными потоками и длинной долговой структурой. Тем не менее высокая долговая нагрузка ЭН+ (NetDebt / </w:t>
      </w:r>
      <w:r>
        <w:rPr>
          <w:rFonts w:ascii="Times New Roman" w:eastAsia="Times New Roman" w:hAnsi="Times New Roman" w:cs="Times New Roman"/>
          <w:sz w:val="28"/>
          <w:szCs w:val="28"/>
          <w:lang w:val="ru-RU"/>
        </w:rPr>
        <w:lastRenderedPageBreak/>
        <w:t>EBITDA ≈ 7,2x) является подтверждённым фактором повышенного кредитного риска. [50] Результаты приведены в таблице 5.</w:t>
      </w:r>
    </w:p>
    <w:p w14:paraId="65BF06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7781BA73" w14:textId="45222302"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5 — Финансовые показатели ПАО «ЭН+ ГРУП»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39537FB"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DAD5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369B4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EEFF1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D774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3CCC1C9F"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16E9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BE7C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7A9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BC6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34603DA1"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2E6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83B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D4F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01F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BD27BD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33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CashR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1AF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F5F6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C108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417E6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791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3319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307B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9DE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186A972"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221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B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18C8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&lt;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B7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Зона риска</w:t>
            </w:r>
          </w:p>
        </w:tc>
      </w:tr>
    </w:tbl>
    <w:p w14:paraId="171BB44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61F6CFC" w14:textId="5E9F0F52"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«ВСМПО-АВИСМА» является крупнейшим в мире производителем титановой продукции и занимает лидирующее положение в сегменте поставок авиационного титана для мировых производителей авиационной техники. В условиях санкционных ограничений 2022–2025 годов компания осуществляла переориентацию рынков сбыта в сторону российских и азиатских авиастроительных программ. По итогам 2025 года выручка составила 127,4 млрд руб., чистая прибыль — 18,3 млрд руб. Совокупные активы — 184,7 млрд руб., собственный капитал — 112,4 млрд руб., оборотные активы — 68,3 млрд руб., запасы — 29,7 млрд руб., денежные средства — 14,2 млрд руб., краткосрочные обязательства — 38,6 млрд руб., долгосрочный долг — 32,1 млрд руб.</w:t>
      </w:r>
    </w:p>
    <w:p w14:paraId="7EA4A89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0DE530D5" w14:textId="297256A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68,3 / 38,6 = 1,77</m:t>
          </m:r>
        </m:oMath>
      </m:oMathPara>
    </w:p>
    <w:p w14:paraId="2C8F0BD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Коэффициент быстрой ликвидности QR = (OA − Inv) / CL:</w:t>
      </w:r>
    </w:p>
    <w:p w14:paraId="06C6BE68" w14:textId="5995AD9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(68,3 - 29,7) / 38,6 = 38,6 / 38,6 = 1,00</m:t>
          </m:r>
        </m:oMath>
      </m:oMathPara>
    </w:p>
    <w:p w14:paraId="11835A33" w14:textId="6C1FE649"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абсолютной ликвидности </w:t>
      </w:r>
      <m:oMath>
        <m:r>
          <w:rPr>
            <w:rFonts w:ascii="Cambria Math" w:eastAsia="Times New Roman" w:hAnsi="Cambria Math" w:cs="Times New Roman"/>
            <w:sz w:val="28"/>
            <w:szCs w:val="28"/>
            <w:lang w:val="ru-RU"/>
          </w:rPr>
          <m:t>CashR = (Cash + CE) / CL:</m:t>
        </m:r>
      </m:oMath>
    </w:p>
    <w:p w14:paraId="772815C4" w14:textId="0CB04CD2"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CashR = 14,2 / 38,6 = 0,37</m:t>
          </m:r>
        </m:oMath>
      </m:oMathPara>
    </w:p>
    <w:p w14:paraId="57D7E5B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10951592" w14:textId="4B87507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18,3 / 112,4 = 0,163, или 16,3%</m:t>
          </m:r>
        </m:oMath>
      </m:oMathPara>
    </w:p>
    <w:p w14:paraId="42694553" w14:textId="263EB02D"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Z-счёт Альтмана: </w:t>
      </w:r>
      <m:oMath>
        <m:r>
          <w:rPr>
            <w:rFonts w:ascii="Cambria Math" w:eastAsia="Times New Roman" w:hAnsi="Cambria Math" w:cs="Times New Roman"/>
            <w:sz w:val="28"/>
            <w:szCs w:val="28"/>
            <w:lang w:val="ru-RU"/>
          </w:rPr>
          <m:t>X₁ = (68,3 - 38,6) / 184,7 = 29,7 / 184,7 = 0,161; X₂ = 112,4 / 184,7 = 0,608; X₃ = 24,6 / 184,7 = 0,133; X₄ = 98,0 / (38,6 + 32,1) = 98,0 / 70,7 = 1,386; X₅ = 127,4 / 184,7 = 0,690.</m:t>
        </m:r>
      </m:oMath>
    </w:p>
    <w:p w14:paraId="5B955F56" w14:textId="77FEB5B6"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0,161 + 1,4 · 0,608 + 3,3 · 0,133 + 0,6 · 1,386 + 1,0 · 0,690</m:t>
          </m:r>
        </m:oMath>
      </m:oMathPara>
    </w:p>
    <w:p w14:paraId="0C774C73" w14:textId="3F90B3F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0,193 + 0,851 + 0,439 + 0,832 + 0,690 = 3,01</m:t>
          </m:r>
        </m:oMath>
      </m:oMathPara>
    </w:p>
    <w:p w14:paraId="57BC81F6" w14:textId="264027F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3,01 незначительно превышает нижнюю границу зоны финансовой устойчивости (2,99). Компания находится вблизи пограничного значения, что в совокупности с умеренным текущим коэффициентом ликвидности и рисками переориентации рынков сбыта требует мониторинга. [43,50]. Результаты приведены в таблице 6 </w:t>
      </w:r>
    </w:p>
    <w:p w14:paraId="75D29E52"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6 — Финансовые показатели ПАО «ВСМПО-АВИСМА»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865AEA4"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10957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42E2C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03B3E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89DA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2B2ED33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9BDA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24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1,77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808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8F5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227CCC1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ABD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782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F2FE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D87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 (граница)</w:t>
            </w:r>
          </w:p>
        </w:tc>
      </w:tr>
      <w:tr w:rsidR="0059624A" w:rsidRPr="004B6B88" w14:paraId="66A2AE15"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B23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CashR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8181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F2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DCE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3F140AC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D5A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36DB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87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5C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E6C42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FF8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F0DC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7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0F22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22EFA52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57008527" w14:textId="33D2395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удобства сравнительного анализа финансовые показатели всех пяти ключевых эмитентов портфеля сведены в таблице 7.</w:t>
      </w:r>
    </w:p>
    <w:p w14:paraId="4A0119B6"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7 — Сравнительный анализ финансовых показателей эмитентов за 2025 год</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592"/>
        <w:gridCol w:w="1417"/>
      </w:tblGrid>
      <w:tr w:rsidR="0059624A" w:rsidRPr="004B6B88" w14:paraId="69CD0679" w14:textId="77777777" w:rsidTr="008D7CA4">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2E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ADB8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CR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84C81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QR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FC7A3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CashR</w:t>
            </w:r>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9466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ROE,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3DCC2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Z-счёт</w:t>
            </w:r>
          </w:p>
        </w:tc>
      </w:tr>
      <w:tr w:rsidR="0059624A" w:rsidRPr="004B6B88" w14:paraId="1DE2E24A"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2CC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43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85D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1B4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6DCA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BF56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r>
      <w:tr w:rsidR="0059624A" w:rsidRPr="004B6B88" w14:paraId="40A82FCC"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FF14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6D8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EA4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E74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75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E21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r>
      <w:tr w:rsidR="0059624A" w:rsidRPr="004B6B88" w14:paraId="6273F77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7B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D67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8D7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15C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F4AF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39,5</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B86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r>
      <w:tr w:rsidR="0059624A" w:rsidRPr="004B6B88" w14:paraId="75F9A3DD"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A0B2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30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6FE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F1E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1E8E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084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r>
      <w:tr w:rsidR="00823BB7" w:rsidRPr="004B6B88" w14:paraId="0C3CC9A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7906" w14:textId="0EC24C8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«ВСМПО-АВИСМА»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BC668" w14:textId="4EFFA46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42DE" w14:textId="4052BB7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3C9A" w14:textId="40EE98F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0,37</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C6D3" w14:textId="1C6F730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16,3</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4F30" w14:textId="7A9BD27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3,01</w:t>
            </w:r>
          </w:p>
        </w:tc>
      </w:tr>
    </w:tbl>
    <w:p w14:paraId="65904F54"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3F2E0E1F" w14:textId="062F7461"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позволяет сделать следующие выводы. Во-первых, стальные компании — Северсталь и ММК — демонстрируют наиболее устойчивые показатели ликвидности и минимальный кредитный риск по модели Альтмана, что делает их опорными позициями портфеля с точки зрения фундаментального качества. Во-вторых, Норильский никель обеспечивает наивысшую рентабельность капитала в выборке, однако его кредитный профиль по Z-счёту остаётся в зоне неопределённости ввиду значительного долгового бремени. В-третьих, ЭН+ демонстрирует признаки повышенного финансового риска: пониженная ликвидность, высокий леверидж и Z-счёт в зоне риска требуют взвешенной оценки доли этого </w:t>
      </w:r>
      <w:r>
        <w:rPr>
          <w:rFonts w:ascii="Times New Roman" w:eastAsia="Times New Roman" w:hAnsi="Times New Roman" w:cs="Times New Roman"/>
          <w:sz w:val="28"/>
          <w:szCs w:val="28"/>
          <w:lang w:val="ru-RU"/>
        </w:rPr>
        <w:lastRenderedPageBreak/>
        <w:t>эмитента в портфеле. ВСМПО-АВИСМА занимает промежуточную позицию с умеренными показателями и специфическими отраслевыми рисками, связанными с санкционным давлением на авиационный сектор.</w:t>
      </w:r>
    </w:p>
    <w:p w14:paraId="20E70143" w14:textId="7777777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p>
    <w:p w14:paraId="64E09F5D" w14:textId="77777777" w:rsidR="0059624A" w:rsidRPr="004B6B88" w:rsidRDefault="0059624A" w:rsidP="004B6B88">
      <w:pPr>
        <w:pStyle w:val="2"/>
        <w:spacing w:line="360" w:lineRule="auto"/>
        <w:rPr>
          <w:rFonts w:cs="Times New Roman"/>
          <w:lang w:val="ru-RU"/>
        </w:rPr>
      </w:pPr>
      <w:bookmarkStart w:id="9" w:name="_Toc233526125"/>
      <w:r>
        <w:rPr>
          <w:rFonts w:cs="Times New Roman"/>
          <w:lang w:val="ru-RU"/>
        </w:rPr>
        <w:t>2.3. Анализ показателей качества инвестиционного портфеля</w:t>
      </w:r>
      <w:bookmarkEnd w:id="9"/>
    </w:p>
    <w:p w14:paraId="3D6E517B" w14:textId="77777777" w:rsidR="0059624A" w:rsidRPr="004B6B88" w:rsidRDefault="0059624A"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184EA667" w14:textId="74772B35"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Оценка качества портфеля ОПИФ РФИ «ВИМ-Металлургия» проводится по методологии, </w:t>
      </w:r>
      <w:r w:rsidR="00C04D93">
        <w:rPr>
          <w:rFonts w:ascii="Times New Roman" w:eastAsia="Times New Roman" w:hAnsi="Times New Roman" w:cs="Times New Roman"/>
          <w:sz w:val="28"/>
          <w:szCs w:val="28"/>
          <w:lang w:val="ru-RU"/>
        </w:rPr>
        <w:t xml:space="preserve">приведенной </w:t>
      </w:r>
      <w:r>
        <w:rPr>
          <w:rFonts w:ascii="Times New Roman" w:eastAsia="Times New Roman" w:hAnsi="Times New Roman" w:cs="Times New Roman"/>
          <w:sz w:val="28"/>
          <w:szCs w:val="28"/>
          <w:lang w:val="ru-RU"/>
        </w:rPr>
        <w:t>в разделе 1.2: последовательно рассчитываются матрица корреляций активов, показатель Value at Risk, а также риск-скорректированные коэффициенты эффективности управления. Расчёты основаны на исторических данных о доходностях позиций портфеля за 2024–2025 годы (504 торговых дня) [47,50].</w:t>
      </w:r>
    </w:p>
    <w:p w14:paraId="1C527B50" w14:textId="4B47145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Для оценки внутренней диверсификации портфеля рассчитана матрица парных коэффициентов корреляции доходностей ключевых эмитентов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В основу расчёта положены ежедневные логарифмические доходности акций за 2024–2025 годы. Полученные значения представлены в таблице 8[28].</w:t>
      </w:r>
    </w:p>
    <w:p w14:paraId="41BCEBD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235160E4" w14:textId="77777777" w:rsidR="0059624A" w:rsidRPr="004B6B88" w:rsidRDefault="0059624A" w:rsidP="0059624A">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8 — Матрица корреляций доходностей акций эмитентов портфеля (2024–2025 гг.)</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59624A" w:rsidRPr="004B6B88" w14:paraId="0232C259" w14:textId="77777777" w:rsidTr="008D7CA4">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FEC07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2AE44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838CF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C2F90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77414"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8CFF8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ВСМПО</w:t>
            </w:r>
          </w:p>
        </w:tc>
      </w:tr>
      <w:tr w:rsidR="0059624A" w:rsidRPr="004B6B88" w14:paraId="38F111E5"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672B9"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Северсталь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C0B5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A56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9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C9E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E76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r>
      <w:tr w:rsidR="0059624A" w:rsidRPr="004B6B88" w14:paraId="27E4E75D"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85B1B"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ММК</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D746"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88A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0C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1E35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C0B9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r>
      <w:tr w:rsidR="0059624A" w:rsidRPr="004B6B88" w14:paraId="28BAE030"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8FEA"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Норникель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9AF2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1D0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3F5F"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EA8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89CFA"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r>
      <w:tr w:rsidR="0059624A" w:rsidRPr="004B6B88" w14:paraId="4DC0C961"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6236"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ЭН+</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F841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C25D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4E37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6A918"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A9ED"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r>
      <w:tr w:rsidR="0059624A" w:rsidRPr="004B6B88" w14:paraId="3959FDA2"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77BC"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ВСМПО</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05DE8"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7BC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3E3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9913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AEE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7E6505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C63F349" w14:textId="3684949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Анализ матрицы корреляций выявляет следующие закономерности. Попарная корреляция между двумя сталелитейными компаниями — Северсталью и ММК — составляет ρ = 0,874, что является высоким значением и свидетельствует о практически синхронном движении котировок. Это закономерно: обе компании реагируют на одни и те же внутренние и внешние драйверы — цены на сталь, строительный спрос и политику в отношении отрасли. Высокое значение ρ = 0,743 между Норильским никелем и ЭН+ объясняется структурной связью: алюминий и цветные металлы испытывают схожую зависимость от глобального промышленного спроса. Средние значения корреляции в диапазоне 0,56–0,63 между стальным и цветным субсекторами отражают определённую отраслевую взаимосвязь, обусловленную общей зависимостью от макроэкономического цикла.[35]</w:t>
      </w:r>
    </w:p>
    <w:p w14:paraId="317923A4" w14:textId="59C97ED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Наиболее низкие коэффициенты корреляции демонстрирует ВСМПО-АВИСМА (ρ = 0,341–0,412), что объясняется специфичностью её продуктового профиля и клиентской базы (авиационный сектор). Однако небольшой вес этой позиции (9,3%) в портфеле не позволяет ей оказать существенного диверсификационного воздействия на совокупный риск.[42]</w:t>
      </w:r>
    </w:p>
    <w:p w14:paraId="0F59288B" w14:textId="1E3BA9F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совокупности средняя попарная корреляция по портфелю составляет порядка 0,61, что соответствует высокому уровню взаимосвязи. Для сравнения: при полностью диверсифицированном портфеле из некоррелированных активов среднее ρ стремится к нулю. Значение 0,61 свидетельствует о том, что портфель Фонда в значительной мере является </w:t>
      </w:r>
      <w:r>
        <w:rPr>
          <w:rFonts w:ascii="Times New Roman" w:eastAsia="Times New Roman" w:hAnsi="Times New Roman" w:cs="Times New Roman"/>
          <w:sz w:val="28"/>
          <w:szCs w:val="28"/>
          <w:lang w:val="ru-RU"/>
        </w:rPr>
        <w:lastRenderedPageBreak/>
        <w:t>концентрированным отраслевым, а не диверсифицированным: в условиях общеотраслевого спада (например, падения глобального спроса на металлы или ужесточения санкций) большинство позиций будут снижаться одновременно.[28]</w:t>
      </w:r>
    </w:p>
    <w:p w14:paraId="6A75076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Параметры доходности и риска. На основе исторических данных за 2024–2025 годы рассчитаны основные параметры портфеля. Средневзвешенная дневная доходность портфеля составила μp = 0,029% (порядка 7,3% годовых). Стандартное отклонение дневных доходностей σp = 1,84%. Для сравнения: доходность индекса МосБиржи за тот же период составила около 4,1% годовых при σm = 1,52%.</w:t>
      </w:r>
    </w:p>
    <w:p w14:paraId="26AAE3E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Дисперсия портфеля рассчитана по формуле (7): σ²p = ΣᵢΣⱼ wᵢ · wⱼ · Cov(Rᵢ, Rⱼ), где веса wᵢ соответствуют структуре портфеля на 31.12.2025. Полученное значение σ²p = 0,000338 (в единицах дневных доходностей) соответствует σp = 1,84%. Более высокая волатильность портфеля по сравнению с рыночным индексом (σm = 1,52%) подтверждает агрессивный профиль отраслевого фонда.</w:t>
      </w:r>
    </w:p>
    <w:p w14:paraId="07557061" w14:textId="77777777" w:rsidR="00B1614D"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Показатель Value at Risk. Параметрический VaR рассчитан по формуле (11): </w:t>
      </w:r>
    </w:p>
    <w:p w14:paraId="34C62E3D" w14:textId="77777777" w:rsidR="00B1614D" w:rsidRPr="00B1614D" w:rsidRDefault="00B1614D"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α, T</m:t>
              </m:r>
            </m:e>
          </m:d>
          <m:r>
            <w:rPr>
              <w:rFonts w:ascii="Cambria Math" w:eastAsia="Times New Roman" w:hAnsi="Cambria Math" w:cs="Times New Roman"/>
              <w:sz w:val="28"/>
              <w:szCs w:val="28"/>
              <w:lang w:val="ru-RU"/>
            </w:rPr>
            <m:t>= -</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 xml:space="preserve">μp · T - zα · σp · </m:t>
              </m:r>
              <m:rad>
                <m:radPr>
                  <m:degHide m:val="1"/>
                  <m:ctrlPr>
                    <w:rPr>
                      <w:rFonts w:ascii="Cambria Math" w:eastAsia="Times New Roman" w:hAnsi="Cambria Math" w:cs="Times New Roman"/>
                      <w:i/>
                      <w:sz w:val="28"/>
                      <w:szCs w:val="28"/>
                      <w:lang w:val="ru-RU"/>
                    </w:rPr>
                  </m:ctrlPr>
                </m:radPr>
                <m:deg/>
                <m:e>
                  <m:r>
                    <w:rPr>
                      <w:rFonts w:ascii="Cambria Math" w:eastAsia="Times New Roman" w:hAnsi="Cambria Math" w:cs="Times New Roman"/>
                      <w:sz w:val="28"/>
                      <w:szCs w:val="28"/>
                      <w:lang w:val="ru-RU"/>
                    </w:rPr>
                    <m:t>T</m:t>
                  </m:r>
                </m:e>
              </m:rad>
            </m:e>
          </m:d>
          <m:r>
            <w:rPr>
              <w:rFonts w:ascii="Cambria Math" w:eastAsia="Times New Roman" w:hAnsi="Cambria Math" w:cs="Times New Roman"/>
              <w:sz w:val="28"/>
              <w:szCs w:val="28"/>
              <w:lang w:val="ru-RU"/>
            </w:rPr>
            <m:t>· V,</m:t>
          </m:r>
        </m:oMath>
      </m:oMathPara>
    </w:p>
    <w:p w14:paraId="5B871792" w14:textId="77777777" w:rsidR="00B1614D" w:rsidRPr="00B1614D"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где T = 1 торговый день, α = 5%, zα = 1,645,</m:t>
          </m:r>
        </m:oMath>
      </m:oMathPara>
    </w:p>
    <w:p w14:paraId="53DF90DB" w14:textId="68A0332C" w:rsidR="003E1833" w:rsidRPr="004B6B88"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V = 860 млн руб. (СЧА на 31.12.2025). </m:t>
          </m:r>
        </m:oMath>
      </m:oMathPara>
    </w:p>
    <w:p w14:paraId="04F4C4D9" w14:textId="3D2F1FB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Подстановка значений:</w:t>
      </w:r>
    </w:p>
    <w:p w14:paraId="3D305C59" w14:textId="27976380"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1 - 1,645 · 0,0184 · √1) · 860 000 000</m:t>
          </m:r>
        </m:oMath>
      </m:oMathPara>
    </w:p>
    <w:p w14:paraId="03539FEC" w14:textId="6DBB1FF5"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-(0,00029 - 0,03027) · 860 000 000</m:t>
          </m:r>
        </m:oMath>
      </m:oMathPara>
    </w:p>
    <w:p w14:paraId="3A2ACF31" w14:textId="4895FD9C"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-(-0,02998) · 860 000 000 = 25,78 млн руб.</m:t>
          </m:r>
        </m:oMath>
      </m:oMathPara>
    </w:p>
    <w:p w14:paraId="175B55F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Экономическая интерпретация: при нормальных рыночных условиях с вероятностью 95% однодневные потери портфеля не превысят 25,78 млн рублей, или 3,0% от СЧА. Для горизонта T = 20 торговых дней (календарный месяц) VaR масштабируется с применением правила квадратного корня:</w:t>
      </w:r>
    </w:p>
    <w:p w14:paraId="25FD699A" w14:textId="737826AE"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-(0,00029 · 20 - 1,645 · 0,0184 · √20) · 860 000 000</m:t>
          </m:r>
        </m:oMath>
      </m:oMathPara>
    </w:p>
    <w:p w14:paraId="05C90B5F" w14:textId="2B5D6BEB"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-(0,0058 - 0,13534) · 860 000 000 = 111,1 млн руб.</m:t>
          </m:r>
        </m:oMath>
      </m:oMathPara>
    </w:p>
    <w:p w14:paraId="0CC5E7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 с вероятностью 95% в течение одного торгового месяца потери портфеля не превысят 111,1 млн рублей, или 12,9% от СЧА. Данное значение является значимым для портфеля с отраслевой концентрацией и подчёркивает необходимость мониторинга и управления рисками.</w:t>
      </w:r>
    </w:p>
    <w:p w14:paraId="1F4EBE84" w14:textId="0866E994" w:rsidR="0059624A" w:rsidRPr="004B6B88" w:rsidRDefault="00B1614D" w:rsidP="0059624A">
      <w:pPr>
        <w:spacing w:line="360" w:lineRule="auto"/>
        <w:ind w:firstLine="709"/>
        <w:jc w:val="both"/>
        <w:rPr>
          <w:rFonts w:ascii="Times New Roman" w:eastAsia="Times New Roman" w:hAnsi="Times New Roman" w:cs="Times New Roman"/>
          <w:sz w:val="28"/>
          <w:szCs w:val="28"/>
          <w:lang w:val="ru-RU"/>
        </w:rPr>
      </w:pPr>
      <w:r w:rsidRPr="00B1614D">
        <w:rPr>
          <w:rFonts w:ascii="Times New Roman" w:eastAsia="Times New Roman" w:hAnsi="Times New Roman" w:cs="Times New Roman"/>
          <w:sz w:val="28"/>
          <w:szCs w:val="28"/>
          <w:lang w:val="ru-RU"/>
        </w:rPr>
        <w:t>Риск-скорректированные показатели</w:t>
      </w:r>
      <w:r>
        <w:rPr>
          <w:rFonts w:ascii="Times New Roman" w:eastAsia="Times New Roman" w:hAnsi="Times New Roman" w:cs="Times New Roman"/>
          <w:sz w:val="28"/>
          <w:szCs w:val="28"/>
          <w:lang w:val="ru-RU"/>
        </w:rPr>
        <w:t xml:space="preserve">. </w:t>
      </w:r>
      <w:r w:rsidR="0059624A">
        <w:rPr>
          <w:rFonts w:ascii="Times New Roman" w:eastAsia="Times New Roman" w:hAnsi="Times New Roman" w:cs="Times New Roman"/>
          <w:sz w:val="28"/>
          <w:szCs w:val="28"/>
          <w:lang w:val="ru-RU"/>
        </w:rPr>
        <w:t>В качестве безрисковой ставки принята доходность годовых ОФЗ на конец 2025 года: Rf = 16,5% годовых (0,0654% в день). Доходность индекса МосБиржи (металлургия) принята в качестве рыночного бенчмарка: Rm = 4,1% годовых.</w:t>
      </w:r>
    </w:p>
    <w:p w14:paraId="2AEF9D74" w14:textId="233541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Шарпа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Приводятся годовые значения: </w:t>
      </w:r>
      <m:oMath>
        <m:r>
          <w:rPr>
            <w:rFonts w:ascii="Cambria Math" w:eastAsia="Times New Roman" w:hAnsi="Cambria Math" w:cs="Times New Roman"/>
            <w:sz w:val="28"/>
            <w:szCs w:val="28"/>
            <w:lang w:val="ru-RU"/>
          </w:rPr>
          <m:t>Rp = 7,3%; Rf = 16,5%; σp годовое = 1,84% · √252 = 29,2%.</m:t>
        </m:r>
      </m:oMath>
    </w:p>
    <w:p w14:paraId="45783A44" w14:textId="7E80E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 = (7,3% - 16,5%) / 29,2% = -9,2% / 29,2% = -0,315</m:t>
          </m:r>
        </m:oMath>
      </m:oMathPara>
    </w:p>
    <w:p w14:paraId="3060155A"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Отрицательное значение коэффициента Шарпа (−0,315) означает, что за анализируемый период портфель Фонда не компенсировал инвесторам альтернативную стоимость капитала: доходность портфеля оказалась ниже безрисковой ставки. Это является следствием высокого уровня ключевой ставки Банка России, существенно повысившего «планку» безрисковой доходности (ОФЗ, депозиты), а не только результатом управленческих решений по портфелю.</w:t>
      </w:r>
    </w:p>
    <w:p w14:paraId="711FDE95" w14:textId="7CB436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Коэффициент Сортино по формуле (13): </w:t>
      </w:r>
      <m:oMath>
        <m:r>
          <w:rPr>
            <w:rFonts w:ascii="Cambria Math" w:eastAsia="Times New Roman" w:hAnsi="Cambria Math" w:cs="Times New Roman"/>
            <w:sz w:val="28"/>
            <w:szCs w:val="28"/>
            <w:lang w:val="ru-RU"/>
          </w:rPr>
          <m:t>Sortino = (Rp - Rf) / σd</m:t>
        </m:r>
      </m:oMath>
      <w:r>
        <w:rPr>
          <w:rFonts w:ascii="Times New Roman" w:eastAsia="Times New Roman" w:hAnsi="Times New Roman" w:cs="Times New Roman"/>
          <w:sz w:val="28"/>
          <w:szCs w:val="28"/>
          <w:lang w:val="ru-RU"/>
        </w:rPr>
        <w:t>. Полустандартное отклонение σd рассчитано только по дням с отрицательной доходностью: σd = 1,24% в день, или 19,7% годовых.</w:t>
      </w:r>
    </w:p>
    <w:p w14:paraId="6EAADF81" w14:textId="35493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Sortino = (7,3% - 16,5%) / 19,7% = -9,2% / 19,7% = -0,467</m:t>
          </m:r>
        </m:oMath>
      </m:oMathPara>
    </w:p>
    <w:p w14:paraId="2C4D4EE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Сортино также принимает отрицательное значение (−0,467), что согласуется с результатом по Шарпу. При этом его абсолютное значение выше, что отражает существенную долю отрицательных отклонений в распределении доходностей.</w:t>
      </w:r>
    </w:p>
    <w:p w14:paraId="2CD9A5B4" w14:textId="3C05E20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Бета-коэффициент портфеля по формуле (10): </w:t>
      </w:r>
      <m:oMath>
        <m:r>
          <w:rPr>
            <w:rFonts w:ascii="Cambria Math" w:eastAsia="Times New Roman" w:hAnsi="Cambria Math" w:cs="Times New Roman"/>
            <w:sz w:val="28"/>
            <w:szCs w:val="28"/>
            <w:lang w:val="ru-RU"/>
          </w:rPr>
          <m:t>βp = Cov(Rp, Rm) / Var(Rm)</m:t>
        </m:r>
      </m:oMath>
      <w:r>
        <w:rPr>
          <w:rFonts w:ascii="Times New Roman" w:eastAsia="Times New Roman" w:hAnsi="Times New Roman" w:cs="Times New Roman"/>
          <w:sz w:val="28"/>
          <w:szCs w:val="28"/>
          <w:lang w:val="ru-RU"/>
        </w:rPr>
        <w:t>. На основе регрессии дневных доходностей портфеля на доходности индекса МосБиржи:</w:t>
      </w:r>
    </w:p>
    <w:p w14:paraId="34B6A86F" w14:textId="6EA1F576"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βp = 0,000312 / 0,000231 = 1,35</m:t>
          </m:r>
        </m:oMath>
      </m:oMathPara>
    </w:p>
    <w:p w14:paraId="5E686D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βp = 1,35 свидетельствует о том, что портфель более чувствителен к рыночным движениям, чем бенчмарк: при росте индекса на 1% портфель в среднем прирастает на 1,35%, при падении — снижается соразмерно. Это типично для концентрированного отраслевого фонда сырьевого сектора.</w:t>
      </w:r>
    </w:p>
    <w:p w14:paraId="672DB8C3" w14:textId="008EED0F"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Трейнора по формуле (14): </w:t>
      </w:r>
      <m:oMath>
        <m:r>
          <w:rPr>
            <w:rFonts w:ascii="Cambria Math" w:eastAsia="Times New Roman" w:hAnsi="Cambria Math" w:cs="Times New Roman"/>
            <w:sz w:val="28"/>
            <w:szCs w:val="28"/>
            <w:lang w:val="ru-RU"/>
          </w:rPr>
          <m:t>Treynor = (Rp - Rf) / βp:</m:t>
        </m:r>
      </m:oMath>
    </w:p>
    <w:p w14:paraId="6015ED86" w14:textId="6D850E3F"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Treynor = (7,3% - 16,5%) / 1,35 = -9,2% / 1,35 = -6,81%</m:t>
          </m:r>
        </m:oMath>
      </m:oMathPara>
    </w:p>
    <w:p w14:paraId="444621F8" w14:textId="332CF9C7"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Альфа Дженсена по формуле (15): </w:t>
      </w:r>
      <m:oMath>
        <m:r>
          <w:rPr>
            <w:rFonts w:ascii="Cambria Math" w:eastAsia="Times New Roman" w:hAnsi="Cambria Math" w:cs="Times New Roman"/>
            <w:sz w:val="28"/>
            <w:szCs w:val="28"/>
            <w:lang w:val="ru-RU"/>
          </w:rPr>
          <m:t>α = Rp - [Rf + βp · (Rm - Rf)]:</m:t>
        </m:r>
      </m:oMath>
    </w:p>
    <w:p w14:paraId="5191FD56" w14:textId="74341594"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(4,1% - 16,5%)]</m:t>
          </m:r>
        </m:oMath>
      </m:oMathPara>
    </w:p>
    <w:p w14:paraId="68B0A8B4" w14:textId="0918A859"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(-12,4%)] = 7,3% - [16,5% - 16,74%] = 7,3% - (-0,24%) = 7,54%</m:t>
          </m:r>
        </m:oMath>
      </m:oMathPara>
    </w:p>
    <w:p w14:paraId="5C44E0C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Положительная альфа Дженсена (α = 7,54%) в сложившихся условиях означает, что с поправкой на CAPM портфель показал доходность выше теоретически предсказанной для его уровня систематического риска. Данный результат обусловлен прежде всего тем, что CAPM-прогноз при отрицательной ожидаемой рыночной премии (Rm &lt; Rf) предсказывал ещё более низкую доходность, чем фактически реализованная. Таким образом, положительная альфа в данном контексте не является свидетельством «победы над рынком» в классическом смысле, а отражает особенности применения CAPM в среде высоких безрисковых ставок.</w:t>
      </w:r>
    </w:p>
    <w:p w14:paraId="596FEE8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Показатель максимальной просадки. За период 2024–2025 годов максимальная стоимость портфеля (Vpeak) фиксировалась в мае 2024 года и составляла 940 млн руб. Минимальное значение СЧА (Vtrough) после этого пика было зафиксировано в октябре 2024 года на уровне 742 млн руб. По формуле (16):</w:t>
      </w:r>
    </w:p>
    <w:p w14:paraId="361ED91C" w14:textId="0B270A95"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MDD = (940 - 742) / 940 = 198 / 940 = 0,211, или 21,1%</m:t>
          </m:r>
        </m:oMath>
      </m:oMathPara>
    </w:p>
    <w:p w14:paraId="587BCAC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Максимальная просадка в 21,1% является значимым показателем риска: инвестор, вошедший в фонд на пике мая 2024 года, потерял бы пятую часть вложенного капитала к октябрю 2024 года. Данная величина просадки характерна для концентрированных отраслевых фондов в периоды отраслевых коррекций и должна быть принята во внимание при риск-профилировании пайщиков.</w:t>
      </w:r>
    </w:p>
    <w:p w14:paraId="201E482C" w14:textId="5A53A8D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Все рассчитанные портфельные показатели сведены в таблице 9 для удобства интерпретации.[35]</w:t>
      </w:r>
    </w:p>
    <w:p w14:paraId="44C395B4" w14:textId="68C0A027" w:rsidR="0059624A" w:rsidRPr="00B1614D" w:rsidRDefault="0059624A" w:rsidP="0059624A">
      <w:pPr>
        <w:spacing w:before="120" w:after="60" w:line="360" w:lineRule="auto"/>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lang w:val="ru-RU"/>
        </w:rPr>
        <w:t>Таблица 9 — Сводные показатели качества портфеля ОПИФ РФИ «ВИМ-Металлургия» (2024–2025 гг.)</w:t>
      </w:r>
      <w:r w:rsidR="00B1614D">
        <w:rPr>
          <w:rFonts w:ascii="Times New Roman" w:eastAsia="Times New Roman" w:hAnsi="Times New Roman" w:cs="Times New Roman"/>
          <w:sz w:val="28"/>
          <w:szCs w:val="28"/>
          <w:lang w:val="ru-RU"/>
        </w:rPr>
        <w:t xml:space="preserve">   </w:t>
      </w:r>
      <w:r w:rsidR="00B1614D" w:rsidRPr="00B1614D">
        <w:rPr>
          <w:rFonts w:ascii="Times New Roman" w:eastAsia="Times New Roman" w:hAnsi="Times New Roman" w:cs="Times New Roman"/>
          <w:color w:val="FF0000"/>
          <w:sz w:val="28"/>
          <w:szCs w:val="28"/>
          <w:lang w:val="ru-RU"/>
        </w:rPr>
        <w:t>Шапку от таблицы не отрываем</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51"/>
      </w:tblGrid>
      <w:tr w:rsidR="0059624A" w:rsidRPr="004B6B88" w14:paraId="763A83BD" w14:textId="77777777" w:rsidTr="008D7CA4">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52EC7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lastRenderedPageBreak/>
              <w:t>Показатель</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455A8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3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AFD99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Интерпретация</w:t>
            </w:r>
          </w:p>
        </w:tc>
      </w:tr>
      <w:tr w:rsidR="0059624A" w:rsidRPr="004B6B88" w14:paraId="7A71BCB4"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D1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Доходность портфеля (Rp),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7F3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B5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безрисковой ставки</w:t>
            </w:r>
          </w:p>
        </w:tc>
      </w:tr>
      <w:tr w:rsidR="0059624A" w:rsidRPr="004B6B88" w14:paraId="2E68CE69"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1350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Стандартное отклонение (σp),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C669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9BF3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 уровень риска</w:t>
            </w:r>
          </w:p>
        </w:tc>
      </w:tr>
      <w:tr w:rsidR="0059624A" w:rsidRPr="004B6B88" w14:paraId="546C4615"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3658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VaR (5%, 1 день),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3F5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9CF2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 от СЧА</w:t>
            </w:r>
          </w:p>
        </w:tc>
      </w:tr>
      <w:tr w:rsidR="0059624A" w:rsidRPr="004B6B88" w14:paraId="4406B5B1"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981B3"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VaR (5%, 20 дней),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835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C69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12,9% от СЧА</w:t>
            </w:r>
          </w:p>
        </w:tc>
      </w:tr>
      <w:tr w:rsidR="0059624A" w:rsidRPr="004B6B88" w14:paraId="69C6917C"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1B4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4FDD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AE2A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Агрессивный профиль</w:t>
            </w:r>
          </w:p>
        </w:tc>
      </w:tr>
      <w:tr w:rsidR="0059624A" w:rsidRPr="004B6B88" w14:paraId="0FFF685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3A5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B0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1F8B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безрискового актива</w:t>
            </w:r>
          </w:p>
        </w:tc>
      </w:tr>
      <w:tr w:rsidR="0059624A" w:rsidRPr="004B6B88" w14:paraId="0A340918"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7021"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Сортино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1929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−0,467</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21E5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Значимый downside risk</w:t>
            </w:r>
          </w:p>
        </w:tc>
      </w:tr>
      <w:tr w:rsidR="0059624A" w:rsidRPr="00EB1E9C" w14:paraId="71A8DF2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D847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Трейнора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52D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−6,81%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25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Отриц. на ед. сист. риска</w:t>
            </w:r>
          </w:p>
        </w:tc>
      </w:tr>
      <w:tr w:rsidR="0059624A" w:rsidRPr="004B6B88" w14:paraId="47E920EA"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6D1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F40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+7,54%</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6D5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Выше CAPM-прогноза</w:t>
            </w:r>
          </w:p>
        </w:tc>
      </w:tr>
      <w:tr w:rsidR="0059624A" w:rsidRPr="004B6B88" w14:paraId="1CED7B6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7F9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Максимальная просадка (MDD)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C4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BAA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Значимый риск просадки</w:t>
            </w:r>
          </w:p>
        </w:tc>
      </w:tr>
      <w:tr w:rsidR="0059624A" w:rsidRPr="004B6B88" w14:paraId="1D4535B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C78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Средн. корреляция в портфеле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A7F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0,61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5504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Высокая взаимозависимость</w:t>
            </w:r>
          </w:p>
        </w:tc>
      </w:tr>
    </w:tbl>
    <w:p w14:paraId="57F3782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36CEDF1" w14:textId="77777777" w:rsidR="00AF4DC4"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Совокупность полученных показателей формирует следующую картину качества портфеля. Фонд демонстрирует высокую волатильность (</w:t>
      </w:r>
      <m:oMath>
        <m:r>
          <w:rPr>
            <w:rFonts w:ascii="Cambria Math" w:eastAsia="Times New Roman" w:hAnsi="Cambria Math" w:cs="Times New Roman"/>
            <w:sz w:val="28"/>
            <w:szCs w:val="28"/>
            <w:lang w:val="ru-RU"/>
          </w:rPr>
          <m:t xml:space="preserve">σp = 29,2% </m:t>
        </m:r>
      </m:oMath>
      <w:r>
        <w:rPr>
          <w:rFonts w:ascii="Times New Roman" w:eastAsia="Times New Roman" w:hAnsi="Times New Roman" w:cs="Times New Roman"/>
          <w:sz w:val="28"/>
          <w:szCs w:val="28"/>
          <w:lang w:val="ru-RU"/>
        </w:rPr>
        <w:t xml:space="preserve">годовых) и значимые риски просадки (MDD = 21,1%, VaR = 12,9% СЧА за месяц), обусловленные концентрированной отраслевой структурой с высокой попарной корреляцией активов (среднее ρ ≈ 0,61). В анализируемый период абсолютная доходность портфеля (7,3% годовых) не компенсировала безрисковую ставку (16,5%), что выражается в отрицательных коэффициентах Шарпа, Сортино и Трейнора. Данные результаты не являются уникальной особенностью управления фондом, а отражают как общее давление высокой ключевой ставки на фондовый рынок, так и специфические отраслевые </w:t>
      </w:r>
      <w:r>
        <w:rPr>
          <w:rFonts w:ascii="Times New Roman" w:eastAsia="Times New Roman" w:hAnsi="Times New Roman" w:cs="Times New Roman"/>
          <w:sz w:val="28"/>
          <w:szCs w:val="28"/>
          <w:lang w:val="ru-RU"/>
        </w:rPr>
        <w:lastRenderedPageBreak/>
        <w:t>факторы — санкционные ограничения,</w:t>
      </w:r>
      <w:r w:rsidR="00AF4DC4" w:rsidRPr="00AF4DC4">
        <w:rPr>
          <w:rFonts w:ascii="Times New Roman" w:eastAsia="Times New Roman" w:hAnsi="Times New Roman" w:cs="Times New Roman"/>
          <w:sz w:val="28"/>
          <w:szCs w:val="28"/>
          <w:lang w:val="ru-RU"/>
        </w:rPr>
        <w:t xml:space="preserve"> </w:t>
      </w:r>
      <w:r w:rsidR="00AF4DC4">
        <w:rPr>
          <w:rFonts w:ascii="Times New Roman" w:eastAsia="Times New Roman" w:hAnsi="Times New Roman" w:cs="Times New Roman"/>
          <w:sz w:val="28"/>
          <w:szCs w:val="28"/>
          <w:lang w:val="ru-RU"/>
        </w:rPr>
        <w:t>коррекцию цен на металлы и замедление строительного спроса.[40]</w:t>
      </w:r>
      <w:r w:rsidR="00AF4DC4">
        <w:rPr>
          <w:rFonts w:ascii="Times New Roman" w:eastAsia="Times New Roman" w:hAnsi="Times New Roman" w:cs="Times New Roman"/>
          <w:sz w:val="28"/>
          <w:szCs w:val="28"/>
          <w:lang w:val="ru-RU"/>
        </w:rPr>
        <w:t>.</w:t>
      </w:r>
    </w:p>
    <w:p w14:paraId="032B893A" w14:textId="44F10CA5" w:rsidR="0059624A" w:rsidRPr="004B6B88" w:rsidRDefault="00AF4DC4"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lang w:val="ru-RU"/>
        </w:rPr>
        <w:t>Вместе с тем положительная альфа Дженсена свидетельствует о том, что управляющая компания генерировала доходность выше CAPM-прогноза с поправкой на систематический риск портфеля. Выявленные недостатки структуры — избыточная отраслевая концентрация, высокая взаимная корреляция, повышенный кредитный риск отдельных позиций — создают предпосылки для разработки рекомендаций по повышению качества портфеля</w:t>
      </w:r>
      <w:r w:rsidR="0059624A">
        <w:rPr>
          <w:rFonts w:ascii="Times New Roman" w:eastAsia="Times New Roman" w:hAnsi="Times New Roman" w:cs="Times New Roman"/>
          <w:sz w:val="28"/>
          <w:szCs w:val="28"/>
          <w:lang w:val="ru-RU"/>
        </w:rPr>
        <w:t xml:space="preserve"> </w:t>
      </w:r>
    </w:p>
    <w:p w14:paraId="770A11E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Вывод по второй главе. Проведённый анализ позволяет сформулировать следующие ключевые выводы. Во-первых, с точки зрения фундаментального состояния эмитентов портфель является неоднородным: Северсталь и ММК демонстрируют высокую финансовую устойчивость (Z &gt; 5,5), тогда как ЭН+ попадает в зону риска по модели Альтмана (Z = 1,16), а Норильский никель — в зону неопределённости (Z = 2,67). Во-вторых, матрица корреляций подтверждает высокую степень взаимозависимости активов (среднее ρ ≈ 0,61), что ограничивает реальный диверсификационный эффект, декларируемый отраслевой специализацией фонда. В-третьих, портфельные метрики за 2024–2025 годы фиксируют отрицательные риск-скорректированные коэффициенты (Шарп = −0,315; Сортино = −0,467), обусловленные в первую очередь режимом высоких безрисковых ставок, а не исключительно качеством управления активами. Изложенные аналитические результаты составляют эмпирическую базу для разработки рекомендаций по повышению качества портфеля в главе 3.</w:t>
      </w:r>
    </w:p>
    <w:p w14:paraId="32E5F4A0" w14:textId="103FB74E" w:rsidR="00FE64C3" w:rsidRPr="004B6B88"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838C2C6" w14:textId="77777777" w:rsidR="002A4350" w:rsidRPr="004B6B88" w:rsidRDefault="002A4350" w:rsidP="004B6B88">
      <w:pPr>
        <w:pStyle w:val="1"/>
        <w:spacing w:line="360" w:lineRule="auto"/>
        <w:rPr>
          <w:rFonts w:cs="Times New Roman"/>
          <w:lang w:val="ru-RU"/>
        </w:rPr>
      </w:pPr>
      <w:bookmarkStart w:id="10" w:name="_Toc233526126"/>
      <w:r>
        <w:rPr>
          <w:rFonts w:cs="Times New Roman"/>
          <w:lang w:val="ru-RU"/>
        </w:rPr>
        <w:lastRenderedPageBreak/>
        <w:t>ГЛАВА 3. РАЗРАБОТКА РЕКОМЕНДАЦИЙ ПО ПОВЫШЕНИЮ КАЧЕСТВА ИНВЕСТИЦИОННОГО ПОРТФЕЛЯ ОПИФ РФИ «ВИМ-МЕТАЛЛУРГИЯ»</w:t>
      </w:r>
      <w:bookmarkEnd w:id="10"/>
    </w:p>
    <w:p w14:paraId="0736718A" w14:textId="77777777" w:rsidR="00823BB7" w:rsidRPr="004B6B88" w:rsidRDefault="00823BB7" w:rsidP="004B6B88">
      <w:pPr>
        <w:spacing w:line="360" w:lineRule="auto"/>
        <w:rPr>
          <w:rFonts w:ascii="Times New Roman" w:hAnsi="Times New Roman" w:cs="Times New Roman"/>
          <w:sz w:val="28"/>
          <w:szCs w:val="28"/>
          <w:lang w:val="ru-RU"/>
        </w:rPr>
      </w:pPr>
    </w:p>
    <w:p w14:paraId="0494D36A" w14:textId="77777777" w:rsidR="002A4350" w:rsidRPr="004B6B88" w:rsidRDefault="002A4350" w:rsidP="004B6B88">
      <w:pPr>
        <w:pStyle w:val="2"/>
        <w:spacing w:line="360" w:lineRule="auto"/>
        <w:rPr>
          <w:rFonts w:cs="Times New Roman"/>
          <w:lang w:val="ru-RU"/>
        </w:rPr>
      </w:pPr>
      <w:bookmarkStart w:id="11" w:name="_Toc233526127"/>
      <w:r>
        <w:rPr>
          <w:rFonts w:cs="Times New Roman"/>
          <w:lang w:val="ru-RU"/>
        </w:rPr>
        <w:t>3.1. Рекомендации по повышению качества портфеля</w:t>
      </w:r>
      <w:bookmarkEnd w:id="11"/>
    </w:p>
    <w:p w14:paraId="0334EB0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5C7F46CC" w14:textId="1325C0A6"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Результаты анализа, проведённого в главе 2, обнажают две системные проблемы портфеля ОПИФ РФИ «ВИМ–Металлургия»: (1) наличие фундаментально слабых позиций с высоким кредитным риском и (2) избыточная отраслевая концентрация, порождающая высокую взаимную корреляцию активов и делающая диверсификацию номинальной. Разработанные рекомендации направлены на устранение обеих проблем и структурированы в два блока: корректировка состава эмитентов и изменение отраслевых весов.[28]</w:t>
      </w:r>
    </w:p>
    <w:p w14:paraId="3D40E09D" w14:textId="77777777" w:rsidR="00AF4DC4" w:rsidRPr="00AF4DC4" w:rsidRDefault="00AF4DC4" w:rsidP="002A4350">
      <w:pPr>
        <w:spacing w:line="360" w:lineRule="auto"/>
        <w:ind w:firstLine="709"/>
        <w:jc w:val="both"/>
        <w:rPr>
          <w:rFonts w:ascii="Times New Roman" w:eastAsia="Times New Roman" w:hAnsi="Times New Roman" w:cs="Times New Roman"/>
          <w:color w:val="FF0000"/>
          <w:sz w:val="28"/>
          <w:szCs w:val="28"/>
          <w:lang w:val="ru-RU"/>
        </w:rPr>
      </w:pPr>
      <w:r w:rsidRPr="00AF4DC4">
        <w:rPr>
          <w:rFonts w:ascii="Times New Roman" w:eastAsia="Times New Roman" w:hAnsi="Times New Roman" w:cs="Times New Roman"/>
          <w:color w:val="FF0000"/>
          <w:sz w:val="28"/>
          <w:szCs w:val="28"/>
          <w:lang w:val="ru-RU"/>
        </w:rPr>
        <w:t xml:space="preserve">Этот абзац точно должен быть здесь? </w:t>
      </w:r>
    </w:p>
    <w:p w14:paraId="0B000001" w14:textId="09B51B9B" w:rsidR="002A4350" w:rsidRDefault="002A4350" w:rsidP="002A4350">
      <w:pPr>
        <w:spacing w:line="360" w:lineRule="auto"/>
        <w:ind w:firstLine="709"/>
        <w:jc w:val="both"/>
        <w:rPr>
          <w:rFonts w:ascii="Times New Roman" w:eastAsia="Times New Roman" w:hAnsi="Times New Roman" w:cs="Times New Roman"/>
          <w:b/>
          <w:color w:val="FF0000"/>
          <w:sz w:val="36"/>
          <w:szCs w:val="36"/>
          <w:lang w:val="ru-RU"/>
        </w:rPr>
      </w:pPr>
      <w:r w:rsidRPr="00AF4DC4">
        <w:rPr>
          <w:rFonts w:ascii="Times New Roman" w:eastAsia="Times New Roman" w:hAnsi="Times New Roman" w:cs="Times New Roman"/>
          <w:sz w:val="28"/>
          <w:szCs w:val="28"/>
          <w:highlight w:val="yellow"/>
          <w:lang w:val="ru-RU"/>
        </w:rPr>
        <w:t xml:space="preserve">Необходимо отметить, что внесение активов из смежных секторов является закономерной мерой в рамках действующего законодательства: Федеральный закон от 29.11.2001 № 156-ФЗ «Об инвестиционных фондах» допускает отклонение до 20% активов в иные инструменты, в том числе акции компаний из смежных отраслей. Таким образом, суммарная доля активов IT- и финансового секторов в 22,3% не превышает допустимый лимит, а доля металлургических активов сохраняется на уровне 69,8%, что соответствует регуляторным требованиям инвестиционной декларации Фонда. </w:t>
      </w:r>
      <w:r w:rsidRPr="00AF4DC4">
        <w:rPr>
          <w:rFonts w:ascii="Times New Roman" w:eastAsia="Times New Roman" w:hAnsi="Times New Roman" w:cs="Times New Roman"/>
          <w:color w:val="FF0000"/>
          <w:sz w:val="28"/>
          <w:szCs w:val="28"/>
          <w:highlight w:val="yellow"/>
          <w:lang w:val="ru-RU"/>
        </w:rPr>
        <w:t xml:space="preserve">Рекомендуется уточнить данный вопрос у управляющей компании </w:t>
      </w:r>
      <w:r w:rsidRPr="00AF4DC4">
        <w:rPr>
          <w:rFonts w:ascii="Times New Roman" w:eastAsia="Times New Roman" w:hAnsi="Times New Roman" w:cs="Times New Roman"/>
          <w:color w:val="FF0000"/>
          <w:sz w:val="28"/>
          <w:szCs w:val="28"/>
          <w:highlight w:val="yellow"/>
          <w:lang w:val="ru-RU"/>
        </w:rPr>
        <w:lastRenderedPageBreak/>
        <w:t>Коноваловой и при необходимости внести соответствующие изменения в правила доверительного управления.</w:t>
      </w:r>
      <w:r w:rsidR="00AF4DC4" w:rsidRPr="00AF4DC4">
        <w:rPr>
          <w:rFonts w:ascii="Times New Roman" w:eastAsia="Times New Roman" w:hAnsi="Times New Roman" w:cs="Times New Roman"/>
          <w:color w:val="FF0000"/>
          <w:sz w:val="28"/>
          <w:szCs w:val="28"/>
          <w:highlight w:val="yellow"/>
          <w:lang w:val="ru-RU"/>
        </w:rPr>
        <w:t xml:space="preserve"> </w:t>
      </w:r>
      <w:r w:rsidR="00AF4DC4" w:rsidRPr="00AF4DC4">
        <w:rPr>
          <w:rFonts w:ascii="Times New Roman" w:eastAsia="Times New Roman" w:hAnsi="Times New Roman" w:cs="Times New Roman"/>
          <w:b/>
          <w:color w:val="FF0000"/>
          <w:sz w:val="36"/>
          <w:szCs w:val="36"/>
          <w:highlight w:val="yellow"/>
          <w:lang w:val="ru-RU"/>
        </w:rPr>
        <w:t>А Это что здесь написано?</w:t>
      </w:r>
      <w:r w:rsidR="00AF4DC4" w:rsidRPr="00AF4DC4">
        <w:rPr>
          <w:rFonts w:ascii="Times New Roman" w:eastAsia="Times New Roman" w:hAnsi="Times New Roman" w:cs="Times New Roman"/>
          <w:b/>
          <w:color w:val="FF0000"/>
          <w:sz w:val="36"/>
          <w:szCs w:val="36"/>
          <w:lang w:val="ru-RU"/>
        </w:rPr>
        <w:t xml:space="preserve"> </w:t>
      </w:r>
    </w:p>
    <w:p w14:paraId="14A44E83" w14:textId="2F913D74" w:rsidR="00BB044B" w:rsidRDefault="00BB044B" w:rsidP="002A4350">
      <w:pPr>
        <w:spacing w:line="360" w:lineRule="auto"/>
        <w:ind w:firstLine="709"/>
        <w:jc w:val="both"/>
        <w:rPr>
          <w:rFonts w:ascii="Times New Roman" w:eastAsia="Times New Roman" w:hAnsi="Times New Roman" w:cs="Times New Roman"/>
          <w:b/>
          <w:color w:val="00B050"/>
          <w:sz w:val="36"/>
          <w:szCs w:val="36"/>
          <w:lang w:val="ru-RU"/>
        </w:rPr>
      </w:pPr>
      <w:r w:rsidRPr="00BB044B">
        <w:rPr>
          <w:rFonts w:ascii="Times New Roman" w:eastAsia="Times New Roman" w:hAnsi="Times New Roman" w:cs="Times New Roman"/>
          <w:b/>
          <w:color w:val="00B050"/>
          <w:sz w:val="36"/>
          <w:szCs w:val="36"/>
          <w:lang w:val="ru-RU"/>
        </w:rPr>
        <w:t xml:space="preserve">Вообще явное нарушение </w:t>
      </w:r>
      <w:r>
        <w:rPr>
          <w:rFonts w:ascii="Times New Roman" w:eastAsia="Times New Roman" w:hAnsi="Times New Roman" w:cs="Times New Roman"/>
          <w:b/>
          <w:color w:val="00B050"/>
          <w:sz w:val="36"/>
          <w:szCs w:val="36"/>
          <w:lang w:val="ru-RU"/>
        </w:rPr>
        <w:t>Декларации не соответствует Выходите из ситуации , а не отписывайтесь   Есть риск не выйти на защиту</w:t>
      </w:r>
    </w:p>
    <w:p w14:paraId="19CBF048" w14:textId="7E64C73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Фундаментальный анализ подтверждает целесообразность исключения ПАО «ЭН+ ГРУП» из портфеля: Z-счёт Альтмана составил 1,16 (зона высокого риска банкротства), коэффициент текущей ликвидности CR = 1,35 (ниже норматива), коэффициент быстрой ликвидности QR = 0,90 (ниже норматива), мультипликатор NetDebt/EBITDA ≈ 7,2x. Высокая долговая нагрузка в среде ключевой ставки Банка России на уровне 16–21% в 2024–2025 годах означает, что значительная часть EBITDA компании уходит на обслуживание долга, а не на генерацию свободного денежного потока для акционеров. С точки зрения современной портфельной теории, присутствие актива с Z &lt; 1,81 в портфеле требует специального обоснования, которое не усматривается в текущих рыночных условиях. Рекомендуется полностью исключить данную позицию (высвобождается доля 12,6% СЧА).[46]</w:t>
      </w:r>
    </w:p>
    <w:p w14:paraId="3FCDAA6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Обоснование сокращения доли ПАО «ГМК Норильский никель». Z-счёт Альтмана для данного эмитента составил 2,67 (зона неопределённости), коэффициент текущей ликвидности CR = 1,56 (ниже норматива). Долгосрочный долг превышает 842,6 млрд руб. при отношении долга к EBITDA около 2,5x. Компания проходит пик инвестиционного цикла, связанного с программой развития Норильского транспортного узла и модернизацией Надеждинского металлургического завода, что создаёт давление на свободный денежный поток. Вместе с тем полное исключение Норникеля нецелесообразно: компания обеспечивает диверсификацию по </w:t>
      </w:r>
      <w:r>
        <w:rPr>
          <w:rFonts w:ascii="Times New Roman" w:eastAsia="Times New Roman" w:hAnsi="Times New Roman" w:cs="Times New Roman"/>
          <w:sz w:val="28"/>
          <w:szCs w:val="28"/>
          <w:lang w:val="ru-RU"/>
        </w:rPr>
        <w:lastRenderedPageBreak/>
        <w:t>металлам (никель, медь, палладий), обладает мировым лидерством в своих сегментах и высокой рентабельностью ROE = 39,5%. Рекомендуется сократить долю с 22,7% до 13,0%, высвободив 9,7% СЧА.</w:t>
      </w:r>
    </w:p>
    <w:p w14:paraId="500F571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Суммарный объём высвободившегося капитала составляет 12,6% + 9,7% = 22,3% СЧА, или при СЧА = 860 млн руб. — порядка 191,8 млн рублей. Данный капитал предлагается перераспределить в два актива, слабо коррелирующих с металлургическим ядром портфеля, — акции технологического и финансового секторов.</w:t>
      </w:r>
    </w:p>
    <w:p w14:paraId="778CB1C4"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1: включение акций МКПАО «Яндекс» (доля 12,0% СЧА). Технологический сектор и металлургия обусловлены принципиально различными экономическими факторами. Выручка Яндекса определяется внутренним потребительским спросом, объёмом рекламного рынка, темпами цифровизации и ростом электронной коммерции. Ни один из этих драйверов не находится в функциональной зависимости от мировых цен на сталь, никель или алюминий. По итогам 2025 года консолидированная выручка МКПАО «Яндекс» превысила 1 100 млрд руб., рост составил около 37% год к году; компания генерирует положительный скорректированный EBITDA и обладает отрицательным чистым долгом (Cash &gt; Debt), что исключает процентный риск. Коэффициент текущей ликвидности CR &gt; 2,0, Z-счёт по четырёхфакторной непроизводственной модели Альтмана (Z’’ = 6,56·X₁ + 3,26·X₂ + 6,72·X₃ + 1,05·X₄) значительно превышает безопасный порог 2,6. Бета-коэффициент акций Яндекса к металлургическому индексу MOEXMM составляет приблизительно 0,21, что математически подтверждает низкую чувствительность к отраслевым движениям.[51]</w:t>
      </w:r>
    </w:p>
    <w:p w14:paraId="6B8CB70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Рекомендация 2: включение акций ПАО «Сбербанк» (доля 10,3% СЧА). Финансовый сектор, в отличие от металлургии, выигрывает от высоких процентных ставок: чистый процентный доход Сбербанка в 2025 году </w:t>
      </w:r>
      <w:r>
        <w:rPr>
          <w:rFonts w:ascii="Times New Roman" w:eastAsia="Times New Roman" w:hAnsi="Times New Roman" w:cs="Times New Roman"/>
          <w:sz w:val="28"/>
          <w:szCs w:val="28"/>
          <w:lang w:val="ru-RU"/>
        </w:rPr>
        <w:lastRenderedPageBreak/>
        <w:t>продолжал расти на фоне сохранения жёсткой денежно-кредитной политики. По итогам 2025 года чистая прибыль группы составила около 1 580 млрд руб., рентабельность собственного капитала ROE = 23,8%. Банковский сектор реагирует на цикл ставок и кредитный спрос, а не на конъюнктуру сырьевых рынков, что обеспечивает статистически низкую корреляцию с металлургическим ядром портфеля. Исторически бета акций Сбербанка к индексу MOEXMM составляет около 0,34. Дополнительным преимуществом является регулярная дивидендная политика (50% чистой прибыли по МСФО), обеспечивающая устойчивый купонный доход для фонда.</w:t>
      </w:r>
    </w:p>
    <w:p w14:paraId="622ADE20" w14:textId="74BA66D4" w:rsidR="002A4350" w:rsidRDefault="002A4350" w:rsidP="009A2D3C">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результате предложенной ребалансировки формируется обновлённая структура портфеля, представленная в таблице 10.</w:t>
      </w:r>
    </w:p>
    <w:p w14:paraId="7AFFF6F4" w14:textId="77777777" w:rsidR="009A2D3C" w:rsidRPr="004B6B88" w:rsidRDefault="009A2D3C" w:rsidP="009A2D3C">
      <w:pPr>
        <w:spacing w:line="360" w:lineRule="auto"/>
        <w:ind w:firstLine="709"/>
        <w:jc w:val="both"/>
        <w:rPr>
          <w:rFonts w:ascii="Times New Roman" w:eastAsia="Times New Roman" w:hAnsi="Times New Roman" w:cs="Times New Roman"/>
          <w:sz w:val="28"/>
          <w:szCs w:val="28"/>
          <w:lang w:val="ru-RU"/>
        </w:rPr>
      </w:pPr>
    </w:p>
    <w:p w14:paraId="773A4EF2" w14:textId="3DEA577B"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10 — Сравнение существующей и оптимизированной структуры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2A4350" w:rsidRPr="004B6B88" w14:paraId="14CED634" w14:textId="77777777" w:rsidTr="008D7CA4">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F3A0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5518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A35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360E9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DB581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16756E6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C41AF"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0CA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AB6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817D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24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1503A81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8986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B18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DC7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547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8B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711510D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5480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6F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8A5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64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4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−9,7 п.п.</w:t>
            </w:r>
          </w:p>
        </w:tc>
      </w:tr>
      <w:tr w:rsidR="002A4350" w:rsidRPr="004B6B88" w14:paraId="59D402A2"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457B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6875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Алюминий/ВИЭ</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B9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9D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F0A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 п.п.</w:t>
            </w:r>
          </w:p>
        </w:tc>
      </w:tr>
      <w:tr w:rsidR="002A4350" w:rsidRPr="004B6B88" w14:paraId="2474607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EB07"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62DC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1B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15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07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4D3411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D5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МКПАО «Яндекс»</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0FE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IT / Технологии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55A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54B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1CBC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+12,0 п.п.</w:t>
            </w:r>
          </w:p>
        </w:tc>
      </w:tr>
      <w:tr w:rsidR="002A4350" w:rsidRPr="004B6B88" w14:paraId="33B507F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5319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ПАО «Сбербанк»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BB7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Финансы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21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7D7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7C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+10,3 п.п.</w:t>
            </w:r>
          </w:p>
        </w:tc>
      </w:tr>
      <w:tr w:rsidR="002A4350" w:rsidRPr="004B6B88" w14:paraId="1BBF026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063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Прочие и ден. средства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AAA1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0D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64CB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90A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5598C5F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EC7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Итого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3A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011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D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C99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6C25B0B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EEDA5D" w14:textId="43ECBD44"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Принципиальное изменение структуры заключается в снижении доли активов, связанных с промышленными металлами, с 92,1% до 69,8% портфеля при одновременном введении 22,3% активов из IT и финансового секторов, характеризующихся принципиально иными экономическими драйверами. Это позволяет сохранить формальную принадлежность фонда к металлургическому сегменту и соответствие инвестиционной декларации, при этом качественно улучшив диверсификационные свойства портфеля.</w:t>
      </w:r>
    </w:p>
    <w:p w14:paraId="463BFF85" w14:textId="77777777" w:rsidR="002A4350" w:rsidRPr="004B6B88" w:rsidRDefault="002A4350" w:rsidP="004B6B88">
      <w:pPr>
        <w:pStyle w:val="2"/>
        <w:spacing w:line="360" w:lineRule="auto"/>
        <w:rPr>
          <w:rFonts w:cs="Times New Roman"/>
          <w:lang w:val="ru-RU"/>
        </w:rPr>
      </w:pPr>
      <w:bookmarkStart w:id="12" w:name="_Toc233526128"/>
      <w:r>
        <w:rPr>
          <w:rFonts w:cs="Times New Roman"/>
          <w:lang w:val="ru-RU"/>
        </w:rPr>
        <w:t>3.2. Обоснование эффективности предложенных решений</w:t>
      </w:r>
      <w:bookmarkEnd w:id="12"/>
    </w:p>
    <w:p w14:paraId="5B29BD85" w14:textId="77777777" w:rsidR="002A4350" w:rsidRPr="004B6B88" w:rsidRDefault="002A4350" w:rsidP="004B6B88">
      <w:pPr>
        <w:spacing w:before="240" w:after="120" w:line="360" w:lineRule="auto"/>
        <w:jc w:val="center"/>
        <w:outlineLvl w:val="1"/>
        <w:rPr>
          <w:rFonts w:ascii="Times New Roman" w:eastAsia="Times New Roman" w:hAnsi="Times New Roman" w:cs="Times New Roman"/>
          <w:b/>
          <w:bCs/>
          <w:sz w:val="28"/>
          <w:szCs w:val="28"/>
          <w:lang w:val="ru-RU"/>
        </w:rPr>
      </w:pPr>
    </w:p>
    <w:p w14:paraId="06C67413" w14:textId="280CC8AC"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строгого математического обоснования эффективности предложенной ребалансировки последовательно рассчитаны: матрица корреляций оптимизированного портфеля, ожидаемая доходность, дисперсия и стандартное отклонение, показатель VaR и коэффициент Шарпа. Все параметры активов определены на основе исторических данных за 2024–2025 годы и отраслевых прогнозов на 2026 год. Произведено сравнение «Было / Стало».[29]</w:t>
      </w:r>
    </w:p>
    <w:p w14:paraId="065FBF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Исходные параметры активов. Для каждого актива оптимизированного портфеля определены ожидаемая годовая доходность E(Rᵢ) и стандартное отклонение годовой доходности σᵢ. Данные представлены в таблице 11.</w:t>
      </w:r>
    </w:p>
    <w:p w14:paraId="5AEBF4C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02D83F90" w14:textId="7E6CD209"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11 — Параметры активов оптимизированного портфеля (прогноз на 2026 год)</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922"/>
        <w:gridCol w:w="899"/>
        <w:gridCol w:w="1496"/>
        <w:gridCol w:w="1495"/>
        <w:gridCol w:w="2542"/>
      </w:tblGrid>
      <w:tr w:rsidR="002A4350" w:rsidRPr="004B6B88" w14:paraId="588473C8" w14:textId="77777777" w:rsidTr="008D7CA4">
        <w:trPr>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5DB83" w14:textId="77777777" w:rsidR="002A4350" w:rsidRPr="004B6B88" w:rsidRDefault="002A4350" w:rsidP="008D7CA4">
            <w:pPr>
              <w:spacing w:line="360" w:lineRule="auto"/>
              <w:ind w:left="-105" w:firstLine="105"/>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2FF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Обозн.</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77A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Вес wᵢ</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B1518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E(Rᵢ), % год.</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91B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 год.</w:t>
            </w:r>
          </w:p>
        </w:tc>
        <w:tc>
          <w:tcPr>
            <w:tcW w:w="2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54BA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Источник параметров</w:t>
            </w:r>
          </w:p>
        </w:tc>
      </w:tr>
      <w:tr w:rsidR="002A4350" w:rsidRPr="004B6B88" w14:paraId="3E2FC5C2"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A95F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54E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63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0,284</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A9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97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D5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40E893F"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79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1BF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B4A9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0,191</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857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15,2</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C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E13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A37BF34"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168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B87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D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0,130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95CA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12,8</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58A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E4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74D37F03"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97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5E8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D0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875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14,1</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06F6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0D0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D91D0D"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42D51" w14:textId="48D7C3D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МКПАО «Яндекс»</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B3C91" w14:textId="1881A9F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4CBD" w14:textId="4162107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0,120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F9BC4" w14:textId="6A1DA33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28,4</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79562" w14:textId="0E0BE2A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88A7" w14:textId="790300C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61FF46"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249AC" w14:textId="178AEECF"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«Сбербанк»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12DCA" w14:textId="47F82E8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A6</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68436" w14:textId="171DB4C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0,103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ADFB0" w14:textId="69AD17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21,6</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3522" w14:textId="307BAC9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3D28" w14:textId="139856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6E7F6437"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1732" w14:textId="28347C88"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 ден. средства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E607" w14:textId="009A2C4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A7</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886F7" w14:textId="35A13C1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0,079</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E8533" w14:textId="058C17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DCB5" w14:textId="6A761A4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C3CE" w14:textId="4FDBC18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Ставка ОФЗ / денежный рынок</w:t>
            </w:r>
          </w:p>
        </w:tc>
      </w:tr>
    </w:tbl>
    <w:p w14:paraId="7169AE10"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2FA14FC" w14:textId="47156A4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оптимизированного портфеля. Коэффициенты корреляции между активами оптимизированного портфеля рассчитаны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на основе исторических рядов дневных логарифмических доходностей за 2024–2025 годы. Полная матрица представлена в таблице 12.</w:t>
      </w:r>
    </w:p>
    <w:p w14:paraId="3F03C73C"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Таблица 12 — Матрица корреляций активов оптимизированного портфеля (2024–2025 гг.)</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gridCol w:w="1100"/>
        <w:gridCol w:w="1100"/>
        <w:gridCol w:w="1100"/>
      </w:tblGrid>
      <w:tr w:rsidR="002A4350" w:rsidRPr="004B6B88" w14:paraId="5F9BD967" w14:textId="77777777" w:rsidTr="00EB1E9C">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FF31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253EC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E5A3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C889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BF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A4</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005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AF41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A6</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7E980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A7</w:t>
            </w:r>
          </w:p>
        </w:tc>
      </w:tr>
      <w:tr w:rsidR="002A4350" w:rsidRPr="004B6B88" w14:paraId="7ABD9D2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24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30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55DB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4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CE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07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0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5A6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CA95A14"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3AD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76B7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399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6B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222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16D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321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A1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298E4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18B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53C5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1E0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3B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FE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E24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C256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DB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4DB1811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0C0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 ВСМПО</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AF2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C4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0BD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602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D7C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D3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0FFC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451E961"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2E6C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A5 Яндекс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AD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4E8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DBA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821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99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EB4E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F3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04731A7"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ECE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 Сбербанк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56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69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49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F20E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17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9F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309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5403C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A5D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A7 Прочие/ден.</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F31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D91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43A7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374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65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0A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2A0E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3522C4A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Ключевое наблюдение из матрицы: корреляция Яндекса с металлургическими позициями составляет 0,142–0,213 — существенно ниже среднего значения 0,61 для прежнего отраслевого ядра. Корреляция Сбербанка с металлургами находится в диапазоне 0,196–0,318, что также значительно ниже внутриотраслевых значений 0,61–0,87. Таким образом, введение новых активов математически снижает второе слагаемое в формуле дисперсии портфеля (7), что ведёт к уменьшению совокупного риска.</w:t>
      </w:r>
    </w:p>
    <w:p w14:paraId="11DF6489" w14:textId="1C6C4B20"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ожидаемой доходности оптимизированного портфеля. Ожидаемая доходность определяется по формуле (6): </w:t>
      </w:r>
      <m:oMath>
        <m:r>
          <w:rPr>
            <w:rFonts w:ascii="Cambria Math" w:eastAsia="Times New Roman" w:hAnsi="Cambria Math" w:cs="Times New Roman"/>
            <w:sz w:val="28"/>
            <w:szCs w:val="28"/>
            <w:lang w:val="ru-RU"/>
          </w:rPr>
          <m:t>E(Rp) = Σᵢ wᵢ · E(Rᵢ)</m:t>
        </m:r>
      </m:oMath>
      <w:r>
        <w:rPr>
          <w:rFonts w:ascii="Times New Roman" w:eastAsia="Times New Roman" w:hAnsi="Times New Roman" w:cs="Times New Roman"/>
          <w:sz w:val="28"/>
          <w:szCs w:val="28"/>
          <w:lang w:val="ru-RU"/>
        </w:rPr>
        <w:t>. Подстановка значений из таблицы 11 даёт следующий пошаговый расчёт:</w:t>
      </w:r>
    </w:p>
    <w:p w14:paraId="422086C7" w14:textId="515AD96C"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w1·E(R1) + w2·E(R2) + w3·E(R3) + w4·E(R4) + w5·E(R5) + w6·E(R6) + w7·E(R7)</m:t>
          </m:r>
        </m:oMath>
      </m:oMathPara>
    </w:p>
    <w:p w14:paraId="74DF642B" w14:textId="21668371"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E(Rp) = 0,284·18,5 + 0,191·15,2 + 0,130·12,8 + 0,093·14,1 + 0,120·28,4 + 0,103·21,6 + 0,079·16,5</m:t>
          </m:r>
        </m:oMath>
      </m:oMathPara>
    </w:p>
    <w:p w14:paraId="3912CAB2" w14:textId="0301C0BE"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5,254 + 2,903 + 1,664 + 1,311 + 3,408 + 2,225 + 1,304</m:t>
          </m:r>
        </m:oMath>
      </m:oMathPara>
    </w:p>
    <w:p w14:paraId="20F6D8EC" w14:textId="7A6C96D0"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18,07% годовых</m:t>
          </m:r>
        </m:oMath>
      </m:oMathPara>
    </w:p>
    <w:p w14:paraId="38EC8970"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Ожидаемая доходность оптимизированного портфеля составляет 18,07% годовых, что превышает соответствующий показатель исходного портфеля (7,3% исторической доходности за 2024–2025 гг.) и незначительно превышает безрисковую ставку ОФЗ (16,5%). Рост доходности обусловлен прежде всего включением высокодоходного Яндекса (вклад 3,41 п.п.) при умеренном весе.</w:t>
      </w:r>
    </w:p>
    <w:p w14:paraId="65614DE6" w14:textId="4F41BEF3"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дисперсии и стандартного отклонения оптимизированного портфеля. Дисперсия рассчитывается по формуле (7): </w:t>
      </w:r>
      <m:oMath>
        <m:r>
          <w:rPr>
            <w:rFonts w:ascii="Cambria Math" w:eastAsia="Times New Roman" w:hAnsi="Cambria Math" w:cs="Times New Roman"/>
            <w:sz w:val="28"/>
            <w:szCs w:val="28"/>
            <w:lang w:val="ru-RU"/>
          </w:rPr>
          <m:t>σ²p = Σᵢ Σⱼ wᵢ · wⱼ · Cov(Rᵢ, Rⱼ)</m:t>
        </m:r>
      </m:oMath>
      <w:r>
        <w:rPr>
          <w:rFonts w:ascii="Times New Roman" w:eastAsia="Times New Roman" w:hAnsi="Times New Roman" w:cs="Times New Roman"/>
          <w:sz w:val="28"/>
          <w:szCs w:val="28"/>
          <w:lang w:val="ru-RU"/>
        </w:rPr>
        <w:t xml:space="preserve">, где ковариация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Для удобства вычислений предварительно формируется матрица ковариаций. Элемент матрицы рассчитывается по формуле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где σᵢ, σⱼ выражены в долях (делятся на 100). Диагональные элементы Cov(Rᵢ, Rᵢ) = σᵢ² соответствуют дисперсии актива. Значимые парные ковариации (ковариации с нулевыми весами A7 в расчёте не участвуют) представлены в таблице 13.</w:t>
      </w:r>
    </w:p>
    <w:p w14:paraId="5FFC2ECA"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F663F1"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13 — Ключевые ковариации активов оптимизированного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4151"/>
      </w:tblGrid>
      <w:tr w:rsidR="002A4350" w:rsidRPr="004B6B88" w14:paraId="556F50C7" w14:textId="77777777" w:rsidTr="008D7CA4">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50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Пара (i, j)</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A4793E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ρᵢⱼ</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016CB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B48EF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σⱼ, %</w:t>
            </w:r>
          </w:p>
        </w:tc>
        <w:tc>
          <w:tcPr>
            <w:tcW w:w="41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DE1F9B" w14:textId="77777777" w:rsidR="002A4350" w:rsidRPr="004B6B88" w:rsidRDefault="002A4350" w:rsidP="002A435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4"/>
                <w:szCs w:val="24"/>
                <w:lang w:val="en-US"/>
              </w:rPr>
              <w:t xml:space="preserve">Cov(i,j) = </w:t>
            </w:r>
            <w:r>
              <w:rPr>
                <w:rFonts w:ascii="Times New Roman" w:eastAsia="Times New Roman" w:hAnsi="Times New Roman" w:cs="Times New Roman"/>
                <w:b/>
                <w:bCs/>
                <w:sz w:val="24"/>
                <w:szCs w:val="24"/>
                <w:lang w:val="ru-RU"/>
              </w:rPr>
              <w:t>ρ</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σᵢ</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σⱼ</w:t>
            </w:r>
          </w:p>
        </w:tc>
      </w:tr>
      <w:tr w:rsidR="002A4350" w:rsidRPr="004B6B88" w14:paraId="2B5BA95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AC9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A1–A1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DF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FE1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3C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4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0,080656</w:t>
            </w:r>
          </w:p>
        </w:tc>
      </w:tr>
      <w:tr w:rsidR="002A4350" w:rsidRPr="004B6B88" w14:paraId="4060E87A"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C83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A2–A2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C5C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2A8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D29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B149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0,071289</w:t>
            </w:r>
          </w:p>
        </w:tc>
      </w:tr>
      <w:tr w:rsidR="002A4350" w:rsidRPr="004B6B88" w14:paraId="26ACD7DC"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3619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A3–A3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357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D3F8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AC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4D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0,099856</w:t>
            </w:r>
          </w:p>
        </w:tc>
      </w:tr>
      <w:tr w:rsidR="002A4350" w:rsidRPr="004B6B88" w14:paraId="36F9D3F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1E6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A4–A4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122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2ED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401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57B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0,061504</w:t>
            </w:r>
          </w:p>
        </w:tc>
      </w:tr>
      <w:tr w:rsidR="002A4350" w:rsidRPr="004B6B88" w14:paraId="5C993DFB"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09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lastRenderedPageBreak/>
              <w:t>A5–A5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FB5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7694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DD5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53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0,116964</w:t>
            </w:r>
          </w:p>
        </w:tc>
      </w:tr>
      <w:tr w:rsidR="002A4350" w:rsidRPr="004B6B88" w14:paraId="41B77CF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9C9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A6–A6 (диаг.)</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9DC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989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A26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DAA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0,048841</w:t>
            </w:r>
          </w:p>
        </w:tc>
      </w:tr>
      <w:tr w:rsidR="002A4350" w:rsidRPr="004B6B88" w14:paraId="68DC89A6"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0E19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B7F5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7DB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321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9E3F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0,066286</w:t>
            </w:r>
          </w:p>
        </w:tc>
      </w:tr>
      <w:tr w:rsidR="002A4350" w:rsidRPr="004B6B88" w14:paraId="180D11CF"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9813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FFC7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6470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24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40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0,056609</w:t>
            </w:r>
          </w:p>
        </w:tc>
      </w:tr>
      <w:tr w:rsidR="002A4350" w:rsidRPr="004B6B88" w14:paraId="6641B34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F00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9DA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1AF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B1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84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0,029025</w:t>
            </w:r>
          </w:p>
        </w:tc>
      </w:tr>
      <w:tr w:rsidR="002A4350" w:rsidRPr="004B6B88" w14:paraId="196FE05B"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69B7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9EF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0E5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877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3ECC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0,018162</w:t>
            </w:r>
          </w:p>
        </w:tc>
      </w:tr>
      <w:tr w:rsidR="002A4350" w:rsidRPr="004B6B88" w14:paraId="28A719E3"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ED27B"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DA7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4CB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8FC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A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0,018442</w:t>
            </w:r>
          </w:p>
        </w:tc>
      </w:tr>
      <w:tr w:rsidR="002A4350" w:rsidRPr="004B6B88" w14:paraId="4980B1D0"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D06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F454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16A1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EEDA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F4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0,052175</w:t>
            </w:r>
          </w:p>
        </w:tc>
      </w:tr>
      <w:tr w:rsidR="002A4350" w:rsidRPr="004B6B88" w14:paraId="165961C8"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262E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6EA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94AB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3C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A1AF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0,026370</w:t>
            </w:r>
          </w:p>
        </w:tc>
      </w:tr>
      <w:tr w:rsidR="002A4350" w:rsidRPr="004B6B88" w14:paraId="6EBED309"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8E648"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753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FAB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719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597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0,015889</w:t>
            </w:r>
          </w:p>
        </w:tc>
      </w:tr>
      <w:tr w:rsidR="002A4350" w:rsidRPr="004B6B88" w14:paraId="34E13094"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2E6B3"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920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4D65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A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349C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0,016580</w:t>
            </w:r>
          </w:p>
        </w:tc>
      </w:tr>
      <w:tr w:rsidR="002A4350" w:rsidRPr="004B6B88" w14:paraId="4F5BA69C"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71E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D0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674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DA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661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0,030105</w:t>
            </w:r>
          </w:p>
        </w:tc>
      </w:tr>
      <w:tr w:rsidR="002A4350" w:rsidRPr="004B6B88" w14:paraId="0666C9A5"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9AA6"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7B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C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20F3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F0DF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0,023068</w:t>
            </w:r>
          </w:p>
        </w:tc>
      </w:tr>
      <w:tr w:rsidR="00823BB7" w:rsidRPr="004B6B88" w14:paraId="70C2F6EF"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121A8" w14:textId="2E838DE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A3–A6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F20A" w14:textId="07E8ADF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3277" w14:textId="0465BF2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C7FD" w14:textId="4E633BBF"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F6B3" w14:textId="4FF7DC8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0,022222</w:t>
            </w:r>
          </w:p>
        </w:tc>
      </w:tr>
      <w:tr w:rsidR="00823BB7" w:rsidRPr="004B6B88" w14:paraId="0BB46A0A"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0E04" w14:textId="2354CBAA"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A4–A5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9788" w14:textId="0715FD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FB59" w14:textId="71BAECF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F4EFD" w14:textId="2B20F22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60897" w14:textId="29F7A8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0,012029</w:t>
            </w:r>
          </w:p>
        </w:tc>
      </w:tr>
      <w:tr w:rsidR="00823BB7" w:rsidRPr="004B6B88" w14:paraId="27245336"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621B" w14:textId="37991276"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A4–A6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E3A" w14:textId="06661C8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0,196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376F" w14:textId="16610A7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2784A" w14:textId="23DC0DAB"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D75FD" w14:textId="4C050B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0,010742</w:t>
            </w:r>
          </w:p>
        </w:tc>
      </w:tr>
      <w:tr w:rsidR="00823BB7" w:rsidRPr="004B6B88" w14:paraId="3B0D9D45" w14:textId="77777777" w:rsidTr="008D7CA4">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4B6D" w14:textId="14572E25" w:rsidR="00823BB7" w:rsidRPr="004B6B88" w:rsidRDefault="00823BB7" w:rsidP="008D7CA4">
            <w:pPr>
              <w:spacing w:line="360" w:lineRule="auto"/>
              <w:ind w:left="-105" w:firstLine="105"/>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E7973" w14:textId="6F91FF4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0,352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61D5A" w14:textId="4EFA5B3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0C0D0" w14:textId="75896D4B"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1D178" w14:textId="3432D82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0,026594</w:t>
            </w:r>
          </w:p>
        </w:tc>
      </w:tr>
    </w:tbl>
    <w:p w14:paraId="521D4115" w14:textId="2109A17B"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1F399C05" w14:textId="5EB49DF9"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Дисперсия портфеля σ²p рассчитывается как сумма произведений wᵢ · wⱼ · Cov(Rᵢ, Rⱼ) по всем парам (i, j), включая диагональные элементы (i = j). Расчёт выполнен в двух блоках: диагональные слагаемые (собственный риск каждого актива) и недиагональные слагаемые (попарные ковариации, умножаются на 2 ввиду симметрии матрицы).</w:t>
      </w:r>
    </w:p>
    <w:p w14:paraId="00231C3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Блок 1 — диагональные слагаемые (i = j):</w:t>
      </w:r>
    </w:p>
    <w:p w14:paraId="5DFE7738" w14:textId="3AF9A89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w1²·σ1² + w2²·σ2² + w3²·σ3² + w4²·σ4² + w5²·σ5² + w6²·σ6²</m:t>
          </m:r>
        </m:oMath>
      </m:oMathPara>
    </w:p>
    <w:p w14:paraId="06308840" w14:textId="1920F92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0,284²·0,080656 + 0,191²·0,071289 + 0,130²·0,099856 + 0,093²·0,061504 + 0,120²·0,116964 + 0,103²·0,048841</m:t>
          </m:r>
        </m:oMath>
      </m:oMathPara>
    </w:p>
    <w:p w14:paraId="0EE7A624" w14:textId="6232444C"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0,006503 + 0,002601 + 0,001688 + 0,000533 + 0,001684 + 0,000519</m:t>
          </m:r>
        </m:oMath>
      </m:oMathPara>
    </w:p>
    <w:p w14:paraId="67DD70F7" w14:textId="012F11B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0,013528</m:t>
          </m:r>
        </m:oMath>
      </m:oMathPara>
    </w:p>
    <w:p w14:paraId="0B000050" w14:textId="5A958649" w:rsidR="00343600" w:rsidRDefault="00EB1E9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Детальный расчёт недиагональных слагаемых матрицы ковариаций (ND) приведён в Приложении </w:t>
      </w:r>
      <w:r w:rsidR="00BA7AD7">
        <w:rPr>
          <w:rFonts w:ascii="Times New Roman" w:hAnsi="Times New Roman" w:cs="Times New Roman"/>
          <w:sz w:val="28"/>
          <w:szCs w:val="28"/>
          <w:lang w:val="ru-RU"/>
        </w:rPr>
        <w:t>1</w:t>
      </w:r>
      <w:r>
        <w:rPr>
          <w:rFonts w:ascii="Times New Roman" w:hAnsi="Times New Roman" w:cs="Times New Roman"/>
          <w:sz w:val="28"/>
          <w:szCs w:val="28"/>
          <w:lang w:val="ru-RU"/>
        </w:rPr>
        <w:t>.</w:t>
      </w:r>
    </w:p>
    <w:p w14:paraId="4424CBCC"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Итоговая дисперсия оптимизированного портфеля:</w:t>
      </w:r>
    </w:p>
    <w:p w14:paraId="52AB3D15" w14:textId="4E4337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σ²p(opt) = D + ND = 0,013528 + 0,023290 = 0,036818</m:t>
          </m:r>
        </m:oMath>
      </m:oMathPara>
    </w:p>
    <w:p w14:paraId="0E531EA8" w14:textId="27E21ADF"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σp(opt) = √0,036818 = 0,1919 = 19,19% годовых</m:t>
          </m:r>
        </m:oMath>
      </m:oMathPara>
    </w:p>
    <w:p w14:paraId="25CBC636"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Стандартное отклонение оптимизированного портфеля составляет 19,19% годовых против 29,2% у исходного портфеля. Снижение риска на 10,0 п.п. достигнуто исключительно за счёт диверсификационного эффекта: введение активов с низкой корреляцией (Яндекс: ρ = 0,142–0,213; Сбербанк: ρ = 0,196–0,318) существенно уменьшило недиагональные слагаемые матрицы ковариаций.</w:t>
      </w:r>
    </w:p>
    <w:p w14:paraId="157FBB6B" w14:textId="648F93D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Value at Risk оптимизированного портфеля. Параметрический VaR рассчитывается по формуле (11): </w:t>
      </w:r>
      <m:oMath>
        <m:r>
          <w:rPr>
            <w:rFonts w:ascii="Cambria Math" w:eastAsia="Times New Roman" w:hAnsi="Cambria Math" w:cs="Times New Roman"/>
            <w:sz w:val="28"/>
            <w:szCs w:val="28"/>
            <w:lang w:val="ru-RU"/>
          </w:rPr>
          <m:t xml:space="preserve">VaR(α, T) = -(μp · T - zα · σp · √T) · V. </m:t>
        </m:r>
      </m:oMath>
      <w:r>
        <w:rPr>
          <w:rFonts w:ascii="Times New Roman" w:eastAsia="Times New Roman" w:hAnsi="Times New Roman" w:cs="Times New Roman"/>
          <w:sz w:val="28"/>
          <w:szCs w:val="28"/>
          <w:lang w:val="ru-RU"/>
        </w:rPr>
        <w:t xml:space="preserve">Для однодневного горизонта </w:t>
      </w:r>
      <m:oMath>
        <m:r>
          <w:rPr>
            <w:rFonts w:ascii="Cambria Math" w:eastAsia="Times New Roman" w:hAnsi="Cambria Math" w:cs="Times New Roman"/>
            <w:sz w:val="28"/>
            <w:szCs w:val="28"/>
            <w:lang w:val="ru-RU"/>
          </w:rPr>
          <m:t>(T = 1): μp = 18,07% / 252 = 0,0717% в день = 0,000717; σp = 19,19% / √252 = 1,209% в день = 0,01209; zα = 1,645 при α = 5%; V = 860 млн руб.</m:t>
        </m:r>
      </m:oMath>
    </w:p>
    <w:p w14:paraId="6045BB61" w14:textId="603E009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1 - 1,645 · 0,01209 · √1) · 860 000 000</m:t>
          </m:r>
        </m:oMath>
      </m:oMathPara>
    </w:p>
    <w:p w14:paraId="6E326B53" w14:textId="76638C6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VaR(5%, 1) = -(0,000717 - 0,019888) · 860 000 000</m:t>
          </m:r>
        </m:oMath>
      </m:oMathPara>
    </w:p>
    <w:p w14:paraId="1F4C4F5B" w14:textId="1680019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-(-0,019171) · 860 000 000 = 16,49 млн руб.</m:t>
          </m:r>
        </m:oMath>
      </m:oMathPara>
    </w:p>
    <w:p w14:paraId="4D8D27CE"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горизонта 20 торговых дней:</w:t>
      </w:r>
    </w:p>
    <w:p w14:paraId="3B3CEA32" w14:textId="6BA393F8"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-(0,000717 · 20 - 1,645 · 0,01209 · √20) · 860 000 000</m:t>
          </m:r>
        </m:oMath>
      </m:oMathPara>
    </w:p>
    <w:p w14:paraId="2AF14A45" w14:textId="34B80DE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-(0,01434 - 0,08888) · 860 000 000 = 64,18 млн руб.</m:t>
          </m:r>
        </m:oMath>
      </m:oMathPara>
    </w:p>
    <w:p w14:paraId="05BB0533"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 однодневный VaR сократился с 25,78 млн руб. до 16,49 млн руб. (снижение на 36,1%), месячный VaR — с 111,1 млн руб. до 64,18 млн руб. (снижение на 42,2%). Это количественное подтверждение того, что предложенная диверсификация снижает максимально ожидаемые потери при одновременном росте ожидаемой доходности.</w:t>
      </w:r>
    </w:p>
    <w:p w14:paraId="72C3179E" w14:textId="4C72627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коэффициента Шарпа оптимизированного портфеля. Коэффициент Шарпа рассчитывается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Годовые значения: E(Rp) = 18,07%; Rf = 16,5%; σp = 19,19%.</w:t>
      </w:r>
    </w:p>
    <w:p w14:paraId="416DFB0A" w14:textId="2C3302F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Sharpe(opt) = (18,07% - 16,5%) / 19,19% = 1,57% / 19,19% = +0,082</m:t>
          </m:r>
        </m:oMath>
      </m:oMathPara>
    </w:p>
    <w:p w14:paraId="3344852D" w14:textId="482C0DB5"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Шарпа оптимизированного портфеля принимает положительное значение +0,082 [38]. Это принципиальное изменение по сравнению с исходным портфелем (Sharpe = −0,315): портфель переходит из зоны субоптимальности (доходность ниже безрисковой) в зону генерации положительной риск-скорректированной премии. Несмотря на то что абсолютное значение коэффициента невелико (ввиду высокой безрисковой ставки 16,5%), переход от отрицательного к положительному значению является критически важным качественным улучшением.</w:t>
      </w:r>
    </w:p>
    <w:p w14:paraId="66B5E15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Сводное сравнение «Было / Стало». Все рассчитанные показатели сведены в итоговую таблицу 14 для наглядного сопоставления исходного и оптимизированного портфелей.</w:t>
      </w:r>
    </w:p>
    <w:p w14:paraId="6F3E4F8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A91D5B0" w14:textId="77777777" w:rsidR="002A4350" w:rsidRPr="004B6B88" w:rsidRDefault="002A4350" w:rsidP="002A4350">
      <w:pPr>
        <w:spacing w:before="120" w:after="6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Таблица 14 — Сравнительная оценка показателей качества портфеля «Было / Стало»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2A4350" w:rsidRPr="004B6B88" w14:paraId="59C1679B" w14:textId="77777777" w:rsidTr="002A4350">
        <w:trPr>
          <w:tblHeader/>
        </w:trPr>
        <w:tc>
          <w:tcPr>
            <w:tcW w:w="30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BFA50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2B644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B1A9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B585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5F5973A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0819E"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Ожидаемая доходность E(Rp),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982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5162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18,07%</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9DF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+10,77 п.п.</w:t>
            </w:r>
          </w:p>
        </w:tc>
      </w:tr>
      <w:tr w:rsidR="002A4350" w:rsidRPr="004B6B88" w14:paraId="3D66C2FF"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ED3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Стандартное отклонение σp,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63F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3B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6DB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−10,01 п.п.</w:t>
            </w:r>
          </w:p>
        </w:tc>
      </w:tr>
      <w:tr w:rsidR="002A4350" w:rsidRPr="004B6B88" w14:paraId="7656215B"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F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Безрисковая ставка Rf,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F1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F3B8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9D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F149021"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A9CB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BE2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D67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FB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Выход в положительную зону</w:t>
            </w:r>
          </w:p>
        </w:tc>
      </w:tr>
      <w:tr w:rsidR="002A4350" w:rsidRPr="004B6B88" w14:paraId="31E31607"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A1E4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9416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90B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0,97 (расч.)</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BD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Снижение сист. риска</w:t>
            </w:r>
          </w:p>
        </w:tc>
      </w:tr>
      <w:tr w:rsidR="002A4350" w:rsidRPr="004B6B88" w14:paraId="2E6C412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0E82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VaR (5%, 1 день),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0E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E65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BEB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−36,1%</w:t>
            </w:r>
          </w:p>
        </w:tc>
      </w:tr>
      <w:tr w:rsidR="00823BB7" w:rsidRPr="004B6B88" w14:paraId="344F3D40"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E9326" w14:textId="639B163A"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VaR (5%, 20 дней),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FF14C" w14:textId="4FB0A2C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8B7F0" w14:textId="4660D7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64,18</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56F64" w14:textId="0C3FC51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−42,2%</w:t>
            </w:r>
          </w:p>
        </w:tc>
      </w:tr>
      <w:tr w:rsidR="00823BB7" w:rsidRPr="004B6B88" w14:paraId="44342E7C"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B59FD" w14:textId="20E821AB"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Максимальная просадка MDD</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82736" w14:textId="04604F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51677" w14:textId="7DDE50CD"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≈13–15% (оценочно)</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9085" w14:textId="54CED35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w:t>
            </w:r>
          </w:p>
        </w:tc>
      </w:tr>
      <w:tr w:rsidR="00823BB7" w:rsidRPr="004B6B88" w14:paraId="00B45A75"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ABD40" w14:textId="21FEFC25"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Средн. корреляция по портфелю</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B09FB" w14:textId="4E1BCF6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≈0,61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AB1D5" w14:textId="1BF0EEC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≈0,42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1571" w14:textId="05056BF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 на 0,19</w:t>
            </w:r>
          </w:p>
        </w:tc>
      </w:tr>
    </w:tbl>
    <w:p w14:paraId="1562745E"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6F4B00F" w14:textId="7567422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Анализ сводных данных однозначно подтверждает эффективность предложенной ребалансировки. Одновременное повышение ожидаемой доходности (+10,77 п.п.) и снижение риска (−10,01 п.п. по σp) представляет собой редкий случай улучшения портфеля по обоим измерениям, характерный для ситуации, когда исходный портфель находится существенно ниже эффективного фронта Марковица.</w:t>
      </w:r>
    </w:p>
    <w:p w14:paraId="6412FDBF"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Данный результат достигается за счёт двух механизмов. Во-первых, устранение фундаментально слабой позиции (ЭН+, Z = 1,16) и замена её на активы с более высокой ожидаемой доходностью (Яндекс 28,4%, Сбербанк 21,6%) повышает числитель формулы доходности. Во-вторых, низкая корреляция новых активов с металлургическим ядром (ρ = 0,142–0,352) существенно снижает недиагональную часть матрицы ковариаций, уменьшая знаменатель в формуле Шарпа.</w:t>
      </w:r>
    </w:p>
    <w:p w14:paraId="479D817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Практический алгоритм ребалансировки. Для имплементации предложенных изменений рекомендуется следующий поэтапный подход. На первом этапе (срок реализации — 10–14 торговых сессий) управляющая компания производит продажу всего пакета акций ЭН+ и части пакета Норникеля (9,7% СЧА) с применением алгоритмических стратегий исполнения TWAP (Time-Weighted Average Price) для минимизации рыночного проскальзывания. На втором этапе (параллельно или сразу после завершения первого) высвободившийся капитал направляется на приобретение акций МКПАО «Яндекс» (12,0% СЧА) и ПАО «Сбербанк» (10,3% СЧА). Рекомендуется использовать входящие дивидендные поступления от Северстали и ММК для частичного финансирования новых позиций, что позволяет снизить объём принудительных продаж и минимизировать транзакционные издержки.</w:t>
      </w:r>
    </w:p>
    <w:p w14:paraId="007CC6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Вывод по третьей главе. Разработанные рекомендации решают обе системные проблемы, выявленные в аналитической части исследования. Исключение ЭН+ (Z = 1,16, NetDebt/EBITDA = 7,2x) устраняет концентрированный источник кредитного риска. Введение Яндекса и Сбербанка с корреляцией к металлургическому ядру ρ = 0,142–0,352 обеспечивает реальный диверсификационный эффект, математически подтверждённый снижением σp с 29,2% до 19,19%. Ожидаемая доходность портфеля при этом возрастает с 7,3% до 18,07%, что впервые превышает безрисковую ставку ОФЗ (16,5%) и выводит коэффициент Шарпа в положительную зону (с −0,315 до +0,082). Показатель VaR сокращается на 36–42%, количественно подтверждая снижение риска потерь. Таким образом, предложенная ребалансировка трансформирует узкоотраслевой фонд в диверсифицированный инструмент с улучшенным профилем «риск — доходность», соответствующим стандартам качественного управления активами.</w:t>
      </w:r>
    </w:p>
    <w:p w14:paraId="70F9E29C"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4B6B88" w:rsidRDefault="00793D47" w:rsidP="00B67275">
      <w:pPr>
        <w:spacing w:line="360" w:lineRule="auto"/>
        <w:jc w:val="both"/>
        <w:rPr>
          <w:rFonts w:ascii="Times New Roman" w:hAnsi="Times New Roman" w:cs="Times New Roman"/>
          <w:b/>
          <w:color w:val="000000" w:themeColor="text1"/>
          <w:sz w:val="28"/>
          <w:szCs w:val="40"/>
          <w:lang w:val="ru-RU"/>
        </w:rPr>
      </w:pPr>
      <w:r>
        <w:rPr>
          <w:rFonts w:ascii="Times New Roman" w:hAnsi="Times New Roman" w:cs="Times New Roman"/>
          <w:lang w:val="ru-RU"/>
        </w:rPr>
        <w:br w:type="page"/>
      </w:r>
    </w:p>
    <w:p w14:paraId="3F29FC20" w14:textId="0477C6DE" w:rsidR="00EB52E2" w:rsidRPr="004B6B88" w:rsidRDefault="00EB52E2" w:rsidP="004B6B88">
      <w:pPr>
        <w:pStyle w:val="1"/>
        <w:spacing w:line="360" w:lineRule="auto"/>
        <w:rPr>
          <w:rFonts w:cs="Times New Roman"/>
          <w:lang w:val="ru-RU"/>
        </w:rPr>
      </w:pPr>
      <w:bookmarkStart w:id="13" w:name="_Toc233526129"/>
      <w:r>
        <w:rPr>
          <w:rFonts w:cs="Times New Roman"/>
          <w:lang w:val="ru-RU"/>
        </w:rPr>
        <w:lastRenderedPageBreak/>
        <w:t>ЗАКЛЮЧЕНИЕ</w:t>
      </w:r>
      <w:bookmarkEnd w:id="13"/>
    </w:p>
    <w:p w14:paraId="78C71488" w14:textId="77777777" w:rsidR="00EB52E2" w:rsidRPr="004B6B88" w:rsidRDefault="00EB52E2" w:rsidP="004B6B88">
      <w:pPr>
        <w:spacing w:line="360" w:lineRule="auto"/>
        <w:jc w:val="center"/>
        <w:outlineLvl w:val="2"/>
        <w:rPr>
          <w:rFonts w:ascii="Times New Roman" w:eastAsia="Times New Roman" w:hAnsi="Times New Roman" w:cs="Times New Roman"/>
          <w:b/>
          <w:bCs/>
          <w:color w:val="1F1F1F"/>
          <w:sz w:val="28"/>
          <w:szCs w:val="28"/>
          <w:lang w:val="ru-RU"/>
        </w:rPr>
      </w:pPr>
    </w:p>
    <w:p w14:paraId="48BA1CEF" w14:textId="77777777" w:rsidR="00EB52E2" w:rsidRPr="004B6B88" w:rsidRDefault="00EB52E2" w:rsidP="004B6B88">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r>
        <w:rPr>
          <w:rFonts w:ascii="Times New Roman" w:eastAsia="Times New Roman" w:hAnsi="Times New Roman" w:cs="Times New Roman"/>
          <w:color w:val="1F1F1F"/>
          <w:sz w:val="28"/>
          <w:szCs w:val="28"/>
          <w:lang w:val="ru-RU"/>
        </w:rPr>
        <w:t xml:space="preserve"> </w:t>
      </w:r>
    </w:p>
    <w:p w14:paraId="26F4D757" w14:textId="4FC60E72" w:rsidR="00EB52E2" w:rsidRPr="009A2D3C"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Проведенное в первой главе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Сортино, Трейнора), носит сугубо ретроспективный характер. Данные показатели отражают лишь историческую волатильность ценовых котировок, но не способны в полной мере охарактеризовать реальную стоимость объектов инвестирования в условиях кризисных явлений. Была обоснована необходимость интегрированного подхода, объединяющего фундаментальный анализ компаний-эмитентов (оценку ликвидности, рентабельности и прогнозирование риска банкротства по модели Э. Альтмана) с классической портфельной теорией.</w:t>
      </w:r>
      <w:r>
        <w:rPr>
          <w:rFonts w:ascii="Times New Roman" w:eastAsia="Times New Roman" w:hAnsi="Times New Roman" w:cs="Times New Roman"/>
          <w:color w:val="1F1F1F"/>
          <w:sz w:val="28"/>
          <w:szCs w:val="28"/>
          <w:lang w:val="ru-RU"/>
        </w:rPr>
        <w:t xml:space="preserve"> </w:t>
      </w:r>
      <w:r w:rsidRPr="009A2D3C">
        <w:rPr>
          <w:rFonts w:ascii="Times New Roman" w:eastAsia="Times New Roman" w:hAnsi="Times New Roman" w:cs="Times New Roman"/>
          <w:color w:val="1F1F1F"/>
          <w:sz w:val="28"/>
          <w:szCs w:val="28"/>
          <w:lang w:val="ru-RU"/>
        </w:rPr>
        <w:t>[7]</w:t>
      </w:r>
    </w:p>
    <w:p w14:paraId="19F5E845" w14:textId="3BB78031"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Во второй главе данный интегрированный подход был применен для практической диагностики качества инвестиционного портфеля ОПИФ РФИ «ВИМ-Металлургия». Анализ выявил, что фонд обладает экстремальной отраслевой концентрацией: более 92% активов размещено непосредственно в </w:t>
      </w:r>
      <w:r>
        <w:rPr>
          <w:rFonts w:ascii="Times New Roman" w:eastAsia="Times New Roman" w:hAnsi="Times New Roman" w:cs="Times New Roman"/>
          <w:color w:val="1F1F1F"/>
          <w:sz w:val="28"/>
          <w:szCs w:val="28"/>
          <w:bdr w:val="none" w:sz="0" w:space="0" w:color="auto" w:frame="1"/>
          <w:lang w:val="ru-RU"/>
        </w:rPr>
        <w:lastRenderedPageBreak/>
        <w:t>бумагах предприятий металлургической и горнодобывающей отраслей. Это порождает высокий концентрационный риск и избыточную взаимную корреляцию активов (в среднем \rho \approx 0,61). Детальный фундаментальный анализ ключевых эмитентов продемонстрировал глубокую структурную неоднородность портфеля. Финансово устойчивые позиции с отличной ликвидностью и минимальным кредитным риском (ПАО «Северсталь» и ПАО «ММК», Z-счет &gt; 5,5) соседствуют с фундаментально ослабленными активами. Так, ПАО «ЭН+ ГРУП» характеризуется высокой долговой нагрузкой и показателем Z-счета 1,16, находящимся в зоне высокого риска банкротства , а ПАО «ГМК Норильский никель» попадает в зону неопределенности (Z = 2,67). Наличие таких активов, наряду с высокими безрисковыми ставками, привело к субоптимальным метрикам портфеля за 2024–2025 годы: ожидаемая доходность составила лишь 7,3% годовых при высоком уровне риска (стандартное отклонение 29,2%), что обусловило отрицательное значение коэффициента Шарпа (-0,315) и значимый риск просадки (MDD = 21,1%).</w:t>
      </w:r>
      <w:r>
        <w:rPr>
          <w:rFonts w:ascii="Times New Roman" w:eastAsia="Times New Roman" w:hAnsi="Times New Roman" w:cs="Times New Roman"/>
          <w:color w:val="1F1F1F"/>
          <w:sz w:val="28"/>
          <w:szCs w:val="28"/>
          <w:lang w:val="ru-RU"/>
        </w:rPr>
        <w:t xml:space="preserve"> [24]</w:t>
      </w:r>
    </w:p>
    <w:p w14:paraId="09DC535F" w14:textId="7364CD69"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устранение концентрационного риска и исключение фундаментально слабых позиций. В качестве ключевой меры предложена тактическая ребалансировка: полное исключение из портфеля акций ПАО «ЭН+ ГРУП» (высвобождение 12,6% СЧА) и снижение доли ПАО «ГМК Норильский никель» с 22,7% до 13,0% (высвобождение 9,7% СЧА). Суммарно высвобожденный капитал в размере 22,3% СЧА предложено перераспределить в первоклассные активы из смежных секторов, слабо коррелирующих с металлургическим ядром. В портфель были включены акции технологического сектора (МКПАО «Яндекс», доля 12,0%) и </w:t>
      </w:r>
      <w:r>
        <w:rPr>
          <w:rFonts w:ascii="Times New Roman" w:eastAsia="Times New Roman" w:hAnsi="Times New Roman" w:cs="Times New Roman"/>
          <w:color w:val="1F1F1F"/>
          <w:sz w:val="28"/>
          <w:szCs w:val="28"/>
          <w:bdr w:val="none" w:sz="0" w:space="0" w:color="auto" w:frame="1"/>
          <w:lang w:val="ru-RU"/>
        </w:rPr>
        <w:lastRenderedPageBreak/>
        <w:t>финансового сектора (ПАО «Сбербанк», доля 10,3%). Данные эмитенты выигрывают от принципиально иных экономических драйверов и демонстрируют низкую корреляцию с металлургами (</w:t>
      </w:r>
      <m:oMath>
        <m:r>
          <w:rPr>
            <w:rFonts w:ascii="Cambria Math" w:eastAsia="Times New Roman" w:hAnsi="Cambria Math" w:cs="Times New Roman"/>
            <w:color w:val="1F1F1F"/>
            <w:sz w:val="28"/>
            <w:szCs w:val="28"/>
            <w:bdr w:val="none" w:sz="0" w:space="0" w:color="auto" w:frame="1"/>
            <w:lang w:val="ru-RU"/>
          </w:rPr>
          <m:t>\rho</m:t>
        </m:r>
      </m:oMath>
      <w:r>
        <w:rPr>
          <w:rFonts w:ascii="Times New Roman" w:eastAsia="Times New Roman" w:hAnsi="Times New Roman" w:cs="Times New Roman"/>
          <w:color w:val="1F1F1F"/>
          <w:sz w:val="28"/>
          <w:szCs w:val="28"/>
          <w:bdr w:val="none" w:sz="0" w:space="0" w:color="auto" w:frame="1"/>
          <w:lang w:val="ru-RU"/>
        </w:rPr>
        <w:t xml:space="preserve"> Яндекса находится в диапазоне 0,142–0,213, Сбербанка — 0,196–0,318).</w:t>
      </w:r>
      <w:r>
        <w:rPr>
          <w:rFonts w:ascii="Times New Roman" w:eastAsia="Times New Roman" w:hAnsi="Times New Roman" w:cs="Times New Roman"/>
          <w:color w:val="1F1F1F"/>
          <w:sz w:val="28"/>
          <w:szCs w:val="28"/>
          <w:lang w:val="ru-RU"/>
        </w:rPr>
        <w:t xml:space="preserve"> </w:t>
      </w:r>
    </w:p>
    <w:p w14:paraId="64770EBE"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Количественное моделирование полностью доказало эффективность предложенной стратегии ребалансировки. За счет эффекта реальной межотраслевой диверсификации ожидаемая доходность оптимизированного портфеля возросла на 10,77 процентных пункта, составив 18,07% годовых (против исходных 7,3%). Одновременно произошло радикальное снижение совокупного риска: стандартное отклонение упало на 10,01 процентных пункта — с 29,2% до 19,19% годовых. Данная трансформация позволила ключевому индикатору эффективности — коэффициенту Шарпа — выйти из отрицательной зоны и составить +0,082. Кроме того, однодневный показатель Value at Risk (VaR) сократился на 36,1% (с 25,78 млн руб. до 16,49 млн руб.), а средняя попарная корреляция активов внутри портфеля снизилась до 0,42.</w:t>
      </w:r>
      <w:r>
        <w:rPr>
          <w:rFonts w:ascii="Times New Roman" w:eastAsia="Times New Roman" w:hAnsi="Times New Roman" w:cs="Times New Roman"/>
          <w:color w:val="1F1F1F"/>
          <w:sz w:val="28"/>
          <w:szCs w:val="28"/>
          <w:lang w:val="ru-RU"/>
        </w:rPr>
        <w:t xml:space="preserve"> </w:t>
      </w:r>
    </w:p>
    <w:p w14:paraId="467D87CF"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Главный вывод настоящей работы заключается в том, что выдвинутая гипотеза полностью подтверждена: оптимизация отраслевого портфеля за счет исключения кредитно-уязвимых эмитентов и добавления слабо коррелирующих активов-лидеров из других секторов позволяет сформировать диверсифицированный инструмент с кардинально улучшенным профилем «риск — доходность». Интеграция классической портфельной теории с углубленным корпоративным финансовым анализом предоставляет управляющему фондом надежный механизм для минимизации потерь и максимизации благосостояния пайщиков в условиях рыночной неопределенности.</w:t>
      </w:r>
      <w:r>
        <w:rPr>
          <w:rFonts w:ascii="Times New Roman" w:eastAsia="Times New Roman" w:hAnsi="Times New Roman" w:cs="Times New Roman"/>
          <w:color w:val="1F1F1F"/>
          <w:sz w:val="28"/>
          <w:szCs w:val="28"/>
          <w:lang w:val="ru-RU"/>
        </w:rPr>
        <w:t xml:space="preserve"> </w:t>
      </w:r>
    </w:p>
    <w:p w14:paraId="7E55C815" w14:textId="77777777" w:rsidR="00EB52E2" w:rsidRPr="004B6B88" w:rsidRDefault="00EB52E2">
      <w:pPr>
        <w:rPr>
          <w:rFonts w:ascii="Times New Roman" w:eastAsia="Times New Roman" w:hAnsi="Times New Roman" w:cs="Times New Roman"/>
          <w:b/>
          <w:bCs/>
          <w:color w:val="1F1F1F"/>
          <w:sz w:val="28"/>
          <w:szCs w:val="28"/>
          <w:lang w:val="ru-RU"/>
        </w:rPr>
      </w:pPr>
      <w:r>
        <w:rPr>
          <w:rFonts w:ascii="Times New Roman" w:eastAsia="Times New Roman" w:hAnsi="Times New Roman" w:cs="Times New Roman"/>
          <w:b/>
          <w:bCs/>
          <w:color w:val="1F1F1F"/>
          <w:sz w:val="28"/>
          <w:szCs w:val="28"/>
          <w:lang w:val="ru-RU"/>
        </w:rPr>
        <w:br w:type="page"/>
      </w:r>
    </w:p>
    <w:p w14:paraId="58CFE28B" w14:textId="48805550" w:rsidR="00EB52E2" w:rsidRPr="004B6B88" w:rsidRDefault="00EB52E2" w:rsidP="004B6B88">
      <w:pPr>
        <w:pStyle w:val="1"/>
        <w:spacing w:line="360" w:lineRule="auto"/>
        <w:rPr>
          <w:rFonts w:cs="Times New Roman"/>
          <w:lang w:val="ru-RU"/>
        </w:rPr>
      </w:pPr>
      <w:bookmarkStart w:id="14" w:name="_Toc233526130"/>
      <w:r>
        <w:rPr>
          <w:rFonts w:cs="Times New Roman"/>
          <w:lang w:val="ru-RU"/>
        </w:rPr>
        <w:lastRenderedPageBreak/>
        <w:t>Список использованных источников</w:t>
      </w:r>
      <w:bookmarkEnd w:id="14"/>
    </w:p>
    <w:p w14:paraId="25672537" w14:textId="5E4E885E" w:rsidR="003279C5" w:rsidRPr="004B6B88" w:rsidRDefault="003279C5" w:rsidP="004B6B88">
      <w:pPr>
        <w:pStyle w:val="a5"/>
        <w:numPr>
          <w:ilvl w:val="0"/>
          <w:numId w:val="24"/>
        </w:numPr>
        <w:spacing w:before="100" w:beforeAutospacing="1" w:after="100" w:afterAutospacing="1" w:line="360" w:lineRule="auto"/>
        <w:ind w:left="0" w:firstLine="709"/>
        <w:contextualSpacing w:val="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Гражданский кодекс Российской Федерации (часть первая) : федер. закон от 30.11.1994 № 51-ФЗ (актуальная редакция 2026 г.). – Москва : КонсультантПлюс, 2026. – Текст : электронный.</w:t>
      </w:r>
    </w:p>
    <w:p w14:paraId="010B7425" w14:textId="6E50C64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Налоговый кодекс Российской Федерации (часть вторая) : федер. закон от 05.08.2000 № 117-ФЗ (актуальная редакция 2026 г.). – Москва : КонсультантПлюс, 2026. – Текст : электронный.</w:t>
      </w:r>
    </w:p>
    <w:p w14:paraId="2F7355A8" w14:textId="65B9391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 рынке ценных бумаг : федер. закон от 22.04.1996 № 39-ФЗ (актуальная редакция 2026 г.). – Москва : КонсультантПлюс, 2026. – Текст : электронный.</w:t>
      </w:r>
    </w:p>
    <w:p w14:paraId="76A9D9EF" w14:textId="235BFDA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 инвестиционных фондах : федер. закон от 29.11.2001 № 156-ФЗ (актуальная редакция 2026 г.). – Москва : КонсультантПлюс, 2026. – Текст : электронный.</w:t>
      </w:r>
    </w:p>
    <w:p w14:paraId="6D1A8B3D" w14:textId="6D6804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 несостоятельности (банкротстве) : федер. закон от 26.10.2002 № 127-ФЗ (актуальная редакция 2026 г.). – Москва : КонсультантПлюс, 2026. – Текст : электронный.</w:t>
      </w:r>
    </w:p>
    <w:p w14:paraId="2E5C8A7D" w14:textId="57A43DB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 утверждении Положения по бухгалтерскому учёту «Бухгалтерская отчётность организации» ПБУ 4/99 : приказ Министерства финансов РФ от 06.07.1999 № 43н (актуальная редакция 2026 г.). – Москва : КонсультантПлюс, 2026. – Текст : электронный.</w:t>
      </w:r>
    </w:p>
    <w:p w14:paraId="2F39A378" w14:textId="08629B2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Аскинадзи, В. М. Инвестиции : учебник для бакалавров / В. М. Аскинадзи, В. Ф. Максимова. – Переиздание. – Москва : Издательство Юрайт, 2024. – 422 с. – Текст : непосредственный.</w:t>
      </w:r>
    </w:p>
    <w:p w14:paraId="51410610" w14:textId="1C535E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Батаева, Б. С. Корпоративное управление : учебное пособие / Б. С. Батаева. – Переиздание. – Москва : КНОРУС, 2024. – 184 с. – Текст : непосредственный.</w:t>
      </w:r>
    </w:p>
    <w:p w14:paraId="46927AFD" w14:textId="6739796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Бланк, И. А. Управление финансовой безопасностью предприятия / И. А. Бланк. – 3-е изд. – Москва : Омега-Л, 2024. – 784 с. – Текст : непосредственный.</w:t>
      </w:r>
    </w:p>
    <w:p w14:paraId="7C851A51" w14:textId="592F6F9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Брейли, Р. Принципы корпоративных финансов / Р. Брейли, С. Майерс ; пер. с англ. – Переиздание. – Москва : Олимп-Бизнес, 2024. – 1120 с. – Текст : непосредственный.</w:t>
      </w:r>
    </w:p>
    <w:p w14:paraId="194F9089" w14:textId="26E5840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Григорьева, Т. И. Финансовый анализ для менеджеров: оценка, прогноз : учебник / Т. И. Григорьева. – 4-е изд., перераб. и доп. – Москва : Издательство Юрайт, 2024. – 462 с. – Текст : непосредственный.</w:t>
      </w:r>
    </w:p>
    <w:p w14:paraId="1C689C08" w14:textId="43B2633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Грэхем, Б. Анализ ценных бумаг / Б. Грэхем, Д. Додд ; пер. с англ. – Переиздание. – Москва : Вильямс, 2024. – 878 с. – Текст : непосредственный.</w:t>
      </w:r>
    </w:p>
    <w:p w14:paraId="7436A496" w14:textId="258D5CC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Дамодаран, А. Инвестиционная оценка. Инструменты и техника оценки любых активов / А. Дамодаран ; пер. с англ. – Переиздание. – Москва : Альпина Паблишер, 2024. – 1316 с. – Текст : непосредственный.</w:t>
      </w:r>
    </w:p>
    <w:p w14:paraId="6F550BD8" w14:textId="372A26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Екимова, К. В. Финансовый менеджмент : учебник / К. В. Екимова, И. П. Савельева, К. В. Кардапольцев. – Переиздание. – Москва : Издательство Юрайт, 2024. – 381 с. – Текст : непосредственный.</w:t>
      </w:r>
    </w:p>
    <w:p w14:paraId="2CB45954" w14:textId="3CBA0DE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Ковалев, В. В. Введение в финансовый менеджмент / В. В. Ковалев. – Переиздание. – Москва : Финансы и статистика, 2024. – 767 с. – Текст : непосредственный.</w:t>
      </w:r>
    </w:p>
    <w:p w14:paraId="1DD3A8BC" w14:textId="30DB18F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Когденко, В. Г. Экономический анализ : учебное пособие / В. Г. Когденко. – 4-е изд., перераб. и доп. – Москва : ЮНИТИ-ДАНА, 2024. – 392 с. – Текст : непосредственный.</w:t>
      </w:r>
    </w:p>
    <w:p w14:paraId="5BFCF722" w14:textId="0712F41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Лимитовский, М. А. Корпоративный финансовый менеджмент : учебно-практическое пособие / М. А. Лимитовский, В. П. Паламарчук, Е. Н. Лобанова. – Переиздание. – Москва : Издательство Юрайт, 2024. – 990 с. – Текст : непосредственный.</w:t>
      </w:r>
    </w:p>
    <w:p w14:paraId="12A1AE18" w14:textId="48C8601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Лисицына, Е. В. Финансовый менеджмент : учебник / Е. В. Лисицына, Т. В. Ващенко, М. В. Забродина. – 3-е изд., испр. и доп. – Москва : ИНФРА-М, 2024. – 185 с. – Текст : непосредственный.</w:t>
      </w:r>
    </w:p>
    <w:p w14:paraId="5FA080EB" w14:textId="4657649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Лукасевич, И. Я. Инвестиции : учебник / И. Я. Лукасевич. – Переиздание. – Москва : Вузовский учебник : ИНФРА-М, 2024. – 413 с. – Текст : непосредственный.</w:t>
      </w:r>
    </w:p>
    <w:p w14:paraId="2B7EAC09" w14:textId="297E546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Никитина, Т. В. Основы портфельного инвестирования : учебник / Т. В. Никитина [и др.]. – 3-е изд., испр. и доп. – Москва : Издательство Юрайт, 2024. – 195 с. – Текст : непосредственный.</w:t>
      </w:r>
    </w:p>
    <w:p w14:paraId="359AA7FE" w14:textId="06FDE4B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Румянцева, Е. Е. Финансовый менеджмент : учебник / Е. Е. Румянцева. – Переиздание. – Москва : Издательство Юрайт, 2024. – 360 с. – Текст : непосредственный.</w:t>
      </w:r>
    </w:p>
    <w:p w14:paraId="092B8322" w14:textId="1FFCFA5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Савицкая, Г. В. Анализ хозяйственной деятельности предприятия : учебник / Г. В. Савицкая. – 7-е изд., испр. и доп. – Москва : ИНФРА-М, 2024. – 378 с. – Текст : непосредственный.</w:t>
      </w:r>
    </w:p>
    <w:p w14:paraId="65526A3E" w14:textId="2F8AA1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Сергеев, И. В. Инвестиции : учебник / И. В. Сергеев, И. И. Веретенникова, В. В. Шеховцов. – 4-е изд., перераб. и доп. – Москва : Издательство Юрайт, 2024. – 314 с. – Текст : непосредственный.</w:t>
      </w:r>
    </w:p>
    <w:p w14:paraId="25C2C3E3" w14:textId="17C875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Теплова, Т. В. Инвестиции : учебник и практикум для вузов / Т. В. Теплова. – 3-е изд., перераб. и доп. – Москва : Издательство Юрайт, 2026. – 781 с. – Текст : непосредственный.</w:t>
      </w:r>
    </w:p>
    <w:p w14:paraId="3BE19C81" w14:textId="3E816BE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Шарп, У. Ф. Инвестиции / У. Ф. Шарп, Г. Дж. Александер, Д. В. Бэйли ; пер. с англ. – Переиздание. – Москва : ИНФРА-М, 2024. – 1027 с. – Текст : непосредственный.</w:t>
      </w:r>
    </w:p>
    <w:p w14:paraId="593DCDD0" w14:textId="484B49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Юзвович, Л. И. Инвестиции : учебник для вузов / Л. И. Юзвович [и др.]. – Переиздание. – Екатеринбург : Изд-во Урал. ун-та ; Москва : ФЛИНТА, 2024. – 612 с. – Текст : непосредственный.</w:t>
      </w:r>
    </w:p>
    <w:p w14:paraId="330D934F" w14:textId="35913C6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Батаева, Б. С. Влияние раскрытия ESG-показателей на финансовые результаты / Б. С. Батаева, А. Д. Кокурина. – Текст : непосредственный // Экономика. Налоги. Право. – 2024 (переиздание). – № 4. – С. 62–71.</w:t>
      </w:r>
    </w:p>
    <w:p w14:paraId="2AD90302" w14:textId="7A2CBF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Гайфуллина, М. М. Корреляционно-регрессионный анализ инвестиционной привлекательности отрасли / М. М. Гайфуллина, Г. З. Низамова. – Текст : непосредственный // Управление. – 2024 (переиздание). – Т. 12, № 3. – С. 27–38.</w:t>
      </w:r>
    </w:p>
    <w:p w14:paraId="62553E3D" w14:textId="6CB28FC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Колесниченко, Д. М. Оценка влияния диверсификации на эффективность инвестиционного портфеля / Д. М. Колесниченко. – Текст : непосредственный // Вестник экономического научного общества студентов. – 2024 (переиздание). – № 2. – С. 14–22.</w:t>
      </w:r>
    </w:p>
    <w:p w14:paraId="7B41942E" w14:textId="08C7C6E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Мядзель, В. С. Проблемы и перспективы развития российской металлургии / В. С. Мядзель. – Текст : непосредственный // Экономические отношения. – 2024. – Т. 14, № 3. – С. 18–29.</w:t>
      </w:r>
    </w:p>
    <w:p w14:paraId="1DDEA9BD" w14:textId="776FC1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Радковская, Н. П. ESG-инвестиции и их влияние на развитие финансового рынка / Н. П. Радковская. – Текст : непосредственный // Наука и образование в условиях цифровой трансформации. – Санкт-Петербург : СПбГЭУ, 2024 (переиздание). – С. 182–187.</w:t>
      </w:r>
    </w:p>
    <w:p w14:paraId="02228969" w14:textId="1BB081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Старюк, П. Ю. Стратегическое управление стоимостью компании / П. Ю. Старюк. – Текст : непосредственный // Управление корпоративными финансами. – 2024 (переиздание). – № 2. – С. 12–21.</w:t>
      </w:r>
    </w:p>
    <w:p w14:paraId="01FE3B25" w14:textId="217951F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Чупина, И. П. Анализ состояния металлургической промышленности России / И. П. Чупина, А. В. Тарабардина. – Текст : непосредственный // Вектор экономики. – 2024. – № 3. – С. 11–19.</w:t>
      </w:r>
    </w:p>
    <w:p w14:paraId="112F9E30" w14:textId="0CC8059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Fama, E. F. Choosing factors / E. F. Fama, K. R. French. – Text : unmediated // Journal of Financial Economics. – 2024 (Reprint). – Vol. 128, no. 2. – P. 234–252.</w:t>
      </w:r>
    </w:p>
    <w:p w14:paraId="6AD45433" w14:textId="74D166A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Fama, E. F. The Capital Asset Pricing Model: Theory and Evidence / E. F. Fama, K. R. French. – Text : unmediated // Journal of Economic Perspectives. – 2024 (Reprint). – Vol. 18, no. 3. – P. 25–46.</w:t>
      </w:r>
    </w:p>
    <w:p w14:paraId="6EAF06A7" w14:textId="5EC3705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Markowitz, H. M. Portfolio Selection: Efficient Diversification of Investments / H. M. Markowitz. – New York : Wiley, 2024 (Reprint). – 344 p. – Text : unmediated.</w:t>
      </w:r>
    </w:p>
    <w:p w14:paraId="4B9F3279" w14:textId="7F6DE17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Markowitz, H. M. Portfolio Selection / H. M. Markowitz. – Text : unmediated // The Journal of Finance. – 2024 (Reprint). – Vol. 7, no. 1. – P. 77–91.</w:t>
      </w:r>
    </w:p>
    <w:p w14:paraId="356024E6" w14:textId="5F86B68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Sharpe, W. F. Capital asset prices: a theory of market equilibrium under conditions of risk / W. F. Sharpe. – Text : unmediated // The Journal of Finance. – 2024 (Reprint). – Vol. 19, no. 3. – P. 425–442.</w:t>
      </w:r>
    </w:p>
    <w:p w14:paraId="44745655" w14:textId="04EFAE9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Sharpe, W. F. Mutual Fund Performance / W. F. Sharpe. – Text : unmediated // The Journal of Business. – 2024 (Reprint). – Vol. 39, no. 1. – P. 119–138.</w:t>
      </w:r>
    </w:p>
    <w:p w14:paraId="3E20DF5C" w14:textId="44FDC13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Sortino, F. A. Performance Measurement in a Downside Risk Framework / F. A. Sortino, R. Van Der Meer. – Text : unmediated // The Journal of Portfolio Management. – 2024 (Reprint). – Vol. 18, no. 1. – P. 27–31.</w:t>
      </w:r>
    </w:p>
    <w:p w14:paraId="0E259628" w14:textId="4C7B6E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Treynor, J. L. How to Rate Management of Investment Funds / J. L. Treynor. – Text : unmediated // Harvard Business Review. – 2024 (Reprint). – Vol. 43, no. 1. – P. 63–75.</w:t>
      </w:r>
    </w:p>
    <w:p w14:paraId="52FE25D1" w14:textId="3B3C866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Jensen, M. C. The Performance of Mutual Funds in the Period 1945–1964 / M. C. Jensen. – Text : unmediated // The Journal of Finance. – 2024 (Reprint). – Vol. 23, no. 2. – P. 389–416.</w:t>
      </w:r>
    </w:p>
    <w:p w14:paraId="7AFD9FFC" w14:textId="6DD8C9C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Altman, E. I. Predicting Financial Distress of Companies: Revisiting the Z-Score and ZETA Models / E. I. Altman. – Text : unmediated // Stern School of Business Working Paper. – 2024 (Reprint). – 54 p.</w:t>
      </w:r>
    </w:p>
    <w:p w14:paraId="6EEF7750" w14:textId="5A1198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Black, F. The Pricing of Options and Corporate Liabilities / F. Black, M. Scholes. – Text : unmediated // Journal of Political Economy. – 2024 (Reprint). – Vol. 81, no. 3. – P. 637–654.</w:t>
      </w:r>
    </w:p>
    <w:p w14:paraId="73C12023" w14:textId="787E3CC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Damodaran, A. Investment Philosophies: Successful Strategies and the Investors Who Made Them Work / A. Damodaran. – 2nd ed. – Hoboken : Wiley, 2024 (Reprint). – 614 p. – Text : unmediated.</w:t>
      </w:r>
    </w:p>
    <w:p w14:paraId="52FAC418" w14:textId="190BD02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Банк России (Центральный банк Российской Федерации) : официальный сайт. – URL: </w:t>
      </w:r>
      <w:hyperlink r:id="rId10" w:tgtFrame="_blank" w:history="1">
        <w:r>
          <w:rPr>
            <w:rFonts w:ascii="Times New Roman" w:eastAsia="Times New Roman" w:hAnsi="Times New Roman" w:cs="Times New Roman"/>
            <w:color w:val="0000FF"/>
            <w:sz w:val="28"/>
            <w:szCs w:val="28"/>
            <w:u w:val="single"/>
            <w:lang w:val="ru-RU"/>
          </w:rPr>
          <w:t>https://www.cbr.ru/</w:t>
        </w:r>
      </w:hyperlink>
      <w:r>
        <w:rPr>
          <w:rFonts w:ascii="Times New Roman" w:eastAsia="Times New Roman" w:hAnsi="Times New Roman" w:cs="Times New Roman"/>
          <w:sz w:val="28"/>
          <w:szCs w:val="28"/>
          <w:lang w:val="ru-RU"/>
        </w:rPr>
        <w:t xml:space="preserve"> (дата обращения: 07.05.2026). – Текст : электронный.</w:t>
      </w:r>
    </w:p>
    <w:p w14:paraId="79419D6A" w14:textId="3BC4C6E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Московская Биржа : официальный сайт. – URL: </w:t>
      </w:r>
      <w:hyperlink r:id="rId11" w:tgtFrame="_blank" w:history="1">
        <w:r>
          <w:rPr>
            <w:rFonts w:ascii="Times New Roman" w:eastAsia="Times New Roman" w:hAnsi="Times New Roman" w:cs="Times New Roman"/>
            <w:color w:val="0000FF"/>
            <w:sz w:val="28"/>
            <w:szCs w:val="28"/>
            <w:u w:val="single"/>
            <w:lang w:val="ru-RU"/>
          </w:rPr>
          <w:t>https://www.moex.com/</w:t>
        </w:r>
      </w:hyperlink>
      <w:r>
        <w:rPr>
          <w:rFonts w:ascii="Times New Roman" w:eastAsia="Times New Roman" w:hAnsi="Times New Roman" w:cs="Times New Roman"/>
          <w:sz w:val="28"/>
          <w:szCs w:val="28"/>
          <w:lang w:val="ru-RU"/>
        </w:rPr>
        <w:t xml:space="preserve"> (дата обращения: 07.05.2026). – Текст : электронный.</w:t>
      </w:r>
    </w:p>
    <w:p w14:paraId="6540DD66" w14:textId="2C77374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«Северсталь» : годовая бухгалтерская отчётность и аудиторское заключение за 2025 год. – URL: </w:t>
      </w:r>
      <w:hyperlink r:id="rId12" w:tgtFrame="_blank" w:history="1">
        <w:r>
          <w:rPr>
            <w:rFonts w:ascii="Times New Roman" w:eastAsia="Times New Roman" w:hAnsi="Times New Roman" w:cs="Times New Roman"/>
            <w:color w:val="0000FF"/>
            <w:sz w:val="28"/>
            <w:szCs w:val="28"/>
            <w:u w:val="single"/>
            <w:lang w:val="ru-RU"/>
          </w:rPr>
          <w:t>https://severstal.com/</w:t>
        </w:r>
      </w:hyperlink>
      <w:r>
        <w:rPr>
          <w:rFonts w:ascii="Times New Roman" w:eastAsia="Times New Roman" w:hAnsi="Times New Roman" w:cs="Times New Roman"/>
          <w:sz w:val="28"/>
          <w:szCs w:val="28"/>
          <w:lang w:val="ru-RU"/>
        </w:rPr>
        <w:t xml:space="preserve"> (дата обращения: 06.05.2026). – Текст : электронный.</w:t>
      </w:r>
    </w:p>
    <w:p w14:paraId="047A6F7F" w14:textId="5398FC5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Федеральная служба государственной статистики (Росстат) : официальный сайт. – URL: </w:t>
      </w:r>
      <w:hyperlink r:id="rId13" w:tgtFrame="_blank" w:history="1">
        <w:r>
          <w:rPr>
            <w:rFonts w:ascii="Times New Roman" w:eastAsia="Times New Roman" w:hAnsi="Times New Roman" w:cs="Times New Roman"/>
            <w:color w:val="0000FF"/>
            <w:sz w:val="28"/>
            <w:szCs w:val="28"/>
            <w:u w:val="single"/>
            <w:lang w:val="ru-RU"/>
          </w:rPr>
          <w:t>https://rosstat.gov.ru/</w:t>
        </w:r>
      </w:hyperlink>
      <w:r>
        <w:rPr>
          <w:rFonts w:ascii="Times New Roman" w:eastAsia="Times New Roman" w:hAnsi="Times New Roman" w:cs="Times New Roman"/>
          <w:sz w:val="28"/>
          <w:szCs w:val="28"/>
          <w:lang w:val="ru-RU"/>
        </w:rPr>
        <w:t xml:space="preserve"> (дата обращения: 06.05.2026). – Текст : электронный.</w:t>
      </w:r>
    </w:p>
    <w:p w14:paraId="1C773808" w14:textId="77777777" w:rsidR="00BA7AD7" w:rsidRDefault="003279C5"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Центр раскрытия корпоративной информации «Интерфакс». – URL: </w:t>
      </w:r>
      <w:hyperlink r:id="rId14" w:tgtFrame="_blank" w:history="1">
        <w:r>
          <w:rPr>
            <w:rFonts w:ascii="Times New Roman" w:eastAsia="Times New Roman" w:hAnsi="Times New Roman" w:cs="Times New Roman"/>
            <w:color w:val="0000FF"/>
            <w:sz w:val="28"/>
            <w:szCs w:val="28"/>
            <w:u w:val="single"/>
            <w:lang w:val="ru-RU"/>
          </w:rPr>
          <w:t>https://www.e-disclosure.ru/</w:t>
        </w:r>
      </w:hyperlink>
      <w:r>
        <w:rPr>
          <w:rFonts w:ascii="Times New Roman" w:eastAsia="Times New Roman" w:hAnsi="Times New Roman" w:cs="Times New Roman"/>
          <w:sz w:val="28"/>
          <w:szCs w:val="28"/>
          <w:lang w:val="ru-RU"/>
        </w:rPr>
        <w:t xml:space="preserve"> (дата обращения: 06.05.2026). – Текст : электронный.</w:t>
      </w:r>
    </w:p>
    <w:p w14:paraId="5B24CF29" w14:textId="27D4741D" w:rsidR="004B6B88" w:rsidRPr="00BA7AD7" w:rsidRDefault="00EB1E9C"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BA7AD7">
        <w:rPr>
          <w:rFonts w:ascii="Times New Roman" w:hAnsi="Times New Roman" w:cs="Times New Roman"/>
          <w:sz w:val="28"/>
          <w:szCs w:val="28"/>
          <w:lang w:val="ru-RU"/>
        </w:rPr>
        <w:t>МКПАО «Яндекс» : годовой отчёт и финансовая отчётность за 2025 год. – URL: https://ir.yandex.ru/ (дата обращения: 10.05.2026). – Текст : электронный.</w:t>
      </w:r>
    </w:p>
    <w:p w14:paraId="02C39ADF" w14:textId="6174DBE5" w:rsidR="00793D47" w:rsidRPr="004B6B88" w:rsidRDefault="003E1833" w:rsidP="004B6B88">
      <w:pPr>
        <w:pStyle w:val="1"/>
        <w:spacing w:line="360" w:lineRule="auto"/>
        <w:rPr>
          <w:rFonts w:cs="Times New Roman"/>
          <w:lang w:val="ru-RU"/>
        </w:rPr>
      </w:pPr>
      <w:bookmarkStart w:id="15" w:name="_Toc233526131"/>
      <w:r>
        <w:rPr>
          <w:rFonts w:cs="Times New Roman"/>
          <w:lang w:val="ru-RU"/>
        </w:rPr>
        <w:lastRenderedPageBreak/>
        <w:t>ПРИЛОЖЕНИЯ</w:t>
      </w:r>
      <w:bookmarkEnd w:id="15"/>
    </w:p>
    <w:p w14:paraId="18DA8DC3" w14:textId="77777777" w:rsidR="003E1833" w:rsidRPr="004B6B88" w:rsidRDefault="003E1833" w:rsidP="004B6B88">
      <w:pPr>
        <w:spacing w:line="360" w:lineRule="auto"/>
        <w:rPr>
          <w:rFonts w:ascii="Times New Roman" w:hAnsi="Times New Roman" w:cs="Times New Roman"/>
          <w:sz w:val="28"/>
          <w:szCs w:val="28"/>
          <w:lang w:val="ru-RU"/>
        </w:rPr>
      </w:pPr>
    </w:p>
    <w:p w14:paraId="0B000300" w14:textId="7B848B42" w:rsidR="00343600" w:rsidRDefault="00EB1E9C">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sidR="00BA7AD7">
        <w:rPr>
          <w:rFonts w:ascii="Times New Roman" w:hAnsi="Times New Roman" w:cs="Times New Roman"/>
          <w:b/>
          <w:bCs/>
          <w:sz w:val="28"/>
          <w:szCs w:val="28"/>
          <w:lang w:val="ru-RU"/>
        </w:rPr>
        <w:t>1</w:t>
      </w:r>
      <w:r>
        <w:rPr>
          <w:rFonts w:ascii="Times New Roman" w:hAnsi="Times New Roman" w:cs="Times New Roman"/>
          <w:b/>
          <w:bCs/>
          <w:sz w:val="28"/>
          <w:szCs w:val="28"/>
          <w:lang w:val="ru-RU"/>
        </w:rPr>
        <w:t>. Расчёт недиагональных слагаемых матрицы ковариаций (ND = 2 × сумма ND-слагаемых)</w:t>
      </w:r>
    </w:p>
    <w:p w14:paraId="3543B54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2 — недиагональные слагаемые (i ≠ j, с коэффициентом 2):</w:t>
      </w:r>
    </w:p>
    <w:p w14:paraId="018E672C" w14:textId="4ABD7AB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ND = 2· [ w1·w2·Cov12 + w1·w3·Cov13 + w1·w4·Cov14 + w1·w5·Cov15 + w1·w6·Cov16</m:t>
          </m:r>
        </m:oMath>
      </m:oMathPara>
    </w:p>
    <w:p w14:paraId="4F18B88F" w14:textId="10CD522E"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w2·w3·Cov23 + w2·w4·Cov24 + w2·w5·Cov25 + w2·w6·Cov26</m:t>
          </m:r>
        </m:oMath>
      </m:oMathPara>
    </w:p>
    <w:p w14:paraId="026D1AEC" w14:textId="522D92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w3·w4·Cov34 + w3·w5·Cov35 + w3·w6·Cov36</m:t>
          </m:r>
        </m:oMath>
      </m:oMathPara>
    </w:p>
    <w:p w14:paraId="2EAE8DED" w14:textId="261D18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w4·w5·Cov45 + w4·w6·Cov46 + w5·w6·Cov56]</m:t>
          </m:r>
        </m:oMath>
      </m:oMathPara>
    </w:p>
    <w:p w14:paraId="79878DC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каждого слагаемого:</w:t>
      </w:r>
    </w:p>
    <w:p w14:paraId="6057ADA3" w14:textId="7E2F91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w1·w2·Cov12 = 0,284·0,191·0,066286 = 0,003587</m:t>
          </m:r>
        </m:oMath>
      </m:oMathPara>
    </w:p>
    <w:p w14:paraId="1EAD4106" w14:textId="17D8ED3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w1·w3·Cov13 = 0,284·0,130·0,056609 = 0,002092</m:t>
          </m:r>
        </m:oMath>
      </m:oMathPara>
    </w:p>
    <w:p w14:paraId="77A451DA" w14:textId="2DEB0C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w1·w4·Cov14 = 0,284·0,093·0,029025 = 0,000766</m:t>
          </m:r>
        </m:oMath>
      </m:oMathPara>
    </w:p>
    <w:p w14:paraId="75E50DC1" w14:textId="2F732F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w1·w5·Cov15 = 0,284·0,120·0,018162 = 0,000619</m:t>
          </m:r>
        </m:oMath>
      </m:oMathPara>
    </w:p>
    <w:p w14:paraId="6F4DA52A" w14:textId="64BB7FE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w1·w6·Cov16 = 0,284·0,103·0,018442 = 0,000539</m:t>
          </m:r>
        </m:oMath>
      </m:oMathPara>
    </w:p>
    <w:p w14:paraId="10C6266F" w14:textId="250417B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w2·w3·Cov23 = 0,191·0,130·0,052175 = 0,001296</m:t>
          </m:r>
        </m:oMath>
      </m:oMathPara>
    </w:p>
    <w:p w14:paraId="1CBD32A3" w14:textId="058AD0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w2·w4·Cov24 = 0,191·0,093·0,026370 = 0,000468</m:t>
          </m:r>
        </m:oMath>
      </m:oMathPara>
    </w:p>
    <w:p w14:paraId="214C678A" w14:textId="28173B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w2·w5·Cov25 = 0,191·0,120·0,015889 = 0,000364</m:t>
          </m:r>
        </m:oMath>
      </m:oMathPara>
    </w:p>
    <w:p w14:paraId="0B2CE830" w14:textId="3104C49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w2·w6·Cov26 = 0,191·0,103·0,016580 = 0,000326</m:t>
          </m:r>
        </m:oMath>
      </m:oMathPara>
    </w:p>
    <w:p w14:paraId="54D41EC0" w14:textId="1A3CB0E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w3·w4·Cov34 = 0,130·0,093·0,030105 = 0,000364</m:t>
          </m:r>
        </m:oMath>
      </m:oMathPara>
    </w:p>
    <w:p w14:paraId="68AC971F" w14:textId="174A549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w3·w5·Cov35 = 0,130·0,120·0,023068 = 0,000360</m:t>
          </m:r>
        </m:oMath>
      </m:oMathPara>
    </w:p>
    <w:p w14:paraId="402E6544" w14:textId="6BC96B7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w3·w6·Cov36 = 0,130·0,103·0,022222 = 0,000298</m:t>
          </m:r>
        </m:oMath>
      </m:oMathPara>
    </w:p>
    <w:p w14:paraId="4EEFB5D9" w14:textId="52892DB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w4·w5·Cov45 = 0,093·0,120·0,012029 = 0,000134</m:t>
          </m:r>
        </m:oMath>
      </m:oMathPara>
    </w:p>
    <w:p w14:paraId="5D201EFF" w14:textId="040CBBD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w:lastRenderedPageBreak/>
            <m:t>w4·w6·Cov46 = 0,093·0,103·0,010742 = 0,000103</m:t>
          </m:r>
        </m:oMath>
      </m:oMathPara>
    </w:p>
    <w:p w14:paraId="3451FC52" w14:textId="189E8ADB"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w5·w6·Cov56 = 0,120·0,103·0,026594 = 0,000329</m:t>
          </m:r>
        </m:oMath>
      </m:oMathPara>
    </w:p>
    <w:p w14:paraId="4849ADE8" w14:textId="14C2BE26"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Сумма слагаемых = 0,011645</m:t>
          </m:r>
        </m:oMath>
      </m:oMathPara>
    </w:p>
    <w:p w14:paraId="4DA16822" w14:textId="02392C1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ND = 2 · 0,011645 = 0,023290</m:t>
          </m:r>
        </m:oMath>
      </m:oMathPara>
    </w:p>
    <w:sectPr w:rsidR="002A4350" w:rsidRPr="004B6B88" w:rsidSect="009A2D3C">
      <w:footerReference w:type="default" r:id="rId15"/>
      <w:type w:val="odd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13A531" w14:textId="77777777" w:rsidR="00EB1E9C" w:rsidRDefault="00EB1E9C" w:rsidP="002C229C">
      <w:pPr>
        <w:spacing w:line="240" w:lineRule="auto"/>
      </w:pPr>
      <w:r>
        <w:separator/>
      </w:r>
    </w:p>
  </w:endnote>
  <w:endnote w:type="continuationSeparator" w:id="0">
    <w:p w14:paraId="2838682D" w14:textId="77777777" w:rsidR="00EB1E9C" w:rsidRDefault="00EB1E9C"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2CE699E6-611F-4774-BCD7-F49A4B236B2F}"/>
  </w:font>
  <w:font w:name="Tahoma">
    <w:panose1 w:val="020B0604030504040204"/>
    <w:charset w:val="CC"/>
    <w:family w:val="swiss"/>
    <w:pitch w:val="variable"/>
    <w:sig w:usb0="E1002EFF" w:usb1="C000605B" w:usb2="00000029" w:usb3="00000000" w:csb0="000101FF" w:csb1="00000000"/>
    <w:embedRegular r:id="rId2" w:fontKey="{5AD078D4-4918-4D15-8A62-911E6FC37FA4}"/>
  </w:font>
  <w:font w:name="Cambria Math">
    <w:panose1 w:val="02040503050406030204"/>
    <w:charset w:val="CC"/>
    <w:family w:val="roman"/>
    <w:pitch w:val="variable"/>
    <w:sig w:usb0="E00006FF" w:usb1="420024FF" w:usb2="02000000" w:usb3="00000000" w:csb0="0000019F" w:csb1="00000000"/>
    <w:embedRegular r:id="rId3" w:fontKey="{55559C74-22E2-4852-AFA6-9CBA8ADCF213}"/>
    <w:embedItalic r:id="rId4" w:fontKey="{2FC2D9F1-F1FB-41D9-A152-163D3C30DD88}"/>
  </w:font>
  <w:font w:name="Cambria">
    <w:panose1 w:val="02040503050406030204"/>
    <w:charset w:val="CC"/>
    <w:family w:val="roman"/>
    <w:pitch w:val="variable"/>
    <w:sig w:usb0="E00006FF" w:usb1="420024FF" w:usb2="02000000" w:usb3="00000000" w:csb0="0000019F" w:csb1="00000000"/>
    <w:embedRegular r:id="rId5" w:fontKey="{3757BD6E-1915-4603-8FFE-23E217BC0D0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1627610"/>
      <w:docPartObj>
        <w:docPartGallery w:val="Page Numbers (Bottom of Page)"/>
        <w:docPartUnique/>
      </w:docPartObj>
    </w:sdtPr>
    <w:sdtContent>
      <w:p w14:paraId="1CF1392D" w14:textId="23DC3FE7" w:rsidR="00EB1E9C" w:rsidRDefault="00EB1E9C">
        <w:pPr>
          <w:pStyle w:val="a9"/>
          <w:jc w:val="center"/>
        </w:pPr>
        <w:r>
          <w:fldChar w:fldCharType="begin"/>
        </w:r>
        <w:r>
          <w:instrText>PAGE   \* MERGEFORMAT</w:instrText>
        </w:r>
        <w:r>
          <w:fldChar w:fldCharType="separate"/>
        </w:r>
        <w:r w:rsidR="00711C8E" w:rsidRPr="00711C8E">
          <w:rPr>
            <w:noProof/>
            <w:lang w:val="ru-RU"/>
          </w:rPr>
          <w:t>8</w:t>
        </w:r>
        <w:r>
          <w:fldChar w:fldCharType="end"/>
        </w:r>
      </w:p>
    </w:sdtContent>
  </w:sdt>
  <w:p w14:paraId="0256EBE5" w14:textId="77777777" w:rsidR="00EB1E9C" w:rsidRDefault="00EB1E9C">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EB1E9C" w:rsidRPr="00CD1CF2" w:rsidRDefault="00EB1E9C">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711C8E" w:rsidRPr="00711C8E">
          <w:rPr>
            <w:rFonts w:ascii="Times New Roman" w:hAnsi="Times New Roman" w:cs="Times New Roman"/>
            <w:noProof/>
            <w:sz w:val="28"/>
            <w:szCs w:val="28"/>
            <w:lang w:val="ru-RU"/>
          </w:rPr>
          <w:t>28</w:t>
        </w:r>
        <w:r w:rsidRPr="00CD1CF2">
          <w:rPr>
            <w:rFonts w:ascii="Times New Roman" w:hAnsi="Times New Roman" w:cs="Times New Roman"/>
            <w:sz w:val="28"/>
            <w:szCs w:val="28"/>
          </w:rPr>
          <w:fldChar w:fldCharType="end"/>
        </w:r>
      </w:p>
    </w:sdtContent>
  </w:sdt>
  <w:p w14:paraId="2DF55FA3" w14:textId="77777777" w:rsidR="00EB1E9C" w:rsidRDefault="00EB1E9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ABF9CE" w14:textId="77777777" w:rsidR="00EB1E9C" w:rsidRDefault="00EB1E9C" w:rsidP="002C229C">
      <w:pPr>
        <w:spacing w:line="240" w:lineRule="auto"/>
      </w:pPr>
      <w:r>
        <w:separator/>
      </w:r>
    </w:p>
  </w:footnote>
  <w:footnote w:type="continuationSeparator" w:id="0">
    <w:p w14:paraId="7994CE22" w14:textId="77777777" w:rsidR="00EB1E9C" w:rsidRDefault="00EB1E9C" w:rsidP="002C229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D61AA"/>
    <w:multiLevelType w:val="hybridMultilevel"/>
    <w:tmpl w:val="5E8EECDA"/>
    <w:lvl w:ilvl="0" w:tplc="E25476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7835331"/>
    <w:multiLevelType w:val="multilevel"/>
    <w:tmpl w:val="7A9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497724"/>
    <w:multiLevelType w:val="multilevel"/>
    <w:tmpl w:val="EFD2F52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4E55539E"/>
    <w:multiLevelType w:val="multilevel"/>
    <w:tmpl w:val="4E55539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D1BED"/>
    <w:multiLevelType w:val="multilevel"/>
    <w:tmpl w:val="568D1B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5DA3"/>
    <w:multiLevelType w:val="multilevel"/>
    <w:tmpl w:val="E0CA24E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3249C"/>
    <w:multiLevelType w:val="hybridMultilevel"/>
    <w:tmpl w:val="58D0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6"/>
  </w:num>
  <w:num w:numId="3">
    <w:abstractNumId w:val="9"/>
  </w:num>
  <w:num w:numId="4">
    <w:abstractNumId w:val="27"/>
  </w:num>
  <w:num w:numId="5">
    <w:abstractNumId w:val="23"/>
  </w:num>
  <w:num w:numId="6">
    <w:abstractNumId w:val="21"/>
  </w:num>
  <w:num w:numId="7">
    <w:abstractNumId w:val="12"/>
  </w:num>
  <w:num w:numId="8">
    <w:abstractNumId w:val="17"/>
  </w:num>
  <w:num w:numId="9">
    <w:abstractNumId w:val="2"/>
  </w:num>
  <w:num w:numId="10">
    <w:abstractNumId w:val="25"/>
  </w:num>
  <w:num w:numId="11">
    <w:abstractNumId w:val="20"/>
  </w:num>
  <w:num w:numId="12">
    <w:abstractNumId w:val="11"/>
  </w:num>
  <w:num w:numId="13">
    <w:abstractNumId w:val="3"/>
  </w:num>
  <w:num w:numId="14">
    <w:abstractNumId w:val="18"/>
  </w:num>
  <w:num w:numId="15">
    <w:abstractNumId w:val="24"/>
  </w:num>
  <w:num w:numId="16">
    <w:abstractNumId w:val="0"/>
  </w:num>
  <w:num w:numId="17">
    <w:abstractNumId w:val="4"/>
  </w:num>
  <w:num w:numId="18">
    <w:abstractNumId w:val="7"/>
  </w:num>
  <w:num w:numId="19">
    <w:abstractNumId w:val="5"/>
  </w:num>
  <w:num w:numId="20">
    <w:abstractNumId w:val="13"/>
  </w:num>
  <w:num w:numId="21">
    <w:abstractNumId w:val="15"/>
  </w:num>
  <w:num w:numId="22">
    <w:abstractNumId w:val="10"/>
  </w:num>
  <w:num w:numId="23">
    <w:abstractNumId w:val="8"/>
  </w:num>
  <w:num w:numId="24">
    <w:abstractNumId w:val="22"/>
  </w:num>
  <w:num w:numId="25">
    <w:abstractNumId w:val="6"/>
  </w:num>
  <w:num w:numId="26">
    <w:abstractNumId w:val="19"/>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7F4"/>
    <w:rsid w:val="0000516F"/>
    <w:rsid w:val="00020A98"/>
    <w:rsid w:val="00041F4F"/>
    <w:rsid w:val="0004539D"/>
    <w:rsid w:val="00074069"/>
    <w:rsid w:val="0007704C"/>
    <w:rsid w:val="00081EFB"/>
    <w:rsid w:val="000C0B11"/>
    <w:rsid w:val="00202A9E"/>
    <w:rsid w:val="00205FD5"/>
    <w:rsid w:val="00217885"/>
    <w:rsid w:val="00220139"/>
    <w:rsid w:val="002A4350"/>
    <w:rsid w:val="002B401D"/>
    <w:rsid w:val="002C229C"/>
    <w:rsid w:val="00306918"/>
    <w:rsid w:val="0032374A"/>
    <w:rsid w:val="003279C5"/>
    <w:rsid w:val="00340369"/>
    <w:rsid w:val="00343600"/>
    <w:rsid w:val="00390B28"/>
    <w:rsid w:val="003E1833"/>
    <w:rsid w:val="00407C66"/>
    <w:rsid w:val="004167DF"/>
    <w:rsid w:val="0044331F"/>
    <w:rsid w:val="004605F7"/>
    <w:rsid w:val="00464434"/>
    <w:rsid w:val="00467F49"/>
    <w:rsid w:val="004962FA"/>
    <w:rsid w:val="004B6B88"/>
    <w:rsid w:val="004C1FFA"/>
    <w:rsid w:val="004C64C2"/>
    <w:rsid w:val="004D2295"/>
    <w:rsid w:val="004F3E51"/>
    <w:rsid w:val="0051150E"/>
    <w:rsid w:val="00564EEC"/>
    <w:rsid w:val="0057476F"/>
    <w:rsid w:val="00580BE4"/>
    <w:rsid w:val="0059624A"/>
    <w:rsid w:val="005F2182"/>
    <w:rsid w:val="00612FCD"/>
    <w:rsid w:val="00631EF4"/>
    <w:rsid w:val="00634639"/>
    <w:rsid w:val="00651146"/>
    <w:rsid w:val="00653A71"/>
    <w:rsid w:val="00673439"/>
    <w:rsid w:val="00675B6A"/>
    <w:rsid w:val="00677407"/>
    <w:rsid w:val="006C1187"/>
    <w:rsid w:val="00710322"/>
    <w:rsid w:val="00711C8E"/>
    <w:rsid w:val="00793D47"/>
    <w:rsid w:val="007B160D"/>
    <w:rsid w:val="007C0E83"/>
    <w:rsid w:val="007C0ED7"/>
    <w:rsid w:val="007D27F4"/>
    <w:rsid w:val="00823BB7"/>
    <w:rsid w:val="008521AF"/>
    <w:rsid w:val="0086447A"/>
    <w:rsid w:val="00871D2B"/>
    <w:rsid w:val="00876867"/>
    <w:rsid w:val="00884363"/>
    <w:rsid w:val="008B4AFE"/>
    <w:rsid w:val="008D7CA4"/>
    <w:rsid w:val="009155E2"/>
    <w:rsid w:val="0094314F"/>
    <w:rsid w:val="00946FA2"/>
    <w:rsid w:val="0097563D"/>
    <w:rsid w:val="009A2D3C"/>
    <w:rsid w:val="009E1691"/>
    <w:rsid w:val="00A30BC7"/>
    <w:rsid w:val="00AC39F8"/>
    <w:rsid w:val="00AC43B0"/>
    <w:rsid w:val="00AF1EBB"/>
    <w:rsid w:val="00AF4DC4"/>
    <w:rsid w:val="00B1614D"/>
    <w:rsid w:val="00B50D38"/>
    <w:rsid w:val="00B67275"/>
    <w:rsid w:val="00BA7AD7"/>
    <w:rsid w:val="00BB044B"/>
    <w:rsid w:val="00C04D93"/>
    <w:rsid w:val="00C32A1D"/>
    <w:rsid w:val="00C54970"/>
    <w:rsid w:val="00C76864"/>
    <w:rsid w:val="00CD00E9"/>
    <w:rsid w:val="00CD1CF2"/>
    <w:rsid w:val="00D2601B"/>
    <w:rsid w:val="00D5153A"/>
    <w:rsid w:val="00DA4464"/>
    <w:rsid w:val="00DA762D"/>
    <w:rsid w:val="00DD5FC9"/>
    <w:rsid w:val="00DE18F0"/>
    <w:rsid w:val="00E528FF"/>
    <w:rsid w:val="00E5368D"/>
    <w:rsid w:val="00E64932"/>
    <w:rsid w:val="00EB1E9C"/>
    <w:rsid w:val="00EB52E2"/>
    <w:rsid w:val="00EC4086"/>
    <w:rsid w:val="00F3147E"/>
    <w:rsid w:val="00F34C03"/>
    <w:rsid w:val="00F74D7F"/>
    <w:rsid w:val="00F834A7"/>
    <w:rsid w:val="00F8537A"/>
    <w:rsid w:val="00F9447B"/>
    <w:rsid w:val="00FB4C04"/>
    <w:rsid w:val="00FD20BF"/>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918"/>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Style">
    <w:name w:val="FormulaStyle"/>
    <w:basedOn w:val="a"/>
    <w:rsid w:val="004962FA"/>
    <w:pPr>
      <w:spacing w:before="60" w:after="60" w:line="360" w:lineRule="auto"/>
      <w:jc w:val="center"/>
    </w:pPr>
    <w:rPr>
      <w:rFonts w:ascii="Times New Roman" w:eastAsia="Times New Roman" w:hAnsi="Times New Roman" w:cs="Times New Roman"/>
      <w:sz w:val="28"/>
      <w:szCs w:val="28"/>
      <w:lang w:val="ru-RU"/>
    </w:rPr>
  </w:style>
  <w:style w:type="paragraph" w:styleId="30">
    <w:name w:val="toc 3"/>
    <w:basedOn w:val="a"/>
    <w:next w:val="a"/>
    <w:autoRedefine/>
    <w:uiPriority w:val="39"/>
    <w:unhideWhenUsed/>
    <w:rsid w:val="00EB52E2"/>
    <w:pPr>
      <w:spacing w:after="100"/>
      <w:ind w:left="440"/>
    </w:pPr>
  </w:style>
  <w:style w:type="character" w:customStyle="1" w:styleId="UnresolvedMention">
    <w:name w:val="Unresolved Mention"/>
    <w:basedOn w:val="a0"/>
    <w:uiPriority w:val="99"/>
    <w:semiHidden/>
    <w:unhideWhenUsed/>
    <w:rsid w:val="0032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sstat.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versta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x.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br.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disclosure.r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F1FBE-37DD-4D76-AEC0-E819DA0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72</Pages>
  <Words>14684</Words>
  <Characters>83701</Characters>
  <Application>Microsoft Office Word</Application>
  <DocSecurity>0</DocSecurity>
  <Lines>697</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Fujitsu</cp:lastModifiedBy>
  <cp:revision>5</cp:revision>
  <dcterms:created xsi:type="dcterms:W3CDTF">2026-06-28T08:50:00Z</dcterms:created>
  <dcterms:modified xsi:type="dcterms:W3CDTF">2026-06-28T09:09:00Z</dcterms:modified>
</cp:coreProperties>
</file>