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bottom w:val="single" w:sz="18" w:space="0" w:color="auto"/>
        </w:tblBorders>
        <w:tblLook w:val="04A0" w:firstRow="1" w:lastRow="0" w:firstColumn="1" w:lastColumn="0" w:noHBand="0" w:noVBand="1"/>
      </w:tblPr>
      <w:tblGrid>
        <w:gridCol w:w="9322"/>
      </w:tblGrid>
      <w:tr w:rsidR="00CD1CF2" w:rsidRPr="008F5DD0" w:rsidTr="004605F7">
        <w:trPr>
          <w:trHeight w:val="1361"/>
        </w:trPr>
        <w:tc>
          <w:tcPr>
            <w:tcW w:w="9322" w:type="dxa"/>
            <w:tcBorders>
              <w:bottom w:val="single" w:sz="12" w:space="0" w:color="auto"/>
            </w:tcBorders>
            <w:vAlign w:val="center"/>
          </w:tcPr>
          <w:p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bookmarkStart w:id="0" w:name="_GoBack"/>
            <w:bookmarkEnd w:id="0"/>
            <w:r w:rsidRPr="00CD1CF2">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sidRPr="00CD1CF2">
              <w:rPr>
                <w:rFonts w:ascii="Times New Roman" w:eastAsia="Times New Roman" w:hAnsi="Times New Roman" w:cs="Times New Roman"/>
                <w:b/>
                <w:sz w:val="24"/>
                <w:szCs w:val="24"/>
                <w:lang w:val="ru-RU"/>
              </w:rPr>
              <w:t>МИНОБРНАУКИ РОССИИ</w:t>
            </w:r>
          </w:p>
          <w:p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sidRPr="00CD1CF2">
              <w:rPr>
                <w:rFonts w:ascii="Times New Roman" w:eastAsia="Times New Roman" w:hAnsi="Times New Roman" w:cs="Times New Roman"/>
                <w:bCs/>
                <w:sz w:val="24"/>
                <w:szCs w:val="24"/>
                <w:lang w:val="ru-RU"/>
              </w:rPr>
              <w:t>федеральное государственное бюджетное образовательное</w:t>
            </w:r>
          </w:p>
          <w:p w:rsidR="00CD1CF2" w:rsidRPr="00CD1CF2" w:rsidRDefault="00CD1CF2" w:rsidP="004605F7">
            <w:pPr>
              <w:spacing w:line="240" w:lineRule="auto"/>
              <w:jc w:val="center"/>
              <w:rPr>
                <w:rFonts w:ascii="Times New Roman" w:eastAsia="Times New Roman" w:hAnsi="Times New Roman" w:cs="Times New Roman"/>
                <w:sz w:val="24"/>
                <w:szCs w:val="24"/>
                <w:lang w:val="ru-RU"/>
              </w:rPr>
            </w:pPr>
            <w:r w:rsidRPr="00CD1CF2">
              <w:rPr>
                <w:rFonts w:ascii="Times New Roman" w:eastAsia="Times New Roman" w:hAnsi="Times New Roman" w:cs="Times New Roman"/>
                <w:sz w:val="24"/>
                <w:szCs w:val="24"/>
                <w:lang w:val="ru-RU"/>
              </w:rPr>
              <w:t>учреждение высшего образования</w:t>
            </w:r>
          </w:p>
          <w:p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b/>
                <w:sz w:val="24"/>
                <w:szCs w:val="24"/>
                <w:lang w:val="ru-RU"/>
              </w:rPr>
              <w:t>«Национальный исследовательский университет «МЭИ»</w:t>
            </w:r>
          </w:p>
          <w:p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rsidTr="004605F7">
        <w:trPr>
          <w:trHeight w:val="371"/>
        </w:trPr>
        <w:tc>
          <w:tcPr>
            <w:tcW w:w="6180" w:type="dxa"/>
          </w:tcPr>
          <w:p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sz w:val="26"/>
                <w:szCs w:val="26"/>
              </w:rPr>
              <w:t>ИнЭИ</w:t>
            </w:r>
            <w:proofErr w:type="spellEnd"/>
          </w:p>
        </w:tc>
      </w:tr>
      <w:tr w:rsidR="00CD1CF2" w:rsidRPr="00CD1CF2" w:rsidTr="004605F7">
        <w:trPr>
          <w:trHeight w:val="303"/>
        </w:trPr>
        <w:tc>
          <w:tcPr>
            <w:tcW w:w="6180" w:type="dxa"/>
          </w:tcPr>
          <w:p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sz w:val="26"/>
                <w:szCs w:val="26"/>
              </w:rPr>
              <w:t>ЭЭП</w:t>
            </w:r>
          </w:p>
        </w:tc>
      </w:tr>
    </w:tbl>
    <w:p w:rsidR="00CD1CF2" w:rsidRPr="00CD1CF2" w:rsidRDefault="00CD1CF2" w:rsidP="00CD1CF2">
      <w:pPr>
        <w:spacing w:line="240" w:lineRule="auto"/>
        <w:jc w:val="center"/>
        <w:rPr>
          <w:rFonts w:ascii="Times New Roman" w:eastAsia="Times New Roman" w:hAnsi="Times New Roman" w:cs="Times New Roman"/>
          <w:b/>
          <w:caps/>
          <w:sz w:val="26"/>
          <w:szCs w:val="26"/>
        </w:rPr>
      </w:pPr>
    </w:p>
    <w:p w:rsidR="00CD1CF2" w:rsidRPr="00CD1CF2" w:rsidRDefault="00CD1CF2" w:rsidP="00CD1CF2">
      <w:pPr>
        <w:spacing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ВЫПУСКНАЯ КВАЛИФИКАЦИОННАЯ РАБОТА</w:t>
      </w:r>
    </w:p>
    <w:p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00CD1CF2" w:rsidRPr="00CD1CF2" w:rsidTr="004605F7">
        <w:trPr>
          <w:trHeight w:val="292"/>
        </w:trPr>
        <w:tc>
          <w:tcPr>
            <w:tcW w:w="1943" w:type="dxa"/>
            <w:gridSpan w:val="4"/>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Направление</w:t>
            </w:r>
            <w:proofErr w:type="spellEnd"/>
          </w:p>
        </w:tc>
        <w:tc>
          <w:tcPr>
            <w:tcW w:w="7426" w:type="dxa"/>
            <w:gridSpan w:val="12"/>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noProof/>
                <w:sz w:val="26"/>
                <w:szCs w:val="26"/>
              </w:rPr>
              <w:t>38.03.01 Экономика</w:t>
            </w:r>
          </w:p>
        </w:tc>
      </w:tr>
      <w:tr w:rsidR="00CD1CF2" w:rsidRPr="0048431F" w:rsidTr="004605F7">
        <w:trPr>
          <w:trHeight w:val="283"/>
        </w:trPr>
        <w:tc>
          <w:tcPr>
            <w:tcW w:w="1972" w:type="dxa"/>
            <w:gridSpan w:val="5"/>
            <w:tcBorders>
              <w:top w:val="single" w:sz="4" w:space="0" w:color="auto"/>
            </w:tcBorders>
            <w:vAlign w:val="bottom"/>
          </w:tcPr>
          <w:p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1"/>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trike/>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код</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наименование</w:t>
            </w:r>
            <w:proofErr w:type="spellEnd"/>
            <w:r w:rsidRPr="0048431F">
              <w:rPr>
                <w:rFonts w:ascii="Times New Roman" w:eastAsia="Times New Roman" w:hAnsi="Times New Roman" w:cs="Times New Roman"/>
                <w:sz w:val="20"/>
                <w:szCs w:val="20"/>
              </w:rPr>
              <w:t>)</w:t>
            </w:r>
          </w:p>
        </w:tc>
      </w:tr>
      <w:tr w:rsidR="00CD1CF2" w:rsidRPr="0048431F" w:rsidTr="004605F7">
        <w:trPr>
          <w:trHeight w:val="331"/>
        </w:trPr>
        <w:tc>
          <w:tcPr>
            <w:tcW w:w="3404" w:type="dxa"/>
            <w:gridSpan w:val="10"/>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Образовательная</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программа</w:t>
            </w:r>
            <w:proofErr w:type="spellEnd"/>
          </w:p>
        </w:tc>
        <w:tc>
          <w:tcPr>
            <w:tcW w:w="5965" w:type="dxa"/>
            <w:gridSpan w:val="6"/>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Корпоративные финансы</w:t>
            </w:r>
          </w:p>
        </w:tc>
      </w:tr>
      <w:tr w:rsidR="00CD1CF2" w:rsidRPr="0048431F" w:rsidTr="004605F7">
        <w:trPr>
          <w:trHeight w:val="510"/>
        </w:trPr>
        <w:tc>
          <w:tcPr>
            <w:tcW w:w="2397" w:type="dxa"/>
            <w:gridSpan w:val="9"/>
            <w:tcBorders>
              <w:top w:val="single" w:sz="4" w:space="0" w:color="auto"/>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Форма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обучения</w:t>
            </w:r>
            <w:proofErr w:type="spellEnd"/>
          </w:p>
        </w:tc>
        <w:tc>
          <w:tcPr>
            <w:tcW w:w="6972" w:type="dxa"/>
            <w:gridSpan w:val="7"/>
            <w:tcBorders>
              <w:top w:val="single" w:sz="4" w:space="0" w:color="auto"/>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очная</w:t>
            </w:r>
          </w:p>
        </w:tc>
      </w:tr>
      <w:tr w:rsidR="00CD1CF2" w:rsidRPr="0048431F" w:rsidTr="004605F7">
        <w:trPr>
          <w:trHeight w:val="283"/>
        </w:trPr>
        <w:tc>
          <w:tcPr>
            <w:tcW w:w="2397" w:type="dxa"/>
            <w:gridSpan w:val="9"/>
            <w:tcBorders>
              <w:top w:val="single" w:sz="4" w:space="0" w:color="auto"/>
            </w:tcBorders>
          </w:tcPr>
          <w:p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7"/>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очно-заочная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заочная</w:t>
            </w:r>
            <w:proofErr w:type="spellEnd"/>
            <w:r w:rsidRPr="0048431F">
              <w:rPr>
                <w:rFonts w:ascii="Times New Roman" w:eastAsia="Times New Roman" w:hAnsi="Times New Roman" w:cs="Times New Roman"/>
                <w:sz w:val="20"/>
                <w:szCs w:val="20"/>
              </w:rPr>
              <w:t>)</w:t>
            </w:r>
          </w:p>
        </w:tc>
      </w:tr>
      <w:tr w:rsidR="00CD1CF2" w:rsidRPr="008F5DD0" w:rsidTr="004605F7">
        <w:trPr>
          <w:trHeight w:val="283"/>
        </w:trPr>
        <w:tc>
          <w:tcPr>
            <w:tcW w:w="984" w:type="dxa"/>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Тема</w:t>
            </w:r>
            <w:proofErr w:type="spellEnd"/>
            <w:r w:rsidRPr="00CD1CF2">
              <w:rPr>
                <w:rFonts w:ascii="Times New Roman" w:eastAsia="Times New Roman" w:hAnsi="Times New Roman" w:cs="Times New Roman"/>
                <w:b/>
                <w:sz w:val="26"/>
                <w:szCs w:val="26"/>
              </w:rPr>
              <w:t>:</w:t>
            </w:r>
          </w:p>
        </w:tc>
        <w:tc>
          <w:tcPr>
            <w:tcW w:w="8385" w:type="dxa"/>
            <w:gridSpan w:val="15"/>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sidRPr="00CD1CF2">
              <w:rPr>
                <w:rFonts w:ascii="Times New Roman" w:eastAsia="Times New Roman" w:hAnsi="Times New Roman" w:cs="Times New Roman"/>
                <w:noProof/>
                <w:sz w:val="26"/>
                <w:szCs w:val="26"/>
                <w:lang w:val="ru-RU"/>
              </w:rPr>
              <w:t>Оценка состава</w:t>
            </w:r>
            <w:r w:rsidR="00E2290B">
              <w:rPr>
                <w:rFonts w:ascii="Times New Roman" w:eastAsia="Times New Roman" w:hAnsi="Times New Roman" w:cs="Times New Roman"/>
                <w:noProof/>
                <w:sz w:val="26"/>
                <w:szCs w:val="26"/>
                <w:lang w:val="ru-RU"/>
              </w:rPr>
              <w:t xml:space="preserve"> и качества</w:t>
            </w:r>
            <w:r w:rsidRPr="00CD1CF2">
              <w:rPr>
                <w:rFonts w:ascii="Times New Roman" w:eastAsia="Times New Roman" w:hAnsi="Times New Roman" w:cs="Times New Roman"/>
                <w:noProof/>
                <w:sz w:val="26"/>
                <w:szCs w:val="26"/>
                <w:lang w:val="ru-RU"/>
              </w:rPr>
              <w:t xml:space="preserve"> инвестиционного портфеля ОПИФ РФИ "ВИМ - Металлургия" и разработка рекомендаций по его оптимизации</w:t>
            </w:r>
          </w:p>
        </w:tc>
      </w:tr>
      <w:tr w:rsidR="00CD1CF2" w:rsidRPr="0048431F" w:rsidTr="004605F7">
        <w:trPr>
          <w:trHeight w:val="624"/>
        </w:trPr>
        <w:tc>
          <w:tcPr>
            <w:tcW w:w="1293" w:type="dxa"/>
            <w:gridSpan w:val="3"/>
            <w:tcBorders>
              <w:top w:val="single" w:sz="4" w:space="0" w:color="auto"/>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rsidR="00CD1CF2" w:rsidRPr="00A30C68" w:rsidRDefault="00A30C68" w:rsidP="004605F7">
            <w:pPr>
              <w:spacing w:line="240" w:lineRule="auto"/>
              <w:jc w:val="center"/>
              <w:rPr>
                <w:rFonts w:ascii="Times New Roman" w:eastAsia="Times New Roman" w:hAnsi="Times New Roman" w:cs="Times New Roman"/>
                <w:b/>
                <w:sz w:val="26"/>
                <w:szCs w:val="26"/>
                <w:lang w:val="ru-RU"/>
              </w:rPr>
            </w:pPr>
            <w:r>
              <w:rPr>
                <w:rFonts w:ascii="Times New Roman" w:eastAsia="Times New Roman" w:hAnsi="Times New Roman" w:cs="Times New Roman"/>
                <w:b/>
                <w:sz w:val="26"/>
                <w:szCs w:val="26"/>
                <w:lang w:val="ru-RU"/>
              </w:rPr>
              <w:t>ИЭ-22а-22</w:t>
            </w:r>
          </w:p>
        </w:tc>
        <w:tc>
          <w:tcPr>
            <w:tcW w:w="2140" w:type="dxa"/>
            <w:gridSpan w:val="3"/>
            <w:tcBorders>
              <w:top w:val="single" w:sz="4" w:space="0" w:color="auto"/>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2"/>
            <w:tcBorders>
              <w:top w:val="single" w:sz="4" w:space="0" w:color="auto"/>
              <w:bottom w:val="single" w:sz="4" w:space="0" w:color="auto"/>
            </w:tcBorders>
            <w:vAlign w:val="bottom"/>
          </w:tcPr>
          <w:p w:rsidR="00CD1CF2" w:rsidRPr="00CD1CF2" w:rsidRDefault="00A30C68" w:rsidP="004605F7">
            <w:pPr>
              <w:spacing w:line="240" w:lineRule="auto"/>
              <w:jc w:val="center"/>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lang w:val="ru-RU"/>
              </w:rPr>
              <w:t>Колпаков А.П.</w:t>
            </w:r>
          </w:p>
        </w:tc>
      </w:tr>
      <w:tr w:rsidR="00CD1CF2" w:rsidRPr="0048431F" w:rsidTr="004605F7">
        <w:trPr>
          <w:trHeight w:val="283"/>
        </w:trPr>
        <w:tc>
          <w:tcPr>
            <w:tcW w:w="1263" w:type="dxa"/>
            <w:gridSpan w:val="2"/>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3698" w:type="dxa"/>
            <w:gridSpan w:val="2"/>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A30C68" w:rsidTr="004605F7">
        <w:trPr>
          <w:trHeight w:val="624"/>
        </w:trPr>
        <w:tc>
          <w:tcPr>
            <w:tcW w:w="2125" w:type="dxa"/>
            <w:gridSpan w:val="8"/>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Руководитель</w:t>
            </w:r>
            <w:proofErr w:type="spellEnd"/>
            <w:r w:rsidRPr="00CD1CF2">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6"/>
                <w:szCs w:val="26"/>
                <w:lang w:val="ru-RU"/>
              </w:rPr>
            </w:pPr>
          </w:p>
        </w:tc>
        <w:tc>
          <w:tcPr>
            <w:tcW w:w="2267" w:type="dxa"/>
            <w:gridSpan w:val="4"/>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1134" w:type="dxa"/>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tcBorders>
              <w:bottom w:val="single" w:sz="4" w:space="0" w:color="auto"/>
            </w:tcBorders>
            <w:vAlign w:val="bottom"/>
          </w:tcPr>
          <w:p w:rsidR="00CD1CF2" w:rsidRPr="00CD1CF2" w:rsidRDefault="00A30C68"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Ларина И.Е.</w:t>
            </w:r>
          </w:p>
        </w:tc>
      </w:tr>
      <w:tr w:rsidR="00CD1CF2" w:rsidRPr="00A30C68" w:rsidTr="004605F7">
        <w:trPr>
          <w:trHeight w:val="283"/>
        </w:trPr>
        <w:tc>
          <w:tcPr>
            <w:tcW w:w="2125" w:type="dxa"/>
            <w:gridSpan w:val="8"/>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p>
        </w:tc>
        <w:tc>
          <w:tcPr>
            <w:tcW w:w="1279" w:type="dxa"/>
            <w:gridSpan w:val="2"/>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уч. степень</w:t>
            </w:r>
          </w:p>
        </w:tc>
        <w:tc>
          <w:tcPr>
            <w:tcW w:w="2267" w:type="dxa"/>
            <w:gridSpan w:val="4"/>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должность</w:t>
            </w:r>
          </w:p>
        </w:tc>
        <w:tc>
          <w:tcPr>
            <w:tcW w:w="1134" w:type="dxa"/>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подпись</w:t>
            </w:r>
          </w:p>
        </w:tc>
        <w:tc>
          <w:tcPr>
            <w:tcW w:w="2564" w:type="dxa"/>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фамилия и инициалы</w:t>
            </w:r>
          </w:p>
        </w:tc>
      </w:tr>
      <w:tr w:rsidR="00CD1CF2" w:rsidRPr="00A30C68" w:rsidTr="004605F7">
        <w:trPr>
          <w:trHeight w:val="624"/>
        </w:trPr>
        <w:tc>
          <w:tcPr>
            <w:tcW w:w="2118" w:type="dxa"/>
            <w:gridSpan w:val="7"/>
            <w:tcBorders>
              <w:bottom w:val="single" w:sz="4" w:space="0" w:color="auto"/>
            </w:tcBorders>
            <w:vAlign w:val="bottom"/>
          </w:tcPr>
          <w:p w:rsidR="00CD1CF2" w:rsidRPr="00A30C68" w:rsidRDefault="00CD1CF2" w:rsidP="004605F7">
            <w:pPr>
              <w:spacing w:line="240" w:lineRule="auto"/>
              <w:rPr>
                <w:rFonts w:ascii="Times New Roman" w:eastAsia="Times New Roman" w:hAnsi="Times New Roman" w:cs="Times New Roman"/>
                <w:sz w:val="26"/>
                <w:szCs w:val="26"/>
                <w:lang w:val="ru-RU"/>
              </w:rPr>
            </w:pPr>
            <w:r w:rsidRPr="00A30C68">
              <w:rPr>
                <w:rFonts w:ascii="Times New Roman" w:eastAsia="Times New Roman" w:hAnsi="Times New Roman" w:cs="Times New Roman"/>
                <w:b/>
                <w:sz w:val="26"/>
                <w:szCs w:val="26"/>
                <w:lang w:val="ru-RU"/>
              </w:rPr>
              <w:t>Консультант</w:t>
            </w:r>
          </w:p>
        </w:tc>
        <w:tc>
          <w:tcPr>
            <w:tcW w:w="1286" w:type="dxa"/>
            <w:gridSpan w:val="3"/>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8"/>
                <w:szCs w:val="28"/>
                <w:lang w:val="ru-RU"/>
              </w:rPr>
            </w:pPr>
          </w:p>
        </w:tc>
        <w:tc>
          <w:tcPr>
            <w:tcW w:w="2267" w:type="dxa"/>
            <w:gridSpan w:val="4"/>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8"/>
                <w:szCs w:val="28"/>
                <w:lang w:val="ru-RU"/>
              </w:rPr>
            </w:pPr>
          </w:p>
        </w:tc>
        <w:tc>
          <w:tcPr>
            <w:tcW w:w="1134" w:type="dxa"/>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8"/>
                <w:szCs w:val="28"/>
                <w:lang w:val="ru-RU"/>
              </w:rPr>
            </w:pPr>
          </w:p>
        </w:tc>
        <w:tc>
          <w:tcPr>
            <w:tcW w:w="2564" w:type="dxa"/>
            <w:tcBorders>
              <w:bottom w:val="single" w:sz="4" w:space="0" w:color="auto"/>
            </w:tcBorders>
            <w:vAlign w:val="bottom"/>
          </w:tcPr>
          <w:p w:rsidR="00CD1CF2" w:rsidRPr="00A30C68" w:rsidRDefault="00CD1CF2" w:rsidP="004605F7">
            <w:pPr>
              <w:spacing w:line="240" w:lineRule="auto"/>
              <w:jc w:val="center"/>
              <w:rPr>
                <w:rFonts w:ascii="Times New Roman" w:eastAsia="Times New Roman" w:hAnsi="Times New Roman" w:cs="Times New Roman"/>
                <w:noProof/>
                <w:sz w:val="28"/>
                <w:szCs w:val="28"/>
                <w:lang w:val="ru-RU"/>
              </w:rPr>
            </w:pPr>
          </w:p>
        </w:tc>
      </w:tr>
      <w:tr w:rsidR="00CD1CF2" w:rsidRPr="00A30C68" w:rsidTr="004605F7">
        <w:trPr>
          <w:trHeight w:val="283"/>
        </w:trPr>
        <w:tc>
          <w:tcPr>
            <w:tcW w:w="2118" w:type="dxa"/>
            <w:gridSpan w:val="7"/>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b/>
                <w:sz w:val="28"/>
                <w:szCs w:val="28"/>
                <w:lang w:val="ru-RU"/>
              </w:rPr>
            </w:pPr>
          </w:p>
        </w:tc>
        <w:tc>
          <w:tcPr>
            <w:tcW w:w="1286" w:type="dxa"/>
            <w:gridSpan w:val="3"/>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уч. степень</w:t>
            </w:r>
          </w:p>
        </w:tc>
        <w:tc>
          <w:tcPr>
            <w:tcW w:w="2267" w:type="dxa"/>
            <w:gridSpan w:val="4"/>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должность</w:t>
            </w:r>
          </w:p>
        </w:tc>
        <w:tc>
          <w:tcPr>
            <w:tcW w:w="1134" w:type="dxa"/>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подпись</w:t>
            </w:r>
          </w:p>
        </w:tc>
        <w:tc>
          <w:tcPr>
            <w:tcW w:w="2564" w:type="dxa"/>
            <w:tcBorders>
              <w:top w:val="single" w:sz="4" w:space="0" w:color="auto"/>
            </w:tcBorders>
          </w:tcPr>
          <w:p w:rsidR="00CD1CF2" w:rsidRPr="00A30C68" w:rsidRDefault="00CD1CF2" w:rsidP="004605F7">
            <w:pPr>
              <w:spacing w:line="240" w:lineRule="auto"/>
              <w:jc w:val="center"/>
              <w:rPr>
                <w:rFonts w:ascii="Times New Roman" w:eastAsia="Times New Roman" w:hAnsi="Times New Roman" w:cs="Times New Roman"/>
                <w:sz w:val="20"/>
                <w:szCs w:val="20"/>
                <w:lang w:val="ru-RU"/>
              </w:rPr>
            </w:pPr>
            <w:r w:rsidRPr="00A30C68">
              <w:rPr>
                <w:rFonts w:ascii="Times New Roman" w:eastAsia="Times New Roman" w:hAnsi="Times New Roman" w:cs="Times New Roman"/>
                <w:sz w:val="20"/>
                <w:szCs w:val="20"/>
                <w:lang w:val="ru-RU"/>
              </w:rPr>
              <w:t>фамилия и инициалы</w:t>
            </w:r>
          </w:p>
        </w:tc>
      </w:tr>
      <w:tr w:rsidR="00CD1CF2" w:rsidRPr="0048431F" w:rsidTr="004605F7">
        <w:trPr>
          <w:trHeight w:val="624"/>
        </w:trPr>
        <w:tc>
          <w:tcPr>
            <w:tcW w:w="2118" w:type="dxa"/>
            <w:gridSpan w:val="7"/>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A30C68">
              <w:rPr>
                <w:rFonts w:ascii="Times New Roman" w:eastAsia="Times New Roman" w:hAnsi="Times New Roman" w:cs="Times New Roman"/>
                <w:b/>
                <w:sz w:val="26"/>
                <w:szCs w:val="26"/>
                <w:lang w:val="ru-RU"/>
              </w:rPr>
              <w:t>Внешни</w:t>
            </w:r>
            <w:proofErr w:type="spellEnd"/>
            <w:r w:rsidRPr="00CD1CF2">
              <w:rPr>
                <w:rFonts w:ascii="Times New Roman" w:eastAsia="Times New Roman" w:hAnsi="Times New Roman" w:cs="Times New Roman"/>
                <w:b/>
                <w:sz w:val="26"/>
                <w:szCs w:val="26"/>
              </w:rPr>
              <w:t xml:space="preserve">й </w:t>
            </w: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rsidTr="004605F7">
        <w:trPr>
          <w:trHeight w:val="283"/>
        </w:trPr>
        <w:tc>
          <w:tcPr>
            <w:tcW w:w="2118" w:type="dxa"/>
            <w:gridSpan w:val="7"/>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
          <w:p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proofErr w:type="gramStart"/>
            <w:r w:rsidRPr="0048431F">
              <w:rPr>
                <w:rFonts w:ascii="Times New Roman" w:eastAsia="Times New Roman" w:hAnsi="Times New Roman" w:cs="Times New Roman"/>
                <w:sz w:val="20"/>
                <w:szCs w:val="20"/>
              </w:rPr>
              <w:t>уч</w:t>
            </w:r>
            <w:proofErr w:type="spellEnd"/>
            <w:proofErr w:type="gram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rsidTr="004605F7">
        <w:trPr>
          <w:trHeight w:val="80"/>
        </w:trPr>
        <w:tc>
          <w:tcPr>
            <w:tcW w:w="9369" w:type="dxa"/>
            <w:gridSpan w:val="16"/>
            <w:tcBorders>
              <w:bottom w:val="single" w:sz="4" w:space="0" w:color="auto"/>
            </w:tcBorders>
            <w:vAlign w:val="bottom"/>
          </w:tcPr>
          <w:p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rsidTr="004605F7">
        <w:trPr>
          <w:trHeight w:val="283"/>
        </w:trPr>
        <w:tc>
          <w:tcPr>
            <w:tcW w:w="9369" w:type="dxa"/>
            <w:gridSpan w:val="16"/>
            <w:tcBorders>
              <w:top w:val="single" w:sz="4" w:space="0" w:color="auto"/>
            </w:tcBorders>
            <w:vAlign w:val="center"/>
          </w:tcPr>
          <w:p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sidRPr="0048431F">
              <w:rPr>
                <w:rFonts w:ascii="Times New Roman" w:eastAsia="Times New Roman" w:hAnsi="Times New Roman" w:cs="Times New Roman"/>
                <w:sz w:val="20"/>
                <w:szCs w:val="20"/>
              </w:rPr>
              <w:t>организация</w:t>
            </w:r>
            <w:proofErr w:type="spellEnd"/>
          </w:p>
        </w:tc>
      </w:tr>
      <w:tr w:rsidR="00CD1CF2" w:rsidRPr="0048431F" w:rsidTr="004605F7">
        <w:trPr>
          <w:trHeight w:val="340"/>
        </w:trPr>
        <w:tc>
          <w:tcPr>
            <w:tcW w:w="9369" w:type="dxa"/>
            <w:gridSpan w:val="16"/>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b/>
                <w:sz w:val="26"/>
                <w:szCs w:val="26"/>
              </w:rPr>
              <w:t>«</w:t>
            </w:r>
            <w:proofErr w:type="spellStart"/>
            <w:r w:rsidRPr="00CD1CF2">
              <w:rPr>
                <w:rFonts w:ascii="Times New Roman" w:eastAsia="Times New Roman" w:hAnsi="Times New Roman" w:cs="Times New Roman"/>
                <w:b/>
                <w:sz w:val="26"/>
                <w:szCs w:val="26"/>
              </w:rPr>
              <w:t>Работа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допущена</w:t>
            </w:r>
            <w:proofErr w:type="spellEnd"/>
            <w:r w:rsidRPr="00CD1CF2">
              <w:rPr>
                <w:rFonts w:ascii="Times New Roman" w:eastAsia="Times New Roman" w:hAnsi="Times New Roman" w:cs="Times New Roman"/>
                <w:b/>
                <w:sz w:val="26"/>
                <w:szCs w:val="26"/>
              </w:rPr>
              <w:t xml:space="preserve"> к </w:t>
            </w:r>
            <w:proofErr w:type="spellStart"/>
            <w:r w:rsidRPr="00CD1CF2">
              <w:rPr>
                <w:rFonts w:ascii="Times New Roman" w:eastAsia="Times New Roman" w:hAnsi="Times New Roman" w:cs="Times New Roman"/>
                <w:b/>
                <w:sz w:val="26"/>
                <w:szCs w:val="26"/>
              </w:rPr>
              <w:t>защите</w:t>
            </w:r>
            <w:proofErr w:type="spellEnd"/>
            <w:r w:rsidRPr="00CD1CF2">
              <w:rPr>
                <w:rFonts w:ascii="Times New Roman" w:eastAsia="Times New Roman" w:hAnsi="Times New Roman" w:cs="Times New Roman"/>
                <w:b/>
                <w:sz w:val="26"/>
                <w:szCs w:val="26"/>
              </w:rPr>
              <w:t>»</w:t>
            </w:r>
          </w:p>
        </w:tc>
      </w:tr>
      <w:tr w:rsidR="00CD1CF2" w:rsidRPr="0048431F" w:rsidTr="004605F7">
        <w:trPr>
          <w:trHeight w:val="624"/>
        </w:trPr>
        <w:tc>
          <w:tcPr>
            <w:tcW w:w="1972" w:type="dxa"/>
            <w:gridSpan w:val="5"/>
            <w:tcBorders>
              <w:bottom w:val="single" w:sz="4" w:space="0" w:color="auto"/>
            </w:tcBorders>
            <w:vAlign w:val="bottom"/>
          </w:tcPr>
          <w:p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Заведующий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1415" w:type="dxa"/>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1717" w:type="dxa"/>
            <w:gridSpan w:val="2"/>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tcBorders>
              <w:bottom w:val="single" w:sz="4" w:space="0" w:color="auto"/>
            </w:tcBorders>
            <w:vAlign w:val="bottom"/>
          </w:tcPr>
          <w:p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Крыленко Е.Е.</w:t>
            </w:r>
          </w:p>
        </w:tc>
      </w:tr>
      <w:tr w:rsidR="00CD1CF2" w:rsidRPr="0048431F" w:rsidTr="004605F7">
        <w:trPr>
          <w:trHeight w:val="354"/>
        </w:trPr>
        <w:tc>
          <w:tcPr>
            <w:tcW w:w="1972" w:type="dxa"/>
            <w:gridSpan w:val="5"/>
            <w:tcBorders>
              <w:top w:val="single" w:sz="4" w:space="0" w:color="auto"/>
            </w:tcBorders>
          </w:tcPr>
          <w:p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proofErr w:type="gramStart"/>
            <w:r w:rsidRPr="0048431F">
              <w:rPr>
                <w:rFonts w:ascii="Times New Roman" w:eastAsia="Times New Roman" w:hAnsi="Times New Roman" w:cs="Times New Roman"/>
                <w:sz w:val="20"/>
                <w:szCs w:val="20"/>
              </w:rPr>
              <w:t>уч</w:t>
            </w:r>
            <w:proofErr w:type="spellEnd"/>
            <w:proofErr w:type="gram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rsidTr="004605F7">
        <w:trPr>
          <w:trHeight w:val="427"/>
        </w:trPr>
        <w:tc>
          <w:tcPr>
            <w:tcW w:w="5088" w:type="dxa"/>
            <w:gridSpan w:val="13"/>
          </w:tcPr>
          <w:p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Дата</w:t>
            </w:r>
            <w:proofErr w:type="spellEnd"/>
          </w:p>
        </w:tc>
        <w:tc>
          <w:tcPr>
            <w:tcW w:w="2564" w:type="dxa"/>
            <w:tcBorders>
              <w:bottom w:val="single" w:sz="4" w:space="0" w:color="auto"/>
            </w:tcBorders>
          </w:tcPr>
          <w:p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rsidTr="004605F7">
        <w:trPr>
          <w:trHeight w:val="579"/>
        </w:trPr>
        <w:tc>
          <w:tcPr>
            <w:tcW w:w="1981" w:type="dxa"/>
            <w:gridSpan w:val="6"/>
            <w:vAlign w:val="bottom"/>
          </w:tcPr>
          <w:p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sidRPr="00CD1CF2">
              <w:rPr>
                <w:rFonts w:ascii="Times New Roman" w:eastAsia="Times New Roman" w:hAnsi="Times New Roman" w:cs="Times New Roman"/>
                <w:b/>
                <w:sz w:val="26"/>
                <w:szCs w:val="26"/>
              </w:rPr>
              <w:t>Москва</w:t>
            </w:r>
            <w:proofErr w:type="spellEnd"/>
            <w:r w:rsidRPr="00CD1CF2">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vAlign w:val="bottom"/>
          </w:tcPr>
          <w:p w:rsidR="00CD1CF2" w:rsidRPr="0048431F" w:rsidRDefault="00CD1CF2" w:rsidP="004605F7">
            <w:pPr>
              <w:spacing w:line="240" w:lineRule="auto"/>
              <w:jc w:val="center"/>
              <w:rPr>
                <w:rFonts w:ascii="Times New Roman" w:eastAsia="Times New Roman" w:hAnsi="Times New Roman" w:cs="Times New Roman"/>
                <w:b/>
                <w:sz w:val="28"/>
                <w:szCs w:val="28"/>
              </w:rPr>
            </w:pPr>
          </w:p>
        </w:tc>
      </w:tr>
    </w:tbl>
    <w:sdt>
      <w:sdtPr>
        <w:rPr>
          <w:rFonts w:ascii="Arial" w:eastAsia="Arial" w:hAnsi="Arial" w:cs="Arial"/>
          <w:color w:val="auto"/>
          <w:sz w:val="22"/>
          <w:szCs w:val="22"/>
          <w:lang w:val="en-CA"/>
        </w:rPr>
        <w:id w:val="1404256440"/>
        <w:docPartObj>
          <w:docPartGallery w:val="Table of Contents"/>
          <w:docPartUnique/>
        </w:docPartObj>
      </w:sdtPr>
      <w:sdtEndPr>
        <w:rPr>
          <w:b/>
          <w:bCs/>
        </w:rPr>
      </w:sdtEndPr>
      <w:sdtContent>
        <w:p w:rsidR="00F834A7" w:rsidRPr="00C76864" w:rsidRDefault="00F834A7" w:rsidP="00C76864">
          <w:pPr>
            <w:pStyle w:val="ab"/>
            <w:spacing w:before="0" w:line="360" w:lineRule="auto"/>
            <w:jc w:val="center"/>
            <w:rPr>
              <w:rFonts w:ascii="Times New Roman" w:hAnsi="Times New Roman" w:cs="Times New Roman"/>
              <w:b/>
              <w:bCs/>
              <w:color w:val="000000" w:themeColor="text1"/>
              <w:sz w:val="28"/>
              <w:szCs w:val="28"/>
            </w:rPr>
          </w:pPr>
          <w:r w:rsidRPr="00C76864">
            <w:rPr>
              <w:rFonts w:ascii="Times New Roman" w:hAnsi="Times New Roman" w:cs="Times New Roman"/>
              <w:b/>
              <w:bCs/>
              <w:color w:val="000000" w:themeColor="text1"/>
              <w:sz w:val="28"/>
              <w:szCs w:val="28"/>
            </w:rPr>
            <w:t>Содержание</w:t>
          </w:r>
        </w:p>
        <w:p w:rsidR="00CD1CF2" w:rsidRPr="008F5DD0" w:rsidRDefault="00CD1CF2" w:rsidP="00C76864">
          <w:pPr>
            <w:spacing w:line="360" w:lineRule="auto"/>
            <w:jc w:val="both"/>
            <w:rPr>
              <w:rFonts w:ascii="Times New Roman" w:hAnsi="Times New Roman" w:cs="Times New Roman"/>
              <w:sz w:val="28"/>
              <w:szCs w:val="28"/>
              <w:lang w:val="ru-RU"/>
            </w:rPr>
          </w:pPr>
        </w:p>
        <w:p w:rsidR="008F5DD0" w:rsidRPr="008F5DD0" w:rsidRDefault="00F74D7F">
          <w:pPr>
            <w:pStyle w:val="10"/>
            <w:tabs>
              <w:tab w:val="right" w:leader="dot" w:pos="9350"/>
            </w:tabs>
            <w:rPr>
              <w:rFonts w:ascii="Times New Roman" w:eastAsiaTheme="minorEastAsia" w:hAnsi="Times New Roman" w:cs="Times New Roman"/>
              <w:noProof/>
              <w:sz w:val="28"/>
              <w:szCs w:val="28"/>
              <w:lang w:val="ru-RU"/>
            </w:rPr>
          </w:pPr>
          <w:r w:rsidRPr="008F5DD0">
            <w:rPr>
              <w:rFonts w:ascii="Times New Roman" w:hAnsi="Times New Roman" w:cs="Times New Roman"/>
              <w:sz w:val="28"/>
              <w:szCs w:val="28"/>
            </w:rPr>
            <w:fldChar w:fldCharType="begin"/>
          </w:r>
          <w:r w:rsidR="00F834A7" w:rsidRPr="008F5DD0">
            <w:rPr>
              <w:rFonts w:ascii="Times New Roman" w:hAnsi="Times New Roman" w:cs="Times New Roman"/>
              <w:sz w:val="28"/>
              <w:szCs w:val="28"/>
            </w:rPr>
            <w:instrText xml:space="preserve"> TOC \o "1-3" \h \z \u </w:instrText>
          </w:r>
          <w:r w:rsidRPr="008F5DD0">
            <w:rPr>
              <w:rFonts w:ascii="Times New Roman" w:hAnsi="Times New Roman" w:cs="Times New Roman"/>
              <w:sz w:val="28"/>
              <w:szCs w:val="28"/>
            </w:rPr>
            <w:fldChar w:fldCharType="separate"/>
          </w:r>
          <w:hyperlink w:anchor="_Toc230938580" w:history="1">
            <w:r w:rsidR="008F5DD0" w:rsidRPr="008F5DD0">
              <w:rPr>
                <w:rStyle w:val="ac"/>
                <w:rFonts w:ascii="Times New Roman" w:hAnsi="Times New Roman" w:cs="Times New Roman"/>
                <w:bCs/>
                <w:noProof/>
                <w:sz w:val="28"/>
                <w:szCs w:val="28"/>
                <w:lang w:val="ru-RU"/>
              </w:rPr>
              <w:t>Введение</w:t>
            </w:r>
            <w:r w:rsidR="008F5DD0" w:rsidRPr="008F5DD0">
              <w:rPr>
                <w:rFonts w:ascii="Times New Roman" w:hAnsi="Times New Roman" w:cs="Times New Roman"/>
                <w:noProof/>
                <w:webHidden/>
                <w:sz w:val="28"/>
                <w:szCs w:val="28"/>
              </w:rPr>
              <w:tab/>
            </w:r>
            <w:r w:rsidR="008F5DD0" w:rsidRPr="008F5DD0">
              <w:rPr>
                <w:rFonts w:ascii="Times New Roman" w:hAnsi="Times New Roman" w:cs="Times New Roman"/>
                <w:noProof/>
                <w:webHidden/>
                <w:sz w:val="28"/>
                <w:szCs w:val="28"/>
              </w:rPr>
              <w:fldChar w:fldCharType="begin"/>
            </w:r>
            <w:r w:rsidR="008F5DD0" w:rsidRPr="008F5DD0">
              <w:rPr>
                <w:rFonts w:ascii="Times New Roman" w:hAnsi="Times New Roman" w:cs="Times New Roman"/>
                <w:noProof/>
                <w:webHidden/>
                <w:sz w:val="28"/>
                <w:szCs w:val="28"/>
              </w:rPr>
              <w:instrText xml:space="preserve"> PAGEREF _Toc230938580 \h </w:instrText>
            </w:r>
            <w:r w:rsidR="008F5DD0" w:rsidRPr="008F5DD0">
              <w:rPr>
                <w:rFonts w:ascii="Times New Roman" w:hAnsi="Times New Roman" w:cs="Times New Roman"/>
                <w:noProof/>
                <w:webHidden/>
                <w:sz w:val="28"/>
                <w:szCs w:val="28"/>
              </w:rPr>
            </w:r>
            <w:r w:rsidR="008F5DD0" w:rsidRPr="008F5DD0">
              <w:rPr>
                <w:rFonts w:ascii="Times New Roman" w:hAnsi="Times New Roman" w:cs="Times New Roman"/>
                <w:noProof/>
                <w:webHidden/>
                <w:sz w:val="28"/>
                <w:szCs w:val="28"/>
              </w:rPr>
              <w:fldChar w:fldCharType="separate"/>
            </w:r>
            <w:r w:rsidR="008F5DD0" w:rsidRPr="008F5DD0">
              <w:rPr>
                <w:rFonts w:ascii="Times New Roman" w:hAnsi="Times New Roman" w:cs="Times New Roman"/>
                <w:noProof/>
                <w:webHidden/>
                <w:sz w:val="28"/>
                <w:szCs w:val="28"/>
              </w:rPr>
              <w:t>3</w:t>
            </w:r>
            <w:r w:rsidR="008F5DD0" w:rsidRPr="008F5DD0">
              <w:rPr>
                <w:rFonts w:ascii="Times New Roman" w:hAnsi="Times New Roman" w:cs="Times New Roman"/>
                <w:noProof/>
                <w:webHidden/>
                <w:sz w:val="28"/>
                <w:szCs w:val="28"/>
              </w:rPr>
              <w:fldChar w:fldCharType="end"/>
            </w:r>
          </w:hyperlink>
        </w:p>
        <w:p w:rsidR="008F5DD0" w:rsidRPr="008F5DD0" w:rsidRDefault="008F5DD0">
          <w:pPr>
            <w:pStyle w:val="10"/>
            <w:tabs>
              <w:tab w:val="right" w:leader="dot" w:pos="9350"/>
            </w:tabs>
            <w:rPr>
              <w:rFonts w:ascii="Times New Roman" w:eastAsiaTheme="minorEastAsia" w:hAnsi="Times New Roman" w:cs="Times New Roman"/>
              <w:noProof/>
              <w:sz w:val="28"/>
              <w:szCs w:val="28"/>
              <w:lang w:val="ru-RU"/>
            </w:rPr>
          </w:pPr>
          <w:hyperlink w:anchor="_Toc230938581" w:history="1">
            <w:r w:rsidRPr="008F5DD0">
              <w:rPr>
                <w:rStyle w:val="ac"/>
                <w:rFonts w:ascii="Times New Roman" w:hAnsi="Times New Roman" w:cs="Times New Roman"/>
                <w:noProof/>
                <w:sz w:val="28"/>
                <w:szCs w:val="28"/>
                <w:lang w:val="ru-RU"/>
              </w:rPr>
              <w:t>Глава 1. Состав инвестиционного портфеля и методы определения его качеста</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_Toc230938581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6</w:t>
            </w:r>
            <w:r w:rsidRPr="008F5DD0">
              <w:rPr>
                <w:rFonts w:ascii="Times New Roman" w:hAnsi="Times New Roman" w:cs="Times New Roman"/>
                <w:noProof/>
                <w:webHidden/>
                <w:sz w:val="28"/>
                <w:szCs w:val="28"/>
              </w:rPr>
              <w:fldChar w:fldCharType="end"/>
            </w:r>
          </w:hyperlink>
        </w:p>
        <w:p w:rsidR="008F5DD0" w:rsidRPr="008F5DD0" w:rsidRDefault="008F5DD0">
          <w:pPr>
            <w:pStyle w:val="20"/>
            <w:tabs>
              <w:tab w:val="left" w:pos="880"/>
              <w:tab w:val="right" w:leader="dot" w:pos="9350"/>
            </w:tabs>
            <w:rPr>
              <w:rFonts w:ascii="Times New Roman" w:eastAsiaTheme="minorEastAsia" w:hAnsi="Times New Roman" w:cs="Times New Roman"/>
              <w:noProof/>
              <w:sz w:val="28"/>
              <w:szCs w:val="28"/>
              <w:lang w:val="ru-RU"/>
            </w:rPr>
          </w:pPr>
          <w:hyperlink w:anchor="_Toc230938582" w:history="1">
            <w:r w:rsidRPr="008F5DD0">
              <w:rPr>
                <w:rStyle w:val="ac"/>
                <w:rFonts w:ascii="Times New Roman" w:hAnsi="Times New Roman" w:cs="Times New Roman"/>
                <w:noProof/>
                <w:sz w:val="28"/>
                <w:szCs w:val="28"/>
                <w:lang w:val="ru-RU"/>
              </w:rPr>
              <w:t>1.1.</w:t>
            </w:r>
            <w:r w:rsidRPr="008F5DD0">
              <w:rPr>
                <w:rFonts w:ascii="Times New Roman" w:eastAsiaTheme="minorEastAsia" w:hAnsi="Times New Roman" w:cs="Times New Roman"/>
                <w:noProof/>
                <w:sz w:val="28"/>
                <w:szCs w:val="28"/>
                <w:lang w:val="ru-RU"/>
              </w:rPr>
              <w:tab/>
            </w:r>
            <w:r w:rsidRPr="008F5DD0">
              <w:rPr>
                <w:rStyle w:val="ac"/>
                <w:rFonts w:ascii="Times New Roman" w:hAnsi="Times New Roman" w:cs="Times New Roman"/>
                <w:noProof/>
                <w:sz w:val="28"/>
                <w:szCs w:val="28"/>
                <w:lang w:val="ru-RU"/>
              </w:rPr>
              <w:t>Сущность и значение качества инвестиционного портфеля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_Toc230938582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6</w:t>
            </w:r>
            <w:r w:rsidRPr="008F5DD0">
              <w:rPr>
                <w:rFonts w:ascii="Times New Roman" w:hAnsi="Times New Roman" w:cs="Times New Roman"/>
                <w:noProof/>
                <w:webHidden/>
                <w:sz w:val="28"/>
                <w:szCs w:val="28"/>
              </w:rPr>
              <w:fldChar w:fldCharType="end"/>
            </w:r>
          </w:hyperlink>
        </w:p>
        <w:p w:rsidR="008F5DD0" w:rsidRPr="008F5DD0" w:rsidRDefault="008F5DD0">
          <w:pPr>
            <w:pStyle w:val="20"/>
            <w:tabs>
              <w:tab w:val="left" w:pos="880"/>
              <w:tab w:val="right" w:leader="dot" w:pos="9350"/>
            </w:tabs>
            <w:rPr>
              <w:rFonts w:ascii="Times New Roman" w:eastAsiaTheme="minorEastAsia" w:hAnsi="Times New Roman" w:cs="Times New Roman"/>
              <w:noProof/>
              <w:sz w:val="28"/>
              <w:szCs w:val="28"/>
              <w:lang w:val="ru-RU"/>
            </w:rPr>
          </w:pPr>
          <w:hyperlink w:anchor="_Toc230938583" w:history="1">
            <w:r w:rsidRPr="008F5DD0">
              <w:rPr>
                <w:rStyle w:val="ac"/>
                <w:rFonts w:ascii="Times New Roman" w:hAnsi="Times New Roman" w:cs="Times New Roman"/>
                <w:noProof/>
                <w:sz w:val="28"/>
                <w:szCs w:val="28"/>
                <w:lang w:val="ru-RU"/>
              </w:rPr>
              <w:t>1.2.</w:t>
            </w:r>
            <w:r w:rsidRPr="008F5DD0">
              <w:rPr>
                <w:rFonts w:ascii="Times New Roman" w:eastAsiaTheme="minorEastAsia" w:hAnsi="Times New Roman" w:cs="Times New Roman"/>
                <w:noProof/>
                <w:sz w:val="28"/>
                <w:szCs w:val="28"/>
                <w:lang w:val="ru-RU"/>
              </w:rPr>
              <w:tab/>
            </w:r>
            <w:r w:rsidRPr="008F5DD0">
              <w:rPr>
                <w:rStyle w:val="ac"/>
                <w:rFonts w:ascii="Times New Roman" w:hAnsi="Times New Roman" w:cs="Times New Roman"/>
                <w:noProof/>
                <w:sz w:val="28"/>
                <w:szCs w:val="28"/>
                <w:lang w:val="ru-RU"/>
              </w:rPr>
              <w:t>Факторы, определяющие качество инвестиционного портфеля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_Toc230938583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10</w:t>
            </w:r>
            <w:r w:rsidRPr="008F5DD0">
              <w:rPr>
                <w:rFonts w:ascii="Times New Roman" w:hAnsi="Times New Roman" w:cs="Times New Roman"/>
                <w:noProof/>
                <w:webHidden/>
                <w:sz w:val="28"/>
                <w:szCs w:val="28"/>
              </w:rPr>
              <w:fldChar w:fldCharType="end"/>
            </w:r>
          </w:hyperlink>
        </w:p>
        <w:p w:rsidR="008F5DD0" w:rsidRPr="008F5DD0" w:rsidRDefault="008F5DD0">
          <w:pPr>
            <w:pStyle w:val="20"/>
            <w:tabs>
              <w:tab w:val="left" w:pos="880"/>
              <w:tab w:val="right" w:leader="dot" w:pos="9350"/>
            </w:tabs>
            <w:rPr>
              <w:rFonts w:ascii="Times New Roman" w:eastAsiaTheme="minorEastAsia" w:hAnsi="Times New Roman" w:cs="Times New Roman"/>
              <w:noProof/>
              <w:sz w:val="28"/>
              <w:szCs w:val="28"/>
              <w:lang w:val="ru-RU"/>
            </w:rPr>
          </w:pPr>
          <w:hyperlink w:anchor="_Toc230938584" w:history="1">
            <w:r w:rsidRPr="008F5DD0">
              <w:rPr>
                <w:rStyle w:val="ac"/>
                <w:rFonts w:ascii="Times New Roman" w:hAnsi="Times New Roman" w:cs="Times New Roman"/>
                <w:noProof/>
                <w:sz w:val="28"/>
                <w:szCs w:val="28"/>
                <w:lang w:val="ru-RU"/>
              </w:rPr>
              <w:t>1.3.</w:t>
            </w:r>
            <w:r w:rsidRPr="008F5DD0">
              <w:rPr>
                <w:rFonts w:ascii="Times New Roman" w:eastAsiaTheme="minorEastAsia" w:hAnsi="Times New Roman" w:cs="Times New Roman"/>
                <w:noProof/>
                <w:sz w:val="28"/>
                <w:szCs w:val="28"/>
                <w:lang w:val="ru-RU"/>
              </w:rPr>
              <w:tab/>
            </w:r>
            <w:r w:rsidRPr="008F5DD0">
              <w:rPr>
                <w:rStyle w:val="ac"/>
                <w:rFonts w:ascii="Times New Roman" w:hAnsi="Times New Roman" w:cs="Times New Roman"/>
                <w:noProof/>
                <w:sz w:val="28"/>
                <w:szCs w:val="28"/>
                <w:lang w:val="ru-RU"/>
              </w:rPr>
              <w:t>Инвестиционная привлекательность предприятия как фактор качества инвестиционного портфеля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_Toc230938584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16</w:t>
            </w:r>
            <w:r w:rsidRPr="008F5DD0">
              <w:rPr>
                <w:rFonts w:ascii="Times New Roman" w:hAnsi="Times New Roman" w:cs="Times New Roman"/>
                <w:noProof/>
                <w:webHidden/>
                <w:sz w:val="28"/>
                <w:szCs w:val="28"/>
              </w:rPr>
              <w:fldChar w:fldCharType="end"/>
            </w:r>
          </w:hyperlink>
        </w:p>
        <w:p w:rsidR="008F5DD0" w:rsidRPr="008F5DD0" w:rsidRDefault="008F5DD0">
          <w:pPr>
            <w:pStyle w:val="10"/>
            <w:tabs>
              <w:tab w:val="right" w:leader="dot" w:pos="9350"/>
            </w:tabs>
            <w:rPr>
              <w:rFonts w:ascii="Times New Roman" w:eastAsiaTheme="minorEastAsia" w:hAnsi="Times New Roman" w:cs="Times New Roman"/>
              <w:noProof/>
              <w:sz w:val="28"/>
              <w:szCs w:val="28"/>
              <w:lang w:val="ru-RU"/>
            </w:rPr>
          </w:pPr>
          <w:hyperlink w:anchor="_Toc230938585" w:history="1">
            <w:r w:rsidRPr="008F5DD0">
              <w:rPr>
                <w:rStyle w:val="ac"/>
                <w:rFonts w:ascii="Times New Roman" w:hAnsi="Times New Roman" w:cs="Times New Roman"/>
                <w:noProof/>
                <w:sz w:val="28"/>
                <w:szCs w:val="28"/>
                <w:lang w:val="ru-RU"/>
              </w:rPr>
              <w:t>Глава 2. Анализ качества инвестиционного портфеля ОПИФ РФИ «ВИМ-Металлургия»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_Toc230938585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28</w:t>
            </w:r>
            <w:r w:rsidRPr="008F5DD0">
              <w:rPr>
                <w:rFonts w:ascii="Times New Roman" w:hAnsi="Times New Roman" w:cs="Times New Roman"/>
                <w:noProof/>
                <w:webHidden/>
                <w:sz w:val="28"/>
                <w:szCs w:val="28"/>
              </w:rPr>
              <w:fldChar w:fldCharType="end"/>
            </w:r>
          </w:hyperlink>
        </w:p>
        <w:p w:rsidR="008F5DD0" w:rsidRPr="008F5DD0" w:rsidRDefault="008F5DD0">
          <w:pPr>
            <w:pStyle w:val="20"/>
            <w:tabs>
              <w:tab w:val="right" w:leader="dot" w:pos="9350"/>
            </w:tabs>
            <w:rPr>
              <w:rFonts w:ascii="Times New Roman" w:eastAsiaTheme="minorEastAsia" w:hAnsi="Times New Roman" w:cs="Times New Roman"/>
              <w:noProof/>
              <w:sz w:val="28"/>
              <w:szCs w:val="28"/>
              <w:lang w:val="ru-RU"/>
            </w:rPr>
          </w:pPr>
          <w:hyperlink w:anchor="_Toc230938586" w:history="1">
            <w:r w:rsidRPr="008F5DD0">
              <w:rPr>
                <w:rStyle w:val="ac"/>
                <w:rFonts w:ascii="Times New Roman" w:hAnsi="Times New Roman" w:cs="Times New Roman"/>
                <w:noProof/>
                <w:sz w:val="28"/>
                <w:szCs w:val="28"/>
                <w:lang w:val="ru-RU"/>
              </w:rPr>
              <w:t>2.1. Финансово-экономическая характеристика ОПИФ РФИ «ВИМ-Металлургия»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_Toc230938586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28</w:t>
            </w:r>
            <w:r w:rsidRPr="008F5DD0">
              <w:rPr>
                <w:rFonts w:ascii="Times New Roman" w:hAnsi="Times New Roman" w:cs="Times New Roman"/>
                <w:noProof/>
                <w:webHidden/>
                <w:sz w:val="28"/>
                <w:szCs w:val="28"/>
              </w:rPr>
              <w:fldChar w:fldCharType="end"/>
            </w:r>
          </w:hyperlink>
        </w:p>
        <w:p w:rsidR="008F5DD0" w:rsidRPr="008F5DD0" w:rsidRDefault="008F5DD0">
          <w:pPr>
            <w:pStyle w:val="20"/>
            <w:tabs>
              <w:tab w:val="right" w:leader="dot" w:pos="9350"/>
            </w:tabs>
            <w:rPr>
              <w:rFonts w:ascii="Times New Roman" w:eastAsiaTheme="minorEastAsia" w:hAnsi="Times New Roman" w:cs="Times New Roman"/>
              <w:noProof/>
              <w:sz w:val="28"/>
              <w:szCs w:val="28"/>
              <w:lang w:val="ru-RU"/>
            </w:rPr>
          </w:pPr>
          <w:hyperlink w:anchor="_Toc230938587" w:history="1">
            <w:r w:rsidRPr="008F5DD0">
              <w:rPr>
                <w:rStyle w:val="ac"/>
                <w:rFonts w:ascii="Times New Roman" w:hAnsi="Times New Roman" w:cs="Times New Roman"/>
                <w:bCs/>
                <w:noProof/>
                <w:sz w:val="28"/>
                <w:szCs w:val="28"/>
                <w:lang w:val="ru-RU"/>
              </w:rPr>
              <w:t>2.2. Оценка инвестиционной привлекательности крупнейших объектов инвестирования ОПИФ РФИ «ВИМ-Металлургия»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_Toc230938587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35</w:t>
            </w:r>
            <w:r w:rsidRPr="008F5DD0">
              <w:rPr>
                <w:rFonts w:ascii="Times New Roman" w:hAnsi="Times New Roman" w:cs="Times New Roman"/>
                <w:noProof/>
                <w:webHidden/>
                <w:sz w:val="28"/>
                <w:szCs w:val="28"/>
              </w:rPr>
              <w:fldChar w:fldCharType="end"/>
            </w:r>
          </w:hyperlink>
        </w:p>
        <w:p w:rsidR="008F5DD0" w:rsidRPr="008F5DD0" w:rsidRDefault="008F5DD0">
          <w:pPr>
            <w:pStyle w:val="20"/>
            <w:tabs>
              <w:tab w:val="right" w:leader="dot" w:pos="9350"/>
            </w:tabs>
            <w:rPr>
              <w:rFonts w:ascii="Times New Roman" w:eastAsiaTheme="minorEastAsia" w:hAnsi="Times New Roman" w:cs="Times New Roman"/>
              <w:noProof/>
              <w:sz w:val="28"/>
              <w:szCs w:val="28"/>
              <w:lang w:val="ru-RU"/>
            </w:rPr>
          </w:pPr>
          <w:hyperlink w:anchor="_Toc230938588" w:history="1">
            <w:r w:rsidRPr="008F5DD0">
              <w:rPr>
                <w:rStyle w:val="ac"/>
                <w:rFonts w:ascii="Times New Roman" w:hAnsi="Times New Roman" w:cs="Times New Roman"/>
                <w:noProof/>
                <w:sz w:val="28"/>
                <w:szCs w:val="28"/>
                <w:lang w:val="ru-RU"/>
              </w:rPr>
              <w:t>2.3. Анализ показателей качества инвестиционного портфеля ОПИФ РФИ «ВИМ-Металлургия»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_Toc230938588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43</w:t>
            </w:r>
            <w:r w:rsidRPr="008F5DD0">
              <w:rPr>
                <w:rFonts w:ascii="Times New Roman" w:hAnsi="Times New Roman" w:cs="Times New Roman"/>
                <w:noProof/>
                <w:webHidden/>
                <w:sz w:val="28"/>
                <w:szCs w:val="28"/>
              </w:rPr>
              <w:fldChar w:fldCharType="end"/>
            </w:r>
          </w:hyperlink>
        </w:p>
        <w:p w:rsidR="008F5DD0" w:rsidRPr="008F5DD0" w:rsidRDefault="008F5DD0">
          <w:pPr>
            <w:pStyle w:val="10"/>
            <w:tabs>
              <w:tab w:val="right" w:leader="dot" w:pos="9350"/>
            </w:tabs>
            <w:rPr>
              <w:rFonts w:ascii="Times New Roman" w:eastAsiaTheme="minorEastAsia" w:hAnsi="Times New Roman" w:cs="Times New Roman"/>
              <w:noProof/>
              <w:sz w:val="28"/>
              <w:szCs w:val="28"/>
              <w:lang w:val="ru-RU"/>
            </w:rPr>
          </w:pPr>
          <w:hyperlink w:anchor="_Toc230938589" w:history="1">
            <w:r w:rsidRPr="008F5DD0">
              <w:rPr>
                <w:rStyle w:val="ac"/>
                <w:rFonts w:ascii="Times New Roman" w:hAnsi="Times New Roman" w:cs="Times New Roman"/>
                <w:noProof/>
                <w:sz w:val="28"/>
                <w:szCs w:val="28"/>
                <w:lang w:val="ru-RU"/>
              </w:rPr>
              <w:t>Глава 3. Разработка рекомендаций повышения качества инвестиционного портфеля ОПИФ РФИ «ВИМ-Металлургия»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_Toc230938589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49</w:t>
            </w:r>
            <w:r w:rsidRPr="008F5DD0">
              <w:rPr>
                <w:rFonts w:ascii="Times New Roman" w:hAnsi="Times New Roman" w:cs="Times New Roman"/>
                <w:noProof/>
                <w:webHidden/>
                <w:sz w:val="28"/>
                <w:szCs w:val="28"/>
              </w:rPr>
              <w:fldChar w:fldCharType="end"/>
            </w:r>
          </w:hyperlink>
        </w:p>
        <w:p w:rsidR="008F5DD0" w:rsidRPr="008F5DD0" w:rsidRDefault="008F5DD0">
          <w:pPr>
            <w:pStyle w:val="20"/>
            <w:tabs>
              <w:tab w:val="right" w:leader="dot" w:pos="9350"/>
            </w:tabs>
            <w:rPr>
              <w:rFonts w:ascii="Times New Roman" w:eastAsiaTheme="minorEastAsia" w:hAnsi="Times New Roman" w:cs="Times New Roman"/>
              <w:noProof/>
              <w:sz w:val="28"/>
              <w:szCs w:val="28"/>
              <w:lang w:val="ru-RU"/>
            </w:rPr>
          </w:pPr>
          <w:hyperlink w:anchor="_Toc230938590" w:history="1">
            <w:r w:rsidRPr="008F5DD0">
              <w:rPr>
                <w:rStyle w:val="ac"/>
                <w:rFonts w:ascii="Times New Roman" w:hAnsi="Times New Roman" w:cs="Times New Roman"/>
                <w:noProof/>
                <w:sz w:val="28"/>
                <w:szCs w:val="28"/>
                <w:lang w:val="ru-RU"/>
              </w:rPr>
              <w:t>3.1. Рекомендации по повышению доходности портфеля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_Toc230938590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49</w:t>
            </w:r>
            <w:r w:rsidRPr="008F5DD0">
              <w:rPr>
                <w:rFonts w:ascii="Times New Roman" w:hAnsi="Times New Roman" w:cs="Times New Roman"/>
                <w:noProof/>
                <w:webHidden/>
                <w:sz w:val="28"/>
                <w:szCs w:val="28"/>
              </w:rPr>
              <w:fldChar w:fldCharType="end"/>
            </w:r>
          </w:hyperlink>
        </w:p>
        <w:p w:rsidR="008F5DD0" w:rsidRPr="008F5DD0" w:rsidRDefault="008F5DD0">
          <w:pPr>
            <w:pStyle w:val="20"/>
            <w:tabs>
              <w:tab w:val="right" w:leader="dot" w:pos="9350"/>
            </w:tabs>
            <w:rPr>
              <w:rFonts w:ascii="Times New Roman" w:eastAsiaTheme="minorEastAsia" w:hAnsi="Times New Roman" w:cs="Times New Roman"/>
              <w:noProof/>
              <w:sz w:val="28"/>
              <w:szCs w:val="28"/>
              <w:lang w:val="ru-RU"/>
            </w:rPr>
          </w:pPr>
          <w:hyperlink w:anchor="_Toc230938591" w:history="1">
            <w:r w:rsidRPr="008F5DD0">
              <w:rPr>
                <w:rStyle w:val="ac"/>
                <w:rFonts w:ascii="Times New Roman" w:hAnsi="Times New Roman" w:cs="Times New Roman"/>
                <w:noProof/>
                <w:sz w:val="28"/>
                <w:szCs w:val="28"/>
                <w:lang w:val="ru-RU"/>
              </w:rPr>
              <w:t>3.2. Рекомендации по диверсификации портфеля</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_Toc230938591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55</w:t>
            </w:r>
            <w:r w:rsidRPr="008F5DD0">
              <w:rPr>
                <w:rFonts w:ascii="Times New Roman" w:hAnsi="Times New Roman" w:cs="Times New Roman"/>
                <w:noProof/>
                <w:webHidden/>
                <w:sz w:val="28"/>
                <w:szCs w:val="28"/>
              </w:rPr>
              <w:fldChar w:fldCharType="end"/>
            </w:r>
          </w:hyperlink>
        </w:p>
        <w:p w:rsidR="008F5DD0" w:rsidRPr="008F5DD0" w:rsidRDefault="008F5DD0">
          <w:pPr>
            <w:pStyle w:val="10"/>
            <w:tabs>
              <w:tab w:val="right" w:leader="dot" w:pos="9350"/>
            </w:tabs>
            <w:rPr>
              <w:rFonts w:ascii="Times New Roman" w:eastAsiaTheme="minorEastAsia" w:hAnsi="Times New Roman" w:cs="Times New Roman"/>
              <w:noProof/>
              <w:sz w:val="28"/>
              <w:szCs w:val="28"/>
              <w:lang w:val="ru-RU"/>
            </w:rPr>
          </w:pPr>
          <w:hyperlink w:anchor="_Toc230938592" w:history="1">
            <w:r w:rsidRPr="008F5DD0">
              <w:rPr>
                <w:rStyle w:val="ac"/>
                <w:rFonts w:ascii="Times New Roman" w:hAnsi="Times New Roman" w:cs="Times New Roman"/>
                <w:noProof/>
                <w:sz w:val="28"/>
                <w:szCs w:val="28"/>
                <w:lang w:val="ru-RU"/>
              </w:rPr>
              <w:t>Заключение</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_Toc230938592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63</w:t>
            </w:r>
            <w:r w:rsidRPr="008F5DD0">
              <w:rPr>
                <w:rFonts w:ascii="Times New Roman" w:hAnsi="Times New Roman" w:cs="Times New Roman"/>
                <w:noProof/>
                <w:webHidden/>
                <w:sz w:val="28"/>
                <w:szCs w:val="28"/>
              </w:rPr>
              <w:fldChar w:fldCharType="end"/>
            </w:r>
          </w:hyperlink>
        </w:p>
        <w:p w:rsidR="008F5DD0" w:rsidRPr="008F5DD0" w:rsidRDefault="008F5DD0">
          <w:pPr>
            <w:pStyle w:val="10"/>
            <w:tabs>
              <w:tab w:val="right" w:leader="dot" w:pos="9350"/>
            </w:tabs>
            <w:rPr>
              <w:rFonts w:ascii="Times New Roman" w:eastAsiaTheme="minorEastAsia" w:hAnsi="Times New Roman" w:cs="Times New Roman"/>
              <w:noProof/>
              <w:sz w:val="28"/>
              <w:szCs w:val="28"/>
              <w:lang w:val="ru-RU"/>
            </w:rPr>
          </w:pPr>
          <w:hyperlink w:anchor="_Toc230938593" w:history="1">
            <w:r w:rsidRPr="008F5DD0">
              <w:rPr>
                <w:rStyle w:val="ac"/>
                <w:rFonts w:ascii="Times New Roman" w:eastAsia="Times New Roman" w:hAnsi="Times New Roman" w:cs="Times New Roman"/>
                <w:bCs/>
                <w:noProof/>
                <w:sz w:val="28"/>
                <w:szCs w:val="28"/>
                <w:lang w:val="ru-RU"/>
              </w:rPr>
              <w:t>Список использованных источников</w:t>
            </w:r>
            <w:r w:rsidRPr="008F5DD0">
              <w:rPr>
                <w:rFonts w:ascii="Times New Roman" w:hAnsi="Times New Roman" w:cs="Times New Roman"/>
                <w:noProof/>
                <w:webHidden/>
                <w:sz w:val="28"/>
                <w:szCs w:val="28"/>
              </w:rPr>
              <w:tab/>
            </w:r>
            <w:r w:rsidRPr="008F5DD0">
              <w:rPr>
                <w:rFonts w:ascii="Times New Roman" w:hAnsi="Times New Roman" w:cs="Times New Roman"/>
                <w:noProof/>
                <w:webHidden/>
                <w:sz w:val="28"/>
                <w:szCs w:val="28"/>
              </w:rPr>
              <w:fldChar w:fldCharType="begin"/>
            </w:r>
            <w:r w:rsidRPr="008F5DD0">
              <w:rPr>
                <w:rFonts w:ascii="Times New Roman" w:hAnsi="Times New Roman" w:cs="Times New Roman"/>
                <w:noProof/>
                <w:webHidden/>
                <w:sz w:val="28"/>
                <w:szCs w:val="28"/>
              </w:rPr>
              <w:instrText xml:space="preserve"> PAGEREF _Toc230938593 \h </w:instrText>
            </w:r>
            <w:r w:rsidRPr="008F5DD0">
              <w:rPr>
                <w:rFonts w:ascii="Times New Roman" w:hAnsi="Times New Roman" w:cs="Times New Roman"/>
                <w:noProof/>
                <w:webHidden/>
                <w:sz w:val="28"/>
                <w:szCs w:val="28"/>
              </w:rPr>
            </w:r>
            <w:r w:rsidRPr="008F5DD0">
              <w:rPr>
                <w:rFonts w:ascii="Times New Roman" w:hAnsi="Times New Roman" w:cs="Times New Roman"/>
                <w:noProof/>
                <w:webHidden/>
                <w:sz w:val="28"/>
                <w:szCs w:val="28"/>
              </w:rPr>
              <w:fldChar w:fldCharType="separate"/>
            </w:r>
            <w:r w:rsidRPr="008F5DD0">
              <w:rPr>
                <w:rFonts w:ascii="Times New Roman" w:hAnsi="Times New Roman" w:cs="Times New Roman"/>
                <w:noProof/>
                <w:webHidden/>
                <w:sz w:val="28"/>
                <w:szCs w:val="28"/>
              </w:rPr>
              <w:t>66</w:t>
            </w:r>
            <w:r w:rsidRPr="008F5DD0">
              <w:rPr>
                <w:rFonts w:ascii="Times New Roman" w:hAnsi="Times New Roman" w:cs="Times New Roman"/>
                <w:noProof/>
                <w:webHidden/>
                <w:sz w:val="28"/>
                <w:szCs w:val="28"/>
              </w:rPr>
              <w:fldChar w:fldCharType="end"/>
            </w:r>
          </w:hyperlink>
        </w:p>
        <w:p w:rsidR="00F834A7" w:rsidRDefault="00F74D7F" w:rsidP="00C76864">
          <w:pPr>
            <w:spacing w:line="360" w:lineRule="auto"/>
            <w:jc w:val="both"/>
            <w:rPr>
              <w:b/>
              <w:bCs/>
            </w:rPr>
          </w:pPr>
          <w:r w:rsidRPr="008F5DD0">
            <w:rPr>
              <w:rFonts w:ascii="Times New Roman" w:hAnsi="Times New Roman" w:cs="Times New Roman"/>
              <w:b/>
              <w:bCs/>
              <w:sz w:val="28"/>
              <w:szCs w:val="28"/>
            </w:rPr>
            <w:fldChar w:fldCharType="end"/>
          </w:r>
        </w:p>
      </w:sdtContent>
    </w:sdt>
    <w:p w:rsidR="002C229C" w:rsidRDefault="002C229C" w:rsidP="00653A71">
      <w:pPr>
        <w:pStyle w:val="1"/>
        <w:spacing w:before="0" w:after="0" w:line="360" w:lineRule="auto"/>
        <w:rPr>
          <w:rFonts w:cs="Times New Roman"/>
          <w:bCs/>
          <w:szCs w:val="28"/>
          <w:lang w:val="ru-RU"/>
        </w:rPr>
      </w:pPr>
    </w:p>
    <w:p w:rsidR="002C229C" w:rsidRDefault="002C229C" w:rsidP="00653A71">
      <w:pPr>
        <w:pStyle w:val="1"/>
        <w:spacing w:before="0" w:after="0" w:line="360" w:lineRule="auto"/>
        <w:rPr>
          <w:rFonts w:cs="Times New Roman"/>
          <w:bCs/>
          <w:szCs w:val="28"/>
          <w:lang w:val="ru-RU"/>
        </w:rPr>
      </w:pPr>
    </w:p>
    <w:p w:rsidR="002C229C" w:rsidRDefault="002C229C" w:rsidP="002C229C">
      <w:pPr>
        <w:rPr>
          <w:lang w:val="ru-RU"/>
        </w:rPr>
      </w:pPr>
    </w:p>
    <w:p w:rsidR="00F834A7" w:rsidRDefault="00F834A7" w:rsidP="004167DF">
      <w:pPr>
        <w:pStyle w:val="1"/>
        <w:spacing w:before="0" w:after="0" w:line="360" w:lineRule="auto"/>
        <w:jc w:val="left"/>
        <w:rPr>
          <w:rFonts w:cs="Times New Roman"/>
          <w:bCs/>
          <w:szCs w:val="28"/>
          <w:lang w:val="ru-RU"/>
        </w:rPr>
        <w:sectPr w:rsidR="00F834A7">
          <w:pgSz w:w="12240" w:h="15840"/>
          <w:pgMar w:top="1440" w:right="1440" w:bottom="1440" w:left="1440" w:header="720" w:footer="720" w:gutter="0"/>
          <w:pgNumType w:start="1"/>
          <w:cols w:space="720"/>
        </w:sectPr>
      </w:pPr>
    </w:p>
    <w:p w:rsidR="007D27F4" w:rsidRDefault="00FF0F5C" w:rsidP="00CD1CF2">
      <w:pPr>
        <w:pStyle w:val="1"/>
        <w:spacing w:before="0" w:after="0" w:line="360" w:lineRule="auto"/>
        <w:rPr>
          <w:rFonts w:cs="Times New Roman"/>
          <w:bCs/>
          <w:szCs w:val="28"/>
          <w:lang w:val="ru-RU"/>
        </w:rPr>
      </w:pPr>
      <w:bookmarkStart w:id="1" w:name="_Toc230938580"/>
      <w:r w:rsidRPr="00653A71">
        <w:rPr>
          <w:rFonts w:cs="Times New Roman"/>
          <w:bCs/>
          <w:szCs w:val="28"/>
          <w:lang w:val="ru-RU"/>
        </w:rPr>
        <w:lastRenderedPageBreak/>
        <w:t>Введение</w:t>
      </w:r>
      <w:bookmarkEnd w:id="1"/>
    </w:p>
    <w:p w:rsidR="002C229C" w:rsidRPr="002C229C" w:rsidRDefault="002C229C" w:rsidP="00CD1CF2">
      <w:pPr>
        <w:spacing w:line="360" w:lineRule="auto"/>
        <w:jc w:val="both"/>
        <w:rPr>
          <w:lang w:val="ru-RU"/>
        </w:rPr>
      </w:pP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Актуальность темы исследования:</w:t>
      </w:r>
      <w:r w:rsidR="00CD1CF2">
        <w:rPr>
          <w:rFonts w:ascii="Times New Roman" w:eastAsia="Times New Roman" w:hAnsi="Times New Roman" w:cs="Times New Roman"/>
          <w:sz w:val="28"/>
          <w:szCs w:val="28"/>
          <w:lang w:val="ru-RU"/>
        </w:rPr>
        <w:t xml:space="preserve"> в</w:t>
      </w:r>
      <w:r w:rsidRPr="00CD1CF2">
        <w:rPr>
          <w:rFonts w:ascii="Times New Roman" w:eastAsia="Times New Roman" w:hAnsi="Times New Roman" w:cs="Times New Roman"/>
          <w:sz w:val="28"/>
          <w:szCs w:val="28"/>
          <w:lang w:val="ru-RU"/>
        </w:rPr>
        <w:t xml:space="preserve"> условиях современной макроэкономической нестабильности, геополитической турбулентности и структурной трансформации экономики критически важным элементом обеспечения финансовой защищенности капитала выступает грамотная и всесторонняя оценка инвестиционных активов. Сектор металлургии традиционно является одной из базовых и наиболее значимых отраслей российской экономики, однако его функционирование сопряжено с высокой капиталоемкостью, существенной зависимостью от волатильности мировых цен на сырье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паевых инвестиционных фондов (ПИФов), профилирующихся на предприятиях металлургического сектора.</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 xml:space="preserve">Традиционно качество и эффективность управления инвестиционным портфелем измеряются на основе классических метрик, оценивающих ретроспективное соотношение риска и доходности. Тем не менее, практика показывает, что классические портфельные коэффициенты зачастую оказываются недостаточными при изолированном применении. Они отражают лишь историческую волатильность рыночных котировок, но не способны в полной мере охарактеризовать реальную стоимость объектов инвестирования, их финансовое здоровье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портфеля с углубленным </w:t>
      </w:r>
      <w:r w:rsidRPr="00CD1CF2">
        <w:rPr>
          <w:rFonts w:ascii="Times New Roman" w:eastAsia="Times New Roman" w:hAnsi="Times New Roman" w:cs="Times New Roman"/>
          <w:sz w:val="28"/>
          <w:szCs w:val="28"/>
          <w:lang w:val="ru-RU"/>
        </w:rPr>
        <w:lastRenderedPageBreak/>
        <w:t xml:space="preserve">фундаментальным анализом самих активов (компаний-эмитентов). Оценка ликвидности, платежеспособности, рентабельности и рисков банкротства эмитентов позволяет сформировать объективное представление о внутренней стоимости активов. Следовательно, синтез классического портфельного и фундаментального финансового анализа для обоснования путей оптимизации структуры портфелей </w:t>
      </w:r>
      <w:proofErr w:type="spellStart"/>
      <w:r w:rsidRPr="00CD1CF2">
        <w:rPr>
          <w:rFonts w:ascii="Times New Roman" w:eastAsia="Times New Roman" w:hAnsi="Times New Roman" w:cs="Times New Roman"/>
          <w:sz w:val="28"/>
          <w:szCs w:val="28"/>
          <w:lang w:val="ru-RU"/>
        </w:rPr>
        <w:t>ПИФов</w:t>
      </w:r>
      <w:proofErr w:type="spellEnd"/>
      <w:r w:rsidRPr="00CD1CF2">
        <w:rPr>
          <w:rFonts w:ascii="Times New Roman" w:eastAsia="Times New Roman" w:hAnsi="Times New Roman" w:cs="Times New Roman"/>
          <w:sz w:val="28"/>
          <w:szCs w:val="28"/>
          <w:lang w:val="ru-RU"/>
        </w:rPr>
        <w:t xml:space="preserve"> является </w:t>
      </w:r>
      <w:proofErr w:type="spellStart"/>
      <w:r w:rsidRPr="00CD1CF2">
        <w:rPr>
          <w:rFonts w:ascii="Times New Roman" w:eastAsia="Times New Roman" w:hAnsi="Times New Roman" w:cs="Times New Roman"/>
          <w:sz w:val="28"/>
          <w:szCs w:val="28"/>
          <w:lang w:val="ru-RU"/>
        </w:rPr>
        <w:t>высокоактуальной</w:t>
      </w:r>
      <w:proofErr w:type="spellEnd"/>
      <w:r w:rsidRPr="00CD1CF2">
        <w:rPr>
          <w:rFonts w:ascii="Times New Roman" w:eastAsia="Times New Roman" w:hAnsi="Times New Roman" w:cs="Times New Roman"/>
          <w:sz w:val="28"/>
          <w:szCs w:val="28"/>
          <w:lang w:val="ru-RU"/>
        </w:rPr>
        <w:t xml:space="preserve"> научной и прикладной задачей.</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Цель исследования:</w:t>
      </w:r>
      <w:r w:rsidRPr="00CD1CF2">
        <w:rPr>
          <w:rFonts w:ascii="Times New Roman" w:eastAsia="Times New Roman" w:hAnsi="Times New Roman" w:cs="Times New Roman"/>
          <w:sz w:val="28"/>
          <w:szCs w:val="28"/>
          <w:lang w:val="ru-RU"/>
        </w:rPr>
        <w:t xml:space="preserve"> оценка текущего качества инвестиционного портфеля ОПИФ РФИ «ВИМ-Металлургия» и разработка практических рекомендаций по его повышению.</w:t>
      </w:r>
    </w:p>
    <w:p w:rsidR="007D27F4" w:rsidRPr="00CD1CF2" w:rsidRDefault="00FF0F5C" w:rsidP="00CD1CF2">
      <w:pPr>
        <w:spacing w:line="360" w:lineRule="auto"/>
        <w:ind w:firstLine="709"/>
        <w:jc w:val="both"/>
        <w:rPr>
          <w:rFonts w:ascii="Times New Roman" w:eastAsia="Times New Roman" w:hAnsi="Times New Roman" w:cs="Times New Roman"/>
          <w:bCs/>
          <w:sz w:val="28"/>
          <w:szCs w:val="28"/>
        </w:rPr>
      </w:pPr>
      <w:proofErr w:type="spellStart"/>
      <w:r w:rsidRPr="00CD1CF2">
        <w:rPr>
          <w:rFonts w:ascii="Times New Roman" w:eastAsia="Times New Roman" w:hAnsi="Times New Roman" w:cs="Times New Roman"/>
          <w:bCs/>
          <w:sz w:val="28"/>
          <w:szCs w:val="28"/>
        </w:rPr>
        <w:t>Задачи</w:t>
      </w:r>
      <w:proofErr w:type="spellEnd"/>
      <w:r w:rsidRPr="00CD1CF2">
        <w:rPr>
          <w:rFonts w:ascii="Times New Roman" w:eastAsia="Times New Roman" w:hAnsi="Times New Roman" w:cs="Times New Roman"/>
          <w:bCs/>
          <w:sz w:val="28"/>
          <w:szCs w:val="28"/>
        </w:rPr>
        <w:t xml:space="preserve"> </w:t>
      </w:r>
      <w:proofErr w:type="spellStart"/>
      <w:r w:rsidRPr="00CD1CF2">
        <w:rPr>
          <w:rFonts w:ascii="Times New Roman" w:eastAsia="Times New Roman" w:hAnsi="Times New Roman" w:cs="Times New Roman"/>
          <w:bCs/>
          <w:sz w:val="28"/>
          <w:szCs w:val="28"/>
        </w:rPr>
        <w:t>исследования</w:t>
      </w:r>
      <w:proofErr w:type="spellEnd"/>
      <w:r w:rsidRPr="00CD1CF2">
        <w:rPr>
          <w:rFonts w:ascii="Times New Roman" w:eastAsia="Times New Roman" w:hAnsi="Times New Roman" w:cs="Times New Roman"/>
          <w:bCs/>
          <w:sz w:val="28"/>
          <w:szCs w:val="28"/>
        </w:rPr>
        <w:t>:</w:t>
      </w:r>
    </w:p>
    <w:p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Изучить теоретические и методологические основы формирования инвестиционного портфеля и критерии определения его качества на современном финансовом рынке;</w:t>
      </w:r>
    </w:p>
    <w:p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Проанализировать финансовое состояние и инвестиционную привлекательность ключевых активов (компаний-эмитентов), входящих в структуру портфеля фонда;</w:t>
      </w:r>
    </w:p>
    <w:p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Рассчитать и интерпретировать основные классические метрики качества и эффективности анализируемого инвестиционного портфеля;</w:t>
      </w:r>
    </w:p>
    <w:p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Предложить обоснованные пути оптимизации структуры портфеля, направленные на максимизацию доходности и обеспечение эффективной диверсификации инвестиционных рисков.</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Объект исследования:</w:t>
      </w:r>
      <w:r w:rsidRPr="00CD1CF2">
        <w:rPr>
          <w:rFonts w:ascii="Times New Roman" w:eastAsia="Times New Roman" w:hAnsi="Times New Roman" w:cs="Times New Roman"/>
          <w:sz w:val="28"/>
          <w:szCs w:val="28"/>
          <w:lang w:val="ru-RU"/>
        </w:rPr>
        <w:t xml:space="preserve"> ОПИФ РФИ «ВИМ-Металлургия».</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Предмет исследования:</w:t>
      </w:r>
      <w:r w:rsidRPr="00CD1CF2">
        <w:rPr>
          <w:rFonts w:ascii="Times New Roman" w:eastAsia="Times New Roman" w:hAnsi="Times New Roman" w:cs="Times New Roman"/>
          <w:sz w:val="28"/>
          <w:szCs w:val="28"/>
          <w:lang w:val="ru-RU"/>
        </w:rPr>
        <w:t xml:space="preserve"> качество инвестиционного портфеля данного фонда.</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Теоретическая и методологическая база исследования:</w:t>
      </w:r>
      <w:r w:rsidRPr="00CD1CF2">
        <w:rPr>
          <w:rFonts w:ascii="Times New Roman" w:eastAsia="Times New Roman" w:hAnsi="Times New Roman" w:cs="Times New Roman"/>
          <w:sz w:val="28"/>
          <w:szCs w:val="28"/>
          <w:lang w:val="ru-RU"/>
        </w:rPr>
        <w:t xml:space="preserve"> при проведении исследования использовались фундаментальные труды отечественных и </w:t>
      </w:r>
      <w:r w:rsidRPr="00CD1CF2">
        <w:rPr>
          <w:rFonts w:ascii="Times New Roman" w:eastAsia="Times New Roman" w:hAnsi="Times New Roman" w:cs="Times New Roman"/>
          <w:sz w:val="28"/>
          <w:szCs w:val="28"/>
          <w:lang w:val="ru-RU"/>
        </w:rPr>
        <w:lastRenderedPageBreak/>
        <w:t xml:space="preserve">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sidRPr="00CD1CF2">
        <w:rPr>
          <w:rFonts w:ascii="Times New Roman" w:eastAsia="Times New Roman" w:hAnsi="Times New Roman" w:cs="Times New Roman"/>
          <w:sz w:val="28"/>
          <w:szCs w:val="28"/>
          <w:lang w:val="ru-RU"/>
        </w:rPr>
        <w:t>Марковица</w:t>
      </w:r>
      <w:proofErr w:type="spellEnd"/>
      <w:r w:rsidRPr="00CD1CF2">
        <w:rPr>
          <w:rFonts w:ascii="Times New Roman" w:eastAsia="Times New Roman" w:hAnsi="Times New Roman" w:cs="Times New Roman"/>
          <w:sz w:val="28"/>
          <w:szCs w:val="28"/>
          <w:lang w:val="ru-RU"/>
        </w:rPr>
        <w:t xml:space="preserve">, У. Шарпа и др.). Методологический аппарат включает методы фундаментального и финансового анализа, в том числе методы горизонтального, вертикального и коэффициентного анализа корпоративной отчетности. Для количественной оценки качества инвестиционного портфеля применялись специализированные показатели: коэффициент Шарпа (для оценки доходности с поправкой на совокупный риск), коэффициент </w:t>
      </w:r>
      <w:proofErr w:type="spellStart"/>
      <w:r w:rsidRPr="00CD1CF2">
        <w:rPr>
          <w:rFonts w:ascii="Times New Roman" w:eastAsia="Times New Roman" w:hAnsi="Times New Roman" w:cs="Times New Roman"/>
          <w:sz w:val="28"/>
          <w:szCs w:val="28"/>
          <w:lang w:val="ru-RU"/>
        </w:rPr>
        <w:t>Сортино</w:t>
      </w:r>
      <w:proofErr w:type="spellEnd"/>
      <w:r w:rsidRPr="00CD1CF2">
        <w:rPr>
          <w:rFonts w:ascii="Times New Roman" w:eastAsia="Times New Roman" w:hAnsi="Times New Roman" w:cs="Times New Roman"/>
          <w:sz w:val="28"/>
          <w:szCs w:val="28"/>
          <w:lang w:val="ru-RU"/>
        </w:rPr>
        <w:t xml:space="preserve"> (для оценки риска отрицательных отклонений), коэффициенты </w:t>
      </w:r>
      <w:proofErr w:type="spellStart"/>
      <w:r w:rsidRPr="00CD1CF2">
        <w:rPr>
          <w:rFonts w:ascii="Times New Roman" w:eastAsia="Times New Roman" w:hAnsi="Times New Roman" w:cs="Times New Roman"/>
          <w:sz w:val="28"/>
          <w:szCs w:val="28"/>
          <w:lang w:val="ru-RU"/>
        </w:rPr>
        <w:t>Трейнора</w:t>
      </w:r>
      <w:proofErr w:type="spellEnd"/>
      <w:r w:rsidRPr="00CD1CF2">
        <w:rPr>
          <w:rFonts w:ascii="Times New Roman" w:eastAsia="Times New Roman" w:hAnsi="Times New Roman" w:cs="Times New Roman"/>
          <w:sz w:val="28"/>
          <w:szCs w:val="28"/>
          <w:lang w:val="ru-RU"/>
        </w:rPr>
        <w:t xml:space="preserve"> и </w:t>
      </w:r>
      <w:proofErr w:type="spellStart"/>
      <w:r w:rsidRPr="00CD1CF2">
        <w:rPr>
          <w:rFonts w:ascii="Times New Roman" w:eastAsia="Times New Roman" w:hAnsi="Times New Roman" w:cs="Times New Roman"/>
          <w:sz w:val="28"/>
          <w:szCs w:val="28"/>
          <w:lang w:val="ru-RU"/>
        </w:rPr>
        <w:t>Дженсена</w:t>
      </w:r>
      <w:proofErr w:type="spellEnd"/>
      <w:r w:rsidRPr="00CD1CF2">
        <w:rPr>
          <w:rFonts w:ascii="Times New Roman" w:eastAsia="Times New Roman" w:hAnsi="Times New Roman" w:cs="Times New Roman"/>
          <w:sz w:val="28"/>
          <w:szCs w:val="28"/>
          <w:lang w:val="ru-RU"/>
        </w:rPr>
        <w:t>, а также анализ бета-коэффициента.</w:t>
      </w:r>
    </w:p>
    <w:p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Информационная база исследования:</w:t>
      </w:r>
      <w:r w:rsidRPr="00CD1CF2">
        <w:rPr>
          <w:rFonts w:ascii="Times New Roman" w:eastAsia="Times New Roman" w:hAnsi="Times New Roman" w:cs="Times New Roman"/>
          <w:sz w:val="28"/>
          <w:szCs w:val="28"/>
          <w:lang w:val="ru-RU"/>
        </w:rPr>
        <w:t xml:space="preserve"> открытая финансовая отчетность компаний, входящих в портфель, сформированная в соответствии с российскими стандартами бухгалтерского учета (РСБУ) и международными стандартами финансовой отчетности (МСФО). Кроме того, эмпирическую базу исследования составили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а также нормативно-правовые документы, регулирующие функционирование рынка ценных бумаг в РФ.</w:t>
      </w:r>
    </w:p>
    <w:p w:rsidR="00653A71" w:rsidRDefault="00653A71" w:rsidP="00CD1CF2">
      <w:pPr>
        <w:pStyle w:val="1"/>
        <w:spacing w:before="0" w:after="0" w:line="360" w:lineRule="auto"/>
        <w:jc w:val="both"/>
        <w:rPr>
          <w:rFonts w:cs="Times New Roman"/>
          <w:b w:val="0"/>
          <w:bCs/>
          <w:szCs w:val="28"/>
          <w:lang w:val="ru-RU"/>
        </w:rPr>
      </w:pPr>
    </w:p>
    <w:p w:rsidR="0007704C" w:rsidRDefault="0007704C" w:rsidP="0007704C">
      <w:pPr>
        <w:pStyle w:val="1"/>
        <w:spacing w:before="0" w:after="0" w:line="360" w:lineRule="auto"/>
        <w:jc w:val="left"/>
        <w:rPr>
          <w:rFonts w:cs="Times New Roman"/>
          <w:b w:val="0"/>
          <w:bCs/>
          <w:szCs w:val="28"/>
          <w:lang w:val="ru-RU"/>
        </w:rPr>
      </w:pPr>
    </w:p>
    <w:p w:rsidR="0007704C" w:rsidRDefault="0007704C" w:rsidP="0007704C">
      <w:pPr>
        <w:pStyle w:val="1"/>
        <w:spacing w:before="0" w:after="0" w:line="360" w:lineRule="auto"/>
        <w:jc w:val="left"/>
        <w:rPr>
          <w:rFonts w:cs="Times New Roman"/>
          <w:b w:val="0"/>
          <w:bCs/>
          <w:szCs w:val="28"/>
          <w:lang w:val="ru-RU"/>
        </w:rPr>
      </w:pPr>
    </w:p>
    <w:p w:rsidR="00793D47" w:rsidRDefault="00793D47">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793D47" w:rsidRPr="00793D47" w:rsidRDefault="00793D47" w:rsidP="00CD1CF2">
      <w:pPr>
        <w:pStyle w:val="1"/>
        <w:spacing w:before="0" w:after="0" w:line="360" w:lineRule="auto"/>
        <w:rPr>
          <w:lang w:val="ru-RU"/>
        </w:rPr>
      </w:pPr>
      <w:bookmarkStart w:id="2" w:name="_Toc230938581"/>
      <w:r w:rsidRPr="00793D47">
        <w:rPr>
          <w:lang w:val="ru-RU"/>
        </w:rPr>
        <w:lastRenderedPageBreak/>
        <w:t xml:space="preserve">Глава 1. </w:t>
      </w:r>
      <w:r w:rsidR="00A30C68">
        <w:rPr>
          <w:lang w:val="ru-RU"/>
        </w:rPr>
        <w:t>С</w:t>
      </w:r>
      <w:r w:rsidRPr="00793D47">
        <w:rPr>
          <w:lang w:val="ru-RU"/>
        </w:rPr>
        <w:t>остав инве</w:t>
      </w:r>
      <w:r w:rsidR="00E2290B">
        <w:rPr>
          <w:lang w:val="ru-RU"/>
        </w:rPr>
        <w:t xml:space="preserve">стиционного портфеля и методы </w:t>
      </w:r>
      <w:r w:rsidRPr="00793D47">
        <w:rPr>
          <w:lang w:val="ru-RU"/>
        </w:rPr>
        <w:t>определения</w:t>
      </w:r>
      <w:r w:rsidR="00E2290B">
        <w:rPr>
          <w:lang w:val="ru-RU"/>
        </w:rPr>
        <w:t xml:space="preserve"> его качеста</w:t>
      </w:r>
      <w:bookmarkEnd w:id="2"/>
    </w:p>
    <w:p w:rsidR="00793D47" w:rsidRDefault="00793D47" w:rsidP="00CD1CF2">
      <w:pPr>
        <w:pStyle w:val="2"/>
        <w:numPr>
          <w:ilvl w:val="1"/>
          <w:numId w:val="13"/>
        </w:numPr>
        <w:spacing w:before="0" w:after="0" w:line="360" w:lineRule="auto"/>
        <w:rPr>
          <w:lang w:val="ru-RU"/>
        </w:rPr>
      </w:pPr>
      <w:bookmarkStart w:id="3" w:name="_Toc230938582"/>
      <w:r w:rsidRPr="00793D47">
        <w:rPr>
          <w:lang w:val="ru-RU"/>
        </w:rPr>
        <w:t>Сущность и значение качества инвестиционного портфеля</w:t>
      </w:r>
      <w:bookmarkEnd w:id="3"/>
    </w:p>
    <w:p w:rsidR="00631EF4" w:rsidRPr="00631EF4" w:rsidRDefault="00631EF4" w:rsidP="00CD1CF2">
      <w:pPr>
        <w:spacing w:line="360" w:lineRule="auto"/>
        <w:jc w:val="both"/>
        <w:rPr>
          <w:lang w:val="ru-RU"/>
        </w:rPr>
      </w:pP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В рамках современной финансовой теории, а также в практиках управления активами, инвестиционный портфель обычно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[20, с. 15]</w:t>
      </w:r>
      <w:r w:rsidRPr="00793D47">
        <w:rPr>
          <w:rFonts w:ascii="Times New Roman" w:hAnsi="Times New Roman" w:cs="Times New Roman"/>
          <w:sz w:val="28"/>
          <w:szCs w:val="28"/>
          <w:lang w:val="ru-RU"/>
        </w:rPr>
        <w:t>. В аналитическом смысле инвестиционный портфель целесообразно трактовать как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который функционирует как единый объект управления и контроля</w:t>
      </w:r>
      <w:r w:rsidR="007C0ED7">
        <w:rPr>
          <w:rFonts w:ascii="Times New Roman" w:hAnsi="Times New Roman" w:cs="Times New Roman"/>
          <w:sz w:val="28"/>
          <w:szCs w:val="28"/>
          <w:lang w:val="ru-RU"/>
        </w:rPr>
        <w:t xml:space="preserve"> [7, с. 112</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Такое понимание предполагает, что отдельные элементы портфеля приобретают смысл не только поодиночке, но и через их взаимодействие в составе общей конструкции. Комбинирование инструментов позволяет в определенной степени компенсировать ограничения каждого из них, поскольку распределение капитала между активами с различными характеристиками делает достижимыми заданные параметры по ожидаемой доходности, приемлемому риску и требуемой ликвидности, причем именно на уровне совокупности, а не отдельного инструмента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[36; 37]</w:t>
      </w:r>
      <w:r w:rsidRPr="00793D47">
        <w:rPr>
          <w:rFonts w:ascii="Times New Roman" w:hAnsi="Times New Roman" w:cs="Times New Roman"/>
          <w:sz w:val="28"/>
          <w:szCs w:val="28"/>
          <w:lang w:val="ru-RU"/>
        </w:rPr>
        <w:t>.</w:t>
      </w: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которые при заданных ограничениях интерпретируются как относительно эффективные и достаточно надежные</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[19, с. 210]</w:t>
      </w:r>
      <w:r w:rsidRPr="00793D47">
        <w:rPr>
          <w:rFonts w:ascii="Times New Roman" w:hAnsi="Times New Roman" w:cs="Times New Roman"/>
          <w:sz w:val="28"/>
          <w:szCs w:val="28"/>
          <w:lang w:val="ru-RU"/>
        </w:rPr>
        <w:t xml:space="preserve">. В этой логике уместно говорить о системе взаимосвязанных ориентиров, где приоритеты </w:t>
      </w:r>
      <w:r w:rsidRPr="00793D47">
        <w:rPr>
          <w:rFonts w:ascii="Times New Roman" w:hAnsi="Times New Roman" w:cs="Times New Roman"/>
          <w:sz w:val="28"/>
          <w:szCs w:val="28"/>
          <w:lang w:val="ru-RU"/>
        </w:rPr>
        <w:lastRenderedPageBreak/>
        <w:t>задаются как стратегическими, так и тактическими соображениями: сохранение капитала и его прирост в долгосрочной перспективе; поддержание темпов роста дохода, которые соответствуют целям инвестора, при одновременном стремлении к более предсказуемой динамике денежных поступлений; ограничение уровня риска до значений, совместимых с допустимыми потерями и требованиями к устойчивости результатов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[13, с. 154]</w:t>
      </w:r>
      <w:r w:rsidRPr="00793D47">
        <w:rPr>
          <w:rFonts w:ascii="Times New Roman" w:hAnsi="Times New Roman" w:cs="Times New Roman"/>
          <w:sz w:val="28"/>
          <w:szCs w:val="28"/>
          <w:lang w:val="ru-RU"/>
        </w:rPr>
        <w:t>; сохранение ликвидности в объеме, достаточном для исполнения обязательств, покрытия непредвиденных потребностей и для возможности реагировать на изменения рыночной конъюнктуры без вынужденных продаж по невыгодным ценам. Существенно, что практическая значимость портфеля проявляется не только в потенциале получения дохода, но и в способности сохранять управляемость и воспроизводимость результатов при изменениях внешних условий, включая смену процентных ставок, фаз экономического цикла и режимов рыночной волатильности.</w:t>
      </w: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 xml:space="preserve">Применение категории «качество» к инвестиционному портфелю не сводится к идее механической максимизации доходности, вычисленной по историческим данным или полученной на кратком временном интервале. Качество портфеля уместно определять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с возможностью относительно оперативной трансформации части активов в денежную форму при разумных </w:t>
      </w:r>
      <w:proofErr w:type="spellStart"/>
      <w:r w:rsidRPr="00793D47">
        <w:rPr>
          <w:rFonts w:ascii="Times New Roman" w:hAnsi="Times New Roman" w:cs="Times New Roman"/>
          <w:sz w:val="28"/>
          <w:szCs w:val="28"/>
          <w:lang w:val="ru-RU"/>
        </w:rPr>
        <w:t>трансакционных</w:t>
      </w:r>
      <w:proofErr w:type="spellEnd"/>
      <w:r w:rsidRPr="00793D47">
        <w:rPr>
          <w:rFonts w:ascii="Times New Roman" w:hAnsi="Times New Roman" w:cs="Times New Roman"/>
          <w:sz w:val="28"/>
          <w:szCs w:val="28"/>
          <w:lang w:val="ru-RU"/>
        </w:rPr>
        <w:t xml:space="preserve"> издержках</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[11, с. 230]</w:t>
      </w:r>
      <w:r w:rsidRPr="00793D47">
        <w:rPr>
          <w:rFonts w:ascii="Times New Roman" w:hAnsi="Times New Roman" w:cs="Times New Roman"/>
          <w:sz w:val="28"/>
          <w:szCs w:val="28"/>
          <w:lang w:val="ru-RU"/>
        </w:rPr>
        <w:t xml:space="preserve">. В данном контексте характеристики отдельных ценных бумаг и инвестиционных проектов оцениваются через их способность формировать доход при ограниченном уровне неопределенности, а также через степень ликвидности, отражающую практическую реализуемость стратегии и возможности ребалансировки. </w:t>
      </w:r>
      <w:r w:rsidRPr="00793D47">
        <w:rPr>
          <w:rFonts w:ascii="Times New Roman" w:hAnsi="Times New Roman" w:cs="Times New Roman"/>
          <w:sz w:val="28"/>
          <w:szCs w:val="28"/>
          <w:lang w:val="ru-RU"/>
        </w:rPr>
        <w:lastRenderedPageBreak/>
        <w:t>Соответственно, более высокое качество портфеля связано с возникновением системного эффекта, который трудно воспроизвести на уровне единичного инструмента: денежные потоки становятся более устойчивыми, чувствительность к отдельным негативным событиям и ошибкам прогноза снижается, а структура вложений приобретает более предсказуемые свойства за счет распределения источников риска и дохода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[23, с. 140]</w:t>
      </w:r>
      <w:r w:rsidRPr="00793D47">
        <w:rPr>
          <w:rFonts w:ascii="Times New Roman" w:hAnsi="Times New Roman" w:cs="Times New Roman"/>
          <w:sz w:val="28"/>
          <w:szCs w:val="28"/>
          <w:lang w:val="ru-RU"/>
        </w:rPr>
        <w:t>. Одновременно качество предполагает не только «хороший набор активов», но и внутреннюю согласованность портфельной конструкции, то есть соответствие структуры целям, временным ограничениям и допустимому уровню потерь.</w:t>
      </w: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Проблематика портфельного управления во многом обусловлена тем, что доходность, риск и ликвидность связаны функционально и на практике часто оказываются в напряженном соотношении. В финансовой теории устойчиво закрепилось положение о том, что рост ожидаемой доходности в среднем сопровождается повышением риска, то есть увеличением неопределенности итогового результата и вероятности неблагоприятных сценариев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[25, с. 120]</w:t>
      </w:r>
      <w:r w:rsidRPr="00793D47">
        <w:rPr>
          <w:rFonts w:ascii="Times New Roman" w:hAnsi="Times New Roman" w:cs="Times New Roman"/>
          <w:sz w:val="28"/>
          <w:szCs w:val="28"/>
          <w:lang w:val="ru-RU"/>
        </w:rPr>
        <w:t>. Вместе с тем инструменты, которые принято относить к более надежным, включая государственные облигации, как правило, демонстрируют сравнительно умеренную доходность при более высокой ликвидности и меньшей амплитуде колебаний цен. Напротив, активы, ориентированные на рост стоимости, в том числе акции компаний роста, потенциально способны обеспечивать более высокий доход, однако они сопряжены с заметной вероятностью просадок, а в отдельных фазах кризиса нередко теряют ликвидность, что затрудняет закрытие позиции без существенного дисконта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[10, с. 450]</w:t>
      </w:r>
      <w:r w:rsidRPr="00793D47">
        <w:rPr>
          <w:rFonts w:ascii="Times New Roman" w:hAnsi="Times New Roman" w:cs="Times New Roman"/>
          <w:sz w:val="28"/>
          <w:szCs w:val="28"/>
          <w:lang w:val="ru-RU"/>
        </w:rPr>
        <w:t>. В результате управленческие решения редко могут опираться на один показатель; напротив, требуется учитывать характер компромиссов, возникающих при изменении макроэкономического режима, рыночных ожиданий и доступности финансирования.</w:t>
      </w:r>
    </w:p>
    <w:p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lastRenderedPageBreak/>
        <w:t>Поскольку одновременная максимизация доходности при нулевом риске и абсолютной ликвидности не реализуема в условиях реального рынка, формирование портфеля фактически превращается в задачу поиска компромиссного решения</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[26, с. 146]</w:t>
      </w:r>
      <w:r w:rsidRPr="00793D47">
        <w:rPr>
          <w:rFonts w:ascii="Times New Roman" w:hAnsi="Times New Roman" w:cs="Times New Roman"/>
          <w:sz w:val="28"/>
          <w:szCs w:val="28"/>
          <w:lang w:val="ru-RU"/>
        </w:rPr>
        <w:t>. Целевые установки инвестора в таком случае могут быть описаны как система относительных приоритетов или «весов», где усиление ориентации на прибыль обычно ведет к повышению риска и в ряде ситуаций снижает ликвидность, особенно при стрессовых сценариях. Для достижения приемлемого баланса управляющая сторона использует диверсификацию, объединяя активы с различной чувствительностью к факторам риска и с неодинаковой корреляцией доходностей, чтобы уменьшить совокупный риск без пропорционального сокращения ожидаемой доходности</w:t>
      </w:r>
      <w:r w:rsidR="007C0ED7">
        <w:rPr>
          <w:rFonts w:ascii="Times New Roman" w:hAnsi="Times New Roman" w:cs="Times New Roman"/>
          <w:sz w:val="28"/>
          <w:szCs w:val="28"/>
          <w:lang w:val="ru-RU"/>
        </w:rPr>
        <w:t xml:space="preserve"> [20, с. 65</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Однако результативность диверсификации определяется не столько количеством инструментов, сколько особенностями их совместного поведения, устойчивостью выбранной структуры к изменению корреляций, дисциплиной ребалансировки и соответствием портфельного состава исходным ограничениям, включая лимиты по классам активов, секторам, валютам и кредитному качеству. С прикладной точки зрения качественно сбалансированный портфель стремится уменьшить вероятность существенных потерь и сгладить вариативность результатов, не выходя при этом за рамки целевого профиля доходности и заданного инвестиционного горизонта.</w:t>
      </w:r>
    </w:p>
    <w:p w:rsid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Одновременно в прикладной сфере управление портфелем нередко редуцируется до оптимизации структуры активов на основе ожидаемой доходности и исторической волатильности, где ключевыми исходными данными выступают ретроспективные ряды котировок и статистические оценки риска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[25, с. 880]</w:t>
      </w:r>
      <w:r w:rsidRPr="00793D47">
        <w:rPr>
          <w:rFonts w:ascii="Times New Roman" w:hAnsi="Times New Roman" w:cs="Times New Roman"/>
          <w:sz w:val="28"/>
          <w:szCs w:val="28"/>
          <w:lang w:val="ru-RU"/>
        </w:rPr>
        <w:t xml:space="preserve">. Традиционная трактовка качества портфеля в подобных подходах часто опирается преимущественно на количественные </w:t>
      </w:r>
      <w:r w:rsidRPr="00793D47">
        <w:rPr>
          <w:rFonts w:ascii="Times New Roman" w:hAnsi="Times New Roman" w:cs="Times New Roman"/>
          <w:sz w:val="28"/>
          <w:szCs w:val="28"/>
          <w:lang w:val="ru-RU"/>
        </w:rPr>
        <w:lastRenderedPageBreak/>
        <w:t xml:space="preserve">метрики, включая стандартное отклонение, ковариацию, корреляции и расчеты, основанные на динамике цен. Однако такая перспектива остается ограниченной, поскольку прошлые статистические параметры и рыночные цены не дают исчерпывающего представления о фундаментальной стоимости бизнеса эмитентов, о качестве их корпоративного управления, об устойчивости финансовой модели и о долгосрочных рисках, которые могут проявляться вне рамок краткосрочных ценовых колебаний, </w:t>
      </w:r>
      <w:proofErr w:type="gramStart"/>
      <w:r w:rsidRPr="00793D47">
        <w:rPr>
          <w:rFonts w:ascii="Times New Roman" w:hAnsi="Times New Roman" w:cs="Times New Roman"/>
          <w:sz w:val="28"/>
          <w:szCs w:val="28"/>
          <w:lang w:val="ru-RU"/>
        </w:rPr>
        <w:t>например</w:t>
      </w:r>
      <w:proofErr w:type="gramEnd"/>
      <w:r w:rsidRPr="00793D47">
        <w:rPr>
          <w:rFonts w:ascii="Times New Roman" w:hAnsi="Times New Roman" w:cs="Times New Roman"/>
          <w:sz w:val="28"/>
          <w:szCs w:val="28"/>
          <w:lang w:val="ru-RU"/>
        </w:rPr>
        <w:t xml:space="preserve"> через ухудшение конкурентной позиции, рост долговой нагрузки или структурные изменения в отрасли</w:t>
      </w:r>
      <w:r w:rsidR="007C0ED7">
        <w:rPr>
          <w:rFonts w:ascii="Times New Roman" w:hAnsi="Times New Roman" w:cs="Times New Roman"/>
          <w:sz w:val="28"/>
          <w:szCs w:val="28"/>
          <w:lang w:val="ru-RU"/>
        </w:rPr>
        <w:t xml:space="preserve"> [8, с. 45</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Кроме того, на статистические оценки заметно влияет выбор периода наблюдения, режим волатильности и наличие экстремальных событий, что усложняет перенос полученных оценок в будущее. По этой причине возникает методологическая необходимость расширять инструментарий оценки качества портфеля за счет методов фундаментального финансового анализа объектов инвестирования, а также за счет более широкого учета факторов, связанных с финансовой устойчивостью эмитента и источниками его денежных потоков, что логически подготавливает дальнейшее рассмотрение соответствующих подходов.</w:t>
      </w:r>
    </w:p>
    <w:p w:rsidR="00631EF4" w:rsidRDefault="00631EF4" w:rsidP="00CD1CF2">
      <w:pPr>
        <w:spacing w:line="360" w:lineRule="auto"/>
        <w:jc w:val="both"/>
        <w:rPr>
          <w:rFonts w:ascii="Times New Roman" w:hAnsi="Times New Roman" w:cs="Times New Roman"/>
          <w:sz w:val="28"/>
          <w:szCs w:val="28"/>
          <w:lang w:val="ru-RU"/>
        </w:rPr>
      </w:pPr>
    </w:p>
    <w:p w:rsidR="00793D47" w:rsidRDefault="00793D47" w:rsidP="00CD1CF2">
      <w:pPr>
        <w:pStyle w:val="2"/>
        <w:numPr>
          <w:ilvl w:val="1"/>
          <w:numId w:val="13"/>
        </w:numPr>
        <w:spacing w:before="0" w:after="0" w:line="360" w:lineRule="auto"/>
        <w:ind w:left="0" w:firstLine="0"/>
        <w:rPr>
          <w:lang w:val="ru-RU"/>
        </w:rPr>
      </w:pPr>
      <w:bookmarkStart w:id="4" w:name="_Toc230938583"/>
      <w:r w:rsidRPr="00631EF4">
        <w:rPr>
          <w:lang w:val="ru-RU"/>
        </w:rPr>
        <w:t>Факторы, определяющие качество инвестиционного портфеля</w:t>
      </w:r>
      <w:bookmarkEnd w:id="4"/>
    </w:p>
    <w:p w:rsidR="00CD1CF2" w:rsidRPr="00CD1CF2" w:rsidRDefault="00CD1CF2" w:rsidP="00CD1CF2">
      <w:pPr>
        <w:rPr>
          <w:lang w:val="ru-RU"/>
        </w:rPr>
      </w:pP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Качество инвестиционного портфеля представляется обоснованным рассматривать как динамическую характеристику, которая изменяется во времени под воздействием совокупности взаимосвязанных условий. При этом часть таких условий формируется во внешней среде и практически не поддается влиянию со стороны инвестора или управляющей компании, тогда как другая часть определяется управленческими решениями, принятыми при формировании и сопровождении портфеля</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[7, с. 142]</w:t>
      </w:r>
      <w:r w:rsidRPr="00631EF4">
        <w:rPr>
          <w:rFonts w:ascii="Times New Roman" w:hAnsi="Times New Roman" w:cs="Times New Roman"/>
          <w:sz w:val="28"/>
          <w:szCs w:val="28"/>
          <w:lang w:val="ru-RU"/>
        </w:rPr>
        <w:t xml:space="preserve">. В академической </w:t>
      </w:r>
      <w:r w:rsidRPr="00631EF4">
        <w:rPr>
          <w:rFonts w:ascii="Times New Roman" w:hAnsi="Times New Roman" w:cs="Times New Roman"/>
          <w:sz w:val="28"/>
          <w:szCs w:val="28"/>
          <w:lang w:val="ru-RU"/>
        </w:rPr>
        <w:lastRenderedPageBreak/>
        <w:t>литературе укоренилась типология факторов на внешние (экзогенные) и внутренние (эндогенные), что методологически удобно: она позволяет аналитически отделить ограничения, возникающие независимо от воли субъекта управления, от параметров, которые могут целенаправленно корректироваться через инвестиционную стратегию, регламенты принятия решений, процедуры риск-менеджмента и критерии отбора инструментов</w:t>
      </w:r>
      <w:r w:rsidR="00677407">
        <w:rPr>
          <w:rFonts w:ascii="Times New Roman" w:hAnsi="Times New Roman" w:cs="Times New Roman"/>
          <w:sz w:val="28"/>
          <w:szCs w:val="28"/>
          <w:lang w:val="ru-RU"/>
        </w:rPr>
        <w:t xml:space="preserve"> [19, с. 215</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Подобное разделение не отменяет их взаимодействия: экзогенные шоки нередко меняют эффективность внутренних практик управления, а эндогенные решения могут усиливать либо, напротив, сглаживать влияние внешней конъюнктуры.</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Внешние факторы задают макроэкономический и институциональный контур функционирования финансового рынка и по своей природе не являются результатом решений портфельного управляющего. Существенное значение в данном контексте имеют фазы экономического цикла, траектория инфляции и решения центрального банка в сфере денежно-кредитной политики, прежде всего изменение уровня ключевой ставки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[24, с. 410]</w:t>
      </w:r>
      <w:r w:rsidRPr="00631EF4">
        <w:rPr>
          <w:rFonts w:ascii="Times New Roman" w:hAnsi="Times New Roman" w:cs="Times New Roman"/>
          <w:sz w:val="28"/>
          <w:szCs w:val="28"/>
          <w:lang w:val="ru-RU"/>
        </w:rPr>
        <w:t>. Инфляционная динамика снижает реальную ценность будущих денежных потоков, в связи с чем при построении портфеля возрастает роль инструментов, способных обеспечивать компенсацию инфляционного обесценения или, по крайней мере, поддерживать покупательную способность капитала. Движение ключевой ставки, в свою очередь, влияет на стоимость заемного финансирования в корпоративном секторе и формирует альтернативную доходность относительно близких к безрисковым инструментов, что смещает баланс привлекательности между акциями и облигациями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[17, с. 312]</w:t>
      </w:r>
      <w:r w:rsidRPr="00631EF4">
        <w:rPr>
          <w:rFonts w:ascii="Times New Roman" w:hAnsi="Times New Roman" w:cs="Times New Roman"/>
          <w:sz w:val="28"/>
          <w:szCs w:val="28"/>
          <w:lang w:val="ru-RU"/>
        </w:rPr>
        <w:t xml:space="preserve">. Одновременно ставка выступает ключевым параметром дисконтирования при оценке активов: ее повышение повышает требуемую доходность и, при прочих равных, оказывает давление на текущую </w:t>
      </w:r>
      <w:r w:rsidRPr="00631EF4">
        <w:rPr>
          <w:rFonts w:ascii="Times New Roman" w:hAnsi="Times New Roman" w:cs="Times New Roman"/>
          <w:sz w:val="28"/>
          <w:szCs w:val="28"/>
          <w:lang w:val="ru-RU"/>
        </w:rPr>
        <w:lastRenderedPageBreak/>
        <w:t>стоимость будущих потоков, тогда как снижение ставки, напротив, способно поддерживать оценки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[13, с. 205]</w:t>
      </w:r>
      <w:r w:rsidRPr="00631EF4">
        <w:rPr>
          <w:rFonts w:ascii="Times New Roman" w:hAnsi="Times New Roman" w:cs="Times New Roman"/>
          <w:sz w:val="28"/>
          <w:szCs w:val="28"/>
          <w:lang w:val="ru-RU"/>
        </w:rPr>
        <w:t>.</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Наряду с общими </w:t>
      </w:r>
      <w:proofErr w:type="spellStart"/>
      <w:r w:rsidRPr="00631EF4">
        <w:rPr>
          <w:rFonts w:ascii="Times New Roman" w:hAnsi="Times New Roman" w:cs="Times New Roman"/>
          <w:sz w:val="28"/>
          <w:szCs w:val="28"/>
          <w:lang w:val="ru-RU"/>
        </w:rPr>
        <w:t>макроусловиями</w:t>
      </w:r>
      <w:proofErr w:type="spellEnd"/>
      <w:r w:rsidRPr="00631EF4">
        <w:rPr>
          <w:rFonts w:ascii="Times New Roman" w:hAnsi="Times New Roman" w:cs="Times New Roman"/>
          <w:sz w:val="28"/>
          <w:szCs w:val="28"/>
          <w:lang w:val="ru-RU"/>
        </w:rPr>
        <w:t xml:space="preserve"> существенны отраслевые факторы, особенно в случае фондов с выраженной специализацией, когда риск-профиль портфеля во многом определяется узким набором драйверов. Для инвестиционных фондов, ориентированных на металлургический сегмент (в том числе в логике базового актива ОПИФ РФИ «ВИМ-Металлургия»), принципиальным обстоятельством является ярко выраженная цикличность сырьевых рынков</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[33, с. 12]</w:t>
      </w:r>
      <w:r w:rsidRPr="00631EF4">
        <w:rPr>
          <w:rFonts w:ascii="Times New Roman" w:hAnsi="Times New Roman" w:cs="Times New Roman"/>
          <w:sz w:val="28"/>
          <w:szCs w:val="28"/>
          <w:lang w:val="ru-RU"/>
        </w:rPr>
        <w:t>. Рыночная капитализация и инвестиционная привлекательность металлургических и горнодобывающих компаний в значительной степени обусловлены глобальной конъюнктурой: изменения мировых цен на сталь, цветные и драгоценные металлы сравнительно быстро транслируются в экспортную выручку и операционную рентабельность российских эмитентов. Показательно, что ухудшение ситуации на мировом рынке стали в 2023 году, связанное со слабым спросом и перепроизводством в КНР, сопровождалось снижением долларовых экспортных цен на 15–20%, что демонстрирует масштаб возможных ценовых сдвигов даже в относительно коротком временном интервале. Такая ценовая волатильность закономерно превращается в нестабильность финансовых результатов предприятий и проявляется в циклических колебаниях котировок, тем самым напрямую влияя на совокупную доходность отраслевых паевых фондов и усложняя интерпретацию «качества» портфеля в статических терминах</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[30, с. 22]</w:t>
      </w:r>
      <w:r w:rsidRPr="00631EF4">
        <w:rPr>
          <w:rFonts w:ascii="Times New Roman" w:hAnsi="Times New Roman" w:cs="Times New Roman"/>
          <w:sz w:val="28"/>
          <w:szCs w:val="28"/>
          <w:lang w:val="ru-RU"/>
        </w:rPr>
        <w:t>.</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Дополнительным внешним шоком для отрасли стало усиление санкционного давления, приведшее к разрывам традиционных цепочек поставок, изменению структуры контрагентов и пересборке экспортной логистики. Ограничения на импорт российской металлопродукции в ряде юрисдикций ускорили переориентацию экспортных потоков на рынки </w:t>
      </w:r>
      <w:r w:rsidRPr="00631EF4">
        <w:rPr>
          <w:rFonts w:ascii="Times New Roman" w:hAnsi="Times New Roman" w:cs="Times New Roman"/>
          <w:sz w:val="28"/>
          <w:szCs w:val="28"/>
          <w:lang w:val="ru-RU"/>
        </w:rPr>
        <w:lastRenderedPageBreak/>
        <w:t>Азиатско-Тихоокеанского региона, Ближнего Востока и стран глобального Юга. Вместе с тем данный «разворот» не является нейтральным с точки зрения экономических параметров: он связан с удлинением логистических маршрутов, ростом транспортных и транзакционных издержек, а также необходимостью предоставления ценовых дисконтов к мировым ориентирам для сохранения конкурентоспособности. В совокупности перечисленные эффекты снижают операционную маржинальность экспортноориентированных компаний и формируют внешний фон, который не устраняется средствами портфельной оптимизации и потому должен учитываться при оценке качества базовых активов, включая их устойчивость к институциональным ограничениям.</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На фоне внешних ограничений относительным стабилизатором в ряде сегментов выступал внутренний спрос, который частично поддерживал восстановление операционных показателей. Для предприятий черной металлургии национальный рынок приобрел дополнительное значение как источник выручки, опирающийся на строительную активность, инфраструктурные проекты и программы импортозамещения в машиностроении и смежных отраслях. Эмитенты, исторически ориентированные на внутренние продажи, в отдельных случаях демонстрировали более высокую адаптивность, в том числе за счет изменения продуктовой линейки и наращивания доли продукции с более высокой добавленной стоимостью. Подобная переориентация способна в определенной степени смягчать амплитуду циклических колебаний результатов, хотя и не устраняет базовую зависимость сектора от ценовой динамики сырьевых рынков и капиталоемкости производства.</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Заметное влияние на привлекательность сектора также оказывает валютный фактор, наряду с изменениями фискальной политики и режимов </w:t>
      </w:r>
      <w:r w:rsidRPr="00631EF4">
        <w:rPr>
          <w:rFonts w:ascii="Times New Roman" w:hAnsi="Times New Roman" w:cs="Times New Roman"/>
          <w:sz w:val="28"/>
          <w:szCs w:val="28"/>
          <w:lang w:val="ru-RU"/>
        </w:rPr>
        <w:lastRenderedPageBreak/>
        <w:t xml:space="preserve">изъятия ресурсной ренты. Колебания курса рубля воздействуют на металлургические компании неоднозначно: девальвация может частично компенсировать снижение экспортных цен в иностранной валюте за счет роста рублевой выручки, однако одновременно удорожает импортное оборудование и комплектующие, повышая капитальные затраты и стоимость </w:t>
      </w:r>
      <w:proofErr w:type="spellStart"/>
      <w:r w:rsidRPr="00631EF4">
        <w:rPr>
          <w:rFonts w:ascii="Times New Roman" w:hAnsi="Times New Roman" w:cs="Times New Roman"/>
          <w:sz w:val="28"/>
          <w:szCs w:val="28"/>
          <w:lang w:val="ru-RU"/>
        </w:rPr>
        <w:t>модернизационных</w:t>
      </w:r>
      <w:proofErr w:type="spellEnd"/>
      <w:r w:rsidRPr="00631EF4">
        <w:rPr>
          <w:rFonts w:ascii="Times New Roman" w:hAnsi="Times New Roman" w:cs="Times New Roman"/>
          <w:sz w:val="28"/>
          <w:szCs w:val="28"/>
          <w:lang w:val="ru-RU"/>
        </w:rPr>
        <w:t xml:space="preserve"> программ</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[33]</w:t>
      </w:r>
      <w:r w:rsidRPr="00631EF4">
        <w:rPr>
          <w:rFonts w:ascii="Times New Roman" w:hAnsi="Times New Roman" w:cs="Times New Roman"/>
          <w:sz w:val="28"/>
          <w:szCs w:val="28"/>
          <w:lang w:val="ru-RU"/>
        </w:rPr>
        <w:t>. Параллельно усиление налоговой нагрузки на сырьевой сектор, включая экспортные пошлины и корректировки НДПИ, ведет к перераспределению части доходов компаний в пользу бюджета и изменяет ожидаемую доходность капитала для акционеров</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w:t>
      </w:r>
      <w:r w:rsidRPr="00631EF4">
        <w:rPr>
          <w:rFonts w:ascii="Times New Roman" w:hAnsi="Times New Roman" w:cs="Times New Roman"/>
          <w:sz w:val="28"/>
          <w:szCs w:val="28"/>
          <w:lang w:val="ru-RU"/>
        </w:rPr>
        <w:t>. В условиях сохранения жесткой денежно-кредитной политики высокие процентные ставки ухудшают положение эмитентов с повышенной долговой нагрузкой, увеличивают стоимость обслуживания долга и способны сдерживать инвестиционные программы</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[17]</w:t>
      </w:r>
      <w:r w:rsidRPr="00631EF4">
        <w:rPr>
          <w:rFonts w:ascii="Times New Roman" w:hAnsi="Times New Roman" w:cs="Times New Roman"/>
          <w:sz w:val="28"/>
          <w:szCs w:val="28"/>
          <w:lang w:val="ru-RU"/>
        </w:rPr>
        <w:t>. В результате комбинация роста капитальных затрат, удорожания финансирования и налоговых изъятий ограничивает свободный денежный поток и снижает дивидендный потенциал, что формирует фундаментальный риск для портфельного инвестора и влияет на воспринимаемое качество портфеля как по критерию доходности, так и по критерию устойчивости.</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Внутренние факторы описывают параметры, которыми инвестор или управляющая компания в принципе способны управлять, и потому они выступают объектом целенаправленного проектирования. Во-первых, к ним относится качество управления фондом, проявляющееся в выборе общей стратегии (активной либо пассивной), в заданной глубине диверсификации, в формализованных принципах отбора активов, а также в регулярности и дисциплине </w:t>
      </w:r>
      <w:proofErr w:type="spellStart"/>
      <w:r w:rsidRPr="00631EF4">
        <w:rPr>
          <w:rFonts w:ascii="Times New Roman" w:hAnsi="Times New Roman" w:cs="Times New Roman"/>
          <w:sz w:val="28"/>
          <w:szCs w:val="28"/>
          <w:lang w:val="ru-RU"/>
        </w:rPr>
        <w:t>ребалансировки</w:t>
      </w:r>
      <w:proofErr w:type="spellEnd"/>
      <w:r w:rsidR="00677407">
        <w:rPr>
          <w:rFonts w:ascii="Times New Roman" w:hAnsi="Times New Roman" w:cs="Times New Roman"/>
          <w:sz w:val="28"/>
          <w:szCs w:val="28"/>
          <w:lang w:val="ru-RU"/>
        </w:rPr>
        <w:t xml:space="preserve"> [20, с. 78</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xml:space="preserve">. Ребалансировка может рассматриваться как инструмент поддержания целевого соотношения риска и ожидаемой доходности в условиях изменяющейся рыночной среды; помимо </w:t>
      </w:r>
      <w:r w:rsidRPr="00631EF4">
        <w:rPr>
          <w:rFonts w:ascii="Times New Roman" w:hAnsi="Times New Roman" w:cs="Times New Roman"/>
          <w:sz w:val="28"/>
          <w:szCs w:val="28"/>
          <w:lang w:val="ru-RU"/>
        </w:rPr>
        <w:lastRenderedPageBreak/>
        <w:t>этого, она снижает вероятность накопления нежелательной концентрации и позволяет корректировать портфель в ответ на смещение весов отдельных позиций. Диверсификация ориентирована на уменьшение концентрационного риска, однако ее результативность зависит от корректного учета корреляций, общих отраслевых драйверов и того обстоятельства, что в стрессовых фазах цикла зависимости между активами часто усиливаются. Во-вторых, важным внутренним компонентом выступает финансово-хозяйственное состояние компаний-эмитентов, включенных в портфель: способность генерировать денежные потоки, структура и стоимость долга, операционная рентабельность, инвестиционная дисциплина, а также качество корпоративного управления формируют фундаментальную основу стоимости ценных бумаг и определяют, насколько эмитент способен проходить неблагоприятные фазы цикла без разрушения финансовой устойчивости</w:t>
      </w:r>
      <w:r w:rsidR="00677407">
        <w:rPr>
          <w:rFonts w:ascii="Times New Roman" w:hAnsi="Times New Roman" w:cs="Times New Roman"/>
          <w:sz w:val="28"/>
          <w:szCs w:val="28"/>
          <w:lang w:val="ru-RU"/>
        </w:rPr>
        <w:t xml:space="preserve"> [11, с. 156</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 условиях высокой волатильности и выраженной цикличности отрасли пассивные стратегии, воспроизводящие отраслевой бенчмарк, могут приводить к значительным просадкам в неблагоприятные периоды сырьевого цикла, что обостряет вопрос о критериях отбора активов и о допустимой степени «механического» следования индексу. Соответственно, математический подход, ограниченный ретроспективной оценкой доходностей, корреляций и волатильности, оказывается недостаточным для интерпретации возможных изменений стоимости активов при структурной трансформации макроэкономической и институциональной среды. Для достижения целевой доходности при контролируемом уровне риска более значимым становится селективный выбор фундаментально устойчивых эмитентов, которые способны сохранять положительный денежный поток, поддерживать приемлемую долговую нагрузку и демонстрировать </w:t>
      </w:r>
      <w:r w:rsidRPr="00631EF4">
        <w:rPr>
          <w:rFonts w:ascii="Times New Roman" w:hAnsi="Times New Roman" w:cs="Times New Roman"/>
          <w:sz w:val="28"/>
          <w:szCs w:val="28"/>
          <w:lang w:val="ru-RU"/>
        </w:rPr>
        <w:lastRenderedPageBreak/>
        <w:t>операционную гибкость в условиях санкционных ограничений, налоговых изменений и повышенной стоимости капитала, поскольку именно такие характеристики в конечном счете определяют устойчивость портфеля к внешним шокам и качество его риск-</w:t>
      </w:r>
      <w:proofErr w:type="spellStart"/>
      <w:r w:rsidRPr="00631EF4">
        <w:rPr>
          <w:rFonts w:ascii="Times New Roman" w:hAnsi="Times New Roman" w:cs="Times New Roman"/>
          <w:sz w:val="28"/>
          <w:szCs w:val="28"/>
          <w:lang w:val="ru-RU"/>
        </w:rPr>
        <w:t>доходностного</w:t>
      </w:r>
      <w:proofErr w:type="spellEnd"/>
      <w:r w:rsidRPr="00631EF4">
        <w:rPr>
          <w:rFonts w:ascii="Times New Roman" w:hAnsi="Times New Roman" w:cs="Times New Roman"/>
          <w:sz w:val="28"/>
          <w:szCs w:val="28"/>
          <w:lang w:val="ru-RU"/>
        </w:rPr>
        <w:t xml:space="preserve"> профиля</w:t>
      </w:r>
      <w:r w:rsidR="00677407">
        <w:rPr>
          <w:rFonts w:ascii="Times New Roman" w:hAnsi="Times New Roman" w:cs="Times New Roman"/>
          <w:sz w:val="28"/>
          <w:szCs w:val="28"/>
          <w:lang w:val="ru-RU"/>
        </w:rPr>
        <w:t xml:space="preserve"> [9, с. 320</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rsidR="00631EF4" w:rsidRPr="00631EF4" w:rsidRDefault="00631EF4" w:rsidP="00FF3E0E">
      <w:pPr>
        <w:pStyle w:val="a5"/>
        <w:spacing w:line="360" w:lineRule="auto"/>
        <w:contextualSpacing w:val="0"/>
        <w:rPr>
          <w:lang w:val="ru-RU"/>
        </w:rPr>
      </w:pPr>
    </w:p>
    <w:p w:rsidR="00631EF4" w:rsidRDefault="00793D47" w:rsidP="00FF3E0E">
      <w:pPr>
        <w:pStyle w:val="2"/>
        <w:numPr>
          <w:ilvl w:val="1"/>
          <w:numId w:val="13"/>
        </w:numPr>
        <w:spacing w:before="0" w:after="0" w:line="360" w:lineRule="auto"/>
        <w:rPr>
          <w:lang w:val="ru-RU"/>
        </w:rPr>
      </w:pPr>
      <w:bookmarkStart w:id="5" w:name="_Toc230938584"/>
      <w:r w:rsidRPr="00631EF4">
        <w:rPr>
          <w:lang w:val="ru-RU"/>
        </w:rPr>
        <w:t>Инвестиционная привлекательность предприятия как фактор качества инвестиционного портфеля</w:t>
      </w:r>
      <w:bookmarkEnd w:id="5"/>
    </w:p>
    <w:p w:rsidR="00631EF4" w:rsidRPr="00631EF4" w:rsidRDefault="00631EF4" w:rsidP="00FF3E0E">
      <w:pPr>
        <w:spacing w:line="360" w:lineRule="auto"/>
        <w:ind w:firstLine="709"/>
        <w:jc w:val="both"/>
        <w:rPr>
          <w:rFonts w:ascii="Times New Roman" w:hAnsi="Times New Roman" w:cs="Times New Roman"/>
          <w:sz w:val="28"/>
          <w:szCs w:val="28"/>
          <w:lang w:val="ru-RU"/>
        </w:rPr>
      </w:pP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теории корпоративных финансов, равно как и в прикладной практике управления активами, устойчиво признается, что качество инвестиционного портфеля в существенной степени обусловлено состоянием компаний-эмитентов, чьи ценные бумаги составляют его базу</w:t>
      </w:r>
      <w:r w:rsidR="00677407">
        <w:rPr>
          <w:rFonts w:ascii="Times New Roman" w:hAnsi="Times New Roman" w:cs="Times New Roman"/>
          <w:sz w:val="28"/>
          <w:szCs w:val="28"/>
          <w:lang w:val="ru-RU"/>
        </w:rPr>
        <w:t xml:space="preserve"> [10, с. 245</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В этом отношении портфель целесообразно интерпретировать не как автономную статистическую конструкцию, выводимую исключительно из рядов доходностей, а как производную от совокупности реальных хозяйственных систем</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[24, с. 45]</w:t>
      </w:r>
      <w:r w:rsidRPr="00631EF4">
        <w:rPr>
          <w:rFonts w:ascii="Times New Roman" w:hAnsi="Times New Roman" w:cs="Times New Roman"/>
          <w:sz w:val="28"/>
          <w:szCs w:val="28"/>
          <w:lang w:val="ru-RU"/>
        </w:rPr>
        <w:t>. Акция фиксирует долю участия в капитале и, следовательно, опосредованно отражает способность бизнеса формировать стоимость для собственников; облигация представляет собой долговое обязательство, напрямую зависящее от платежной дисциплины и структуры денежных потоков эмитента. Обе формы инвестиций, несмотря на различия в правах держателей, укоренены в финансово-экономической динамике предприятия, а потому неизбежно связаны с качеством корпоративного управления, инвестиционной политикой и операционной эффективностью</w:t>
      </w:r>
      <w:r w:rsidR="00677407">
        <w:rPr>
          <w:rFonts w:ascii="Times New Roman" w:hAnsi="Times New Roman" w:cs="Times New Roman"/>
          <w:sz w:val="28"/>
          <w:szCs w:val="28"/>
          <w:lang w:val="ru-RU"/>
        </w:rPr>
        <w:t xml:space="preserve"> [17, с. 140</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Если предприятия характеризуются ограниченной платежеспособностью, ухудшением маржинальности, снижением эффективности использования капитала либо системными проблемами корпоративного контроля, то даже формально корректно выстроенная </w:t>
      </w:r>
      <w:r w:rsidRPr="00631EF4">
        <w:rPr>
          <w:rFonts w:ascii="Times New Roman" w:hAnsi="Times New Roman" w:cs="Times New Roman"/>
          <w:sz w:val="28"/>
          <w:szCs w:val="28"/>
          <w:lang w:val="ru-RU"/>
        </w:rPr>
        <w:lastRenderedPageBreak/>
        <w:t>диверсификация не обеспечивает надежной защиты капитала от обесценения в долгосрочном горизонте</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[9, с. 210]</w:t>
      </w:r>
      <w:r w:rsidRPr="00631EF4">
        <w:rPr>
          <w:rFonts w:ascii="Times New Roman" w:hAnsi="Times New Roman" w:cs="Times New Roman"/>
          <w:sz w:val="28"/>
          <w:szCs w:val="28"/>
          <w:lang w:val="ru-RU"/>
        </w:rPr>
        <w:t>. Практика показывает, что статистически «оптимальные» комбинации активов могут сохранять повышенную уязвимость к рискам, возникающим на уровне эмитента: от ухудшения условий рефинансирования и кассовых разрывов до стратегических ошибок, способных изменить траекторию бизнеса. Следовательно, параметры портфельного качества — ожидаемая доходность, ликвидность и устойчивость к рискам — в значительной мере детерминируются финансово-экономическими результатами базовых активов и характеристиками их источников стоимости, а не только формой распределения исторических доходностей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112]</w:t>
      </w:r>
      <w:r w:rsidRPr="00631EF4">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контексте портфельного инвестирования инвестиционную привлекательность предприятия уместно трактовать как интегральную и динамическую характеристику, отражающую способность компании привлекать капитал на приемлемых условиях, обеспечивать воспроизводство и развитие, а также генерировать устойчивые денежные потоки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[19, с. 44]</w:t>
      </w:r>
      <w:r w:rsidRPr="00631EF4">
        <w:rPr>
          <w:rFonts w:ascii="Times New Roman" w:hAnsi="Times New Roman" w:cs="Times New Roman"/>
          <w:sz w:val="28"/>
          <w:szCs w:val="28"/>
          <w:lang w:val="ru-RU"/>
        </w:rPr>
        <w:t>. Данная характеристика изменяется во времени под влиянием рыночной конъюнктуры, управленческих решений и структурных сдвигов в отрасли, поэтому ее корректнее рассматривать как результат совокупного действия факторов, а не как раз и навсегда заданный статус эмитента. В ее состав логично включать оценку стратегических перспектив, качества ресурсной базы и технологий, конкурентоспособности продукции и рыночных позиций, а также ликвидности и финансовой устойчивости при приемлемом уровне риска. Для управляющего фондом высокая инвестиционная привлекательность базовых активов означает, что рыночные котировки в большей степени опираются на внутренние экономические основания — способность бизнеса создавать стоимость и обслуживать обязательства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 xml:space="preserve">[13, с. </w:t>
      </w:r>
      <w:r w:rsidR="00220139" w:rsidRPr="00220139">
        <w:rPr>
          <w:rFonts w:ascii="Times New Roman" w:hAnsi="Times New Roman" w:cs="Times New Roman"/>
          <w:sz w:val="28"/>
          <w:szCs w:val="28"/>
          <w:lang w:val="ru-RU"/>
        </w:rPr>
        <w:lastRenderedPageBreak/>
        <w:t>120]</w:t>
      </w:r>
      <w:r w:rsidRPr="00631EF4">
        <w:rPr>
          <w:rFonts w:ascii="Times New Roman" w:hAnsi="Times New Roman" w:cs="Times New Roman"/>
          <w:sz w:val="28"/>
          <w:szCs w:val="28"/>
          <w:lang w:val="ru-RU"/>
        </w:rPr>
        <w:t>. Это, в свою очередь, снижает вероятность вовлеченности портфеля в спекулятивные ценовые искажения, а также способствует большей предсказуемости дивидендных и купонных выплат, поскольку последние оказываются подкреплены операционными результатами.</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Классическая портфельная теория, как правило, строится на инструментах математической статистики и использует дисперсию, стандартное отклонение и ковариацию исторических доходностей. Такой подход обладает несомненной методологической ценностью, поскольку позволяет формализовать компромисс между риском и доходностью и получить измеримые критерии сравнения стратегий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[25, с. 156]</w:t>
      </w:r>
      <w:r w:rsidRPr="00631EF4">
        <w:rPr>
          <w:rFonts w:ascii="Times New Roman" w:hAnsi="Times New Roman" w:cs="Times New Roman"/>
          <w:sz w:val="28"/>
          <w:szCs w:val="28"/>
          <w:lang w:val="ru-RU"/>
        </w:rPr>
        <w:t>. Вместе с тем для вывода о реальном качестве портфеля опора исключительно на статистические показатели представляется методологически ограниченной, особенно применительно к секторам, где фундаментальные факторы способны резко менять профиль рисков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[24, с. 218]</w:t>
      </w:r>
      <w:r w:rsidRPr="00631EF4">
        <w:rPr>
          <w:rFonts w:ascii="Times New Roman" w:hAnsi="Times New Roman" w:cs="Times New Roman"/>
          <w:sz w:val="28"/>
          <w:szCs w:val="28"/>
          <w:lang w:val="ru-RU"/>
        </w:rPr>
        <w:t>. В капиталоемких и циклических отраслях динамика цен активов нередко отражает не только текущие настроения инвесторов, но и фундаментальные сдвиги в спросе, издержках, инвестиционных циклах, доступности финансирования и регуляторной среде. При этом статистические параметры прошлого периода фиксируют такие изменения преимущественно постфактум, не раскрывая причинно-следственных связей и не позволяя адекватно оценить трансформацию рисков до ее проявления в котировках.</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Металлургический сектор характеризуется высокой капиталоемкостью, длительными сроками окупаемости проектов, необходимостью регулярной модернизации основных средств и, как следствие, нередко существенной долговой нагрузкой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[30, с. 19]</w:t>
      </w:r>
      <w:r w:rsidRPr="00631EF4">
        <w:rPr>
          <w:rFonts w:ascii="Times New Roman" w:hAnsi="Times New Roman" w:cs="Times New Roman"/>
          <w:sz w:val="28"/>
          <w:szCs w:val="28"/>
          <w:lang w:val="ru-RU"/>
        </w:rPr>
        <w:t xml:space="preserve">. Кроме того, финансовые результаты компаний чувствительны к фазам глобального экономического цикла, к состоянию инфраструктурного и строительного спроса, а также к ценовой конъюнктуре </w:t>
      </w:r>
      <w:r w:rsidRPr="00631EF4">
        <w:rPr>
          <w:rFonts w:ascii="Times New Roman" w:hAnsi="Times New Roman" w:cs="Times New Roman"/>
          <w:sz w:val="28"/>
          <w:szCs w:val="28"/>
          <w:lang w:val="ru-RU"/>
        </w:rPr>
        <w:lastRenderedPageBreak/>
        <w:t>товарных рынков и логистическим ограничениям</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[33, с. 11]</w:t>
      </w:r>
      <w:r w:rsidRPr="00631EF4">
        <w:rPr>
          <w:rFonts w:ascii="Times New Roman" w:hAnsi="Times New Roman" w:cs="Times New Roman"/>
          <w:sz w:val="28"/>
          <w:szCs w:val="28"/>
          <w:lang w:val="ru-RU"/>
        </w:rPr>
        <w:t>. В такой среде ретроспективная волатильность в первую очередь отражает уже состоявшиеся ценовые колебания и не обеспечивает надежного суждения о ряде рисков, критичных для долгосрочного инвестора: вероятности кассовых разрывов, ухудшения способности обслуживать долг при падении спроса, росте стоимости фондирования или снижении экспортных цен, а также риске технологического устаревания и необходимости ускоренных капитальных вложений. Поэтому для оценки устойчивости и выявления источников доходности обоснованно привлекать фундаментальный анализ, предполагающий детальное рассмотрение отчетности, структуры капитала, операционного левериджа и показателей покрытия обязательств. Важным оказывается и учет специфики производственного цикла, поскольку длительность оборота капитала и зависимость от сырьевой базы нередко формируют скрытые ограничения, которые не проявляются в агрегированных рыночных метриках</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42]</w:t>
      </w:r>
      <w:r w:rsidRPr="00631EF4">
        <w:rPr>
          <w:rFonts w:ascii="Times New Roman" w:hAnsi="Times New Roman" w:cs="Times New Roman"/>
          <w:sz w:val="28"/>
          <w:szCs w:val="28"/>
          <w:lang w:val="ru-RU"/>
        </w:rPr>
        <w:t>.</w:t>
      </w:r>
    </w:p>
    <w:p w:rsid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Тем самым опора исключительно на статистические параметры поведения ценных бумаг не формирует объективной картины будущей жизнеспособности активов в изменяющейся макроэкономической среде. Комплексная оценка качества портфеля и разработка мер по его повышению предполагают интеграцию инструментов портфельного моделирования с результатами фундаментального исследования объектов инвестирования, включая анализ бизнес-модели, устойчивости денежных потоков и качества управления рисками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[20, с. 110]</w:t>
      </w:r>
      <w:r w:rsidRPr="00631EF4">
        <w:rPr>
          <w:rFonts w:ascii="Times New Roman" w:hAnsi="Times New Roman" w:cs="Times New Roman"/>
          <w:sz w:val="28"/>
          <w:szCs w:val="28"/>
          <w:lang w:val="ru-RU"/>
        </w:rPr>
        <w:t xml:space="preserve">. Логика зависимости портфеля от базового актива делает обоснованным переход от преимущественного анализа рыночных метрик к применению методов финансового и фундаментального анализа предприятий. Такая постановка вопроса подготавливает дальнейшее рассмотрение процедур, позволяющих связать наблюдаемые рыночные </w:t>
      </w:r>
      <w:r w:rsidRPr="00631EF4">
        <w:rPr>
          <w:rFonts w:ascii="Times New Roman" w:hAnsi="Times New Roman" w:cs="Times New Roman"/>
          <w:sz w:val="28"/>
          <w:szCs w:val="28"/>
          <w:lang w:val="ru-RU"/>
        </w:rPr>
        <w:lastRenderedPageBreak/>
        <w:t>показатели с экономическим содержанием деятельности эмитентов и с потенциальными изменениями их финансового профиля.</w:t>
      </w:r>
    </w:p>
    <w:p w:rsidR="00FF3E0E" w:rsidRPr="00631EF4" w:rsidRDefault="00FF3E0E" w:rsidP="00FF3E0E">
      <w:pPr>
        <w:spacing w:line="360" w:lineRule="auto"/>
        <w:ind w:firstLine="709"/>
        <w:jc w:val="both"/>
        <w:rPr>
          <w:rFonts w:ascii="Times New Roman" w:hAnsi="Times New Roman" w:cs="Times New Roman"/>
          <w:sz w:val="28"/>
          <w:szCs w:val="28"/>
          <w:lang w:val="ru-RU"/>
        </w:rPr>
      </w:pPr>
    </w:p>
    <w:p w:rsidR="00631EF4" w:rsidRPr="00FF3E0E" w:rsidRDefault="00631EF4" w:rsidP="00FF3E0E">
      <w:pPr>
        <w:spacing w:line="360" w:lineRule="auto"/>
        <w:ind w:firstLine="709"/>
        <w:jc w:val="center"/>
        <w:rPr>
          <w:rFonts w:ascii="Times New Roman" w:hAnsi="Times New Roman" w:cs="Times New Roman"/>
          <w:b/>
          <w:sz w:val="28"/>
          <w:szCs w:val="28"/>
          <w:lang w:val="ru-RU"/>
        </w:rPr>
      </w:pPr>
      <w:r w:rsidRPr="00FF3E0E">
        <w:rPr>
          <w:rFonts w:ascii="Times New Roman" w:hAnsi="Times New Roman" w:cs="Times New Roman"/>
          <w:b/>
          <w:sz w:val="28"/>
          <w:szCs w:val="28"/>
          <w:lang w:val="ru-RU"/>
        </w:rPr>
        <w:t>1.4. Методы определения инвестиционной привлекательности предприятия</w:t>
      </w:r>
    </w:p>
    <w:p w:rsidR="00FF3E0E" w:rsidRPr="00631EF4" w:rsidRDefault="00FF3E0E" w:rsidP="00FF3E0E">
      <w:pPr>
        <w:spacing w:line="360" w:lineRule="auto"/>
        <w:ind w:firstLine="709"/>
        <w:jc w:val="both"/>
        <w:rPr>
          <w:rFonts w:ascii="Times New Roman" w:hAnsi="Times New Roman" w:cs="Times New Roman"/>
          <w:sz w:val="28"/>
          <w:szCs w:val="28"/>
          <w:lang w:val="ru-RU"/>
        </w:rPr>
      </w:pP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Для формирования обоснованного представления об инвестиционной привлекательности предприятия традиционно используется инструментарий фундаментального и финансового анализа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22, с. 54]</w:t>
      </w:r>
      <w:r w:rsidRPr="00631EF4">
        <w:rPr>
          <w:rFonts w:ascii="Times New Roman" w:hAnsi="Times New Roman" w:cs="Times New Roman"/>
          <w:sz w:val="28"/>
          <w:szCs w:val="28"/>
          <w:lang w:val="ru-RU"/>
        </w:rPr>
        <w:t>. Такой анализ базируется на систематическом изучении финансовой отчетности эмитента, интерпретации ее статей с учетом учетной политики и отраслевой специфики, а также на сопоставлении результатов с альтернативными источниками информации (например, данными о рынках сбыта, инвестиционных программах и долговом профиле)</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12]</w:t>
      </w:r>
      <w:r w:rsidRPr="00631EF4">
        <w:rPr>
          <w:rFonts w:ascii="Times New Roman" w:hAnsi="Times New Roman" w:cs="Times New Roman"/>
          <w:sz w:val="28"/>
          <w:szCs w:val="28"/>
          <w:lang w:val="ru-RU"/>
        </w:rPr>
        <w:t>. В прикладном измерении он ориентирован на оценку внутренней (справедливой) стоимости бизнеса и на диагностику его способности генерировать устойчивые денежные потоки в условиях отраслевой и макроэкономической изменчивости. В рамках фундаментальной оценки обычно применяются коэффициентный анализ, расчет отдельных метрик, востребованных в портфельной практике, а также модели прогнозирования вероятности банкротства и финансовой несостоятельности, которые позволяют перейти от описания текущего состояния к вероятностной оценке негативных сценариев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24, с. 218]</w:t>
      </w:r>
      <w:r w:rsidRPr="00631EF4">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Коэффициентный анализ представляет собой метод исследования, основанный на расчете относительных показателей как соотношений между абсолютными величинами отчетности. Его преимущество состоит в том, что относительные показатели позволяют сопоставлять компании разного масштаба и выявлять тенденции, не сводимые к номинальному росту выручки </w:t>
      </w:r>
      <w:r w:rsidRPr="00631EF4">
        <w:rPr>
          <w:rFonts w:ascii="Times New Roman" w:hAnsi="Times New Roman" w:cs="Times New Roman"/>
          <w:sz w:val="28"/>
          <w:szCs w:val="28"/>
          <w:lang w:val="ru-RU"/>
        </w:rPr>
        <w:lastRenderedPageBreak/>
        <w:t>или активов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48]</w:t>
      </w:r>
      <w:r w:rsidRPr="00631EF4">
        <w:rPr>
          <w:rFonts w:ascii="Times New Roman" w:hAnsi="Times New Roman" w:cs="Times New Roman"/>
          <w:sz w:val="28"/>
          <w:szCs w:val="28"/>
          <w:lang w:val="ru-RU"/>
        </w:rPr>
        <w:t>. Для инвестора наибольший практический интерес традиционно представляют четыре группы коэффициентов, поскольку они дают возможность увязать оценку доходности с оценкой устойчивости и рисков, а также сформировать более структурированное представление о природе финансовых результатов:</w:t>
      </w:r>
    </w:p>
    <w:p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 xml:space="preserve">Показатели ликвидности. Они характеризуют способность компании своевременно исполнять краткосрочные обязательства и отражают, насколько быстро активы могут быть трансформированы в денежные средства без существенной потери стоимости. Коэффициенты текущей, быстрой и абсолютной ликвидности позволяют оценить уязвимость предприятия к кассовым разрывам, зависимость от оборотного капитала и риск технического дефолта на ближайшем горизонте. В условиях нестабильной конъюнктуры и роста стоимости фондирования данная группа показателей приобретает дополнительную значимость, поскольку доступ к ликвидности может оказывать прямое влияние на способность поддерживать операционную непрерывность и выполнять </w:t>
      </w:r>
      <w:proofErr w:type="spellStart"/>
      <w:r w:rsidRPr="00FF3E0E">
        <w:rPr>
          <w:rFonts w:ascii="Times New Roman" w:hAnsi="Times New Roman" w:cs="Times New Roman"/>
          <w:sz w:val="28"/>
          <w:szCs w:val="28"/>
          <w:lang w:val="ru-RU"/>
        </w:rPr>
        <w:t>ковенанты</w:t>
      </w:r>
      <w:proofErr w:type="spellEnd"/>
      <w:r w:rsidRPr="00FF3E0E">
        <w:rPr>
          <w:rFonts w:ascii="Times New Roman" w:hAnsi="Times New Roman" w:cs="Times New Roman"/>
          <w:sz w:val="28"/>
          <w:szCs w:val="28"/>
          <w:lang w:val="ru-RU"/>
        </w:rPr>
        <w:t xml:space="preserve"> по кредитным соглашениям</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[15, с. 215]</w:t>
      </w:r>
      <w:r w:rsidRPr="00FF3E0E">
        <w:rPr>
          <w:rFonts w:ascii="Times New Roman" w:hAnsi="Times New Roman" w:cs="Times New Roman"/>
          <w:sz w:val="28"/>
          <w:szCs w:val="28"/>
          <w:lang w:val="ru-RU"/>
        </w:rPr>
        <w:t>.</w:t>
      </w:r>
    </w:p>
    <w:p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 xml:space="preserve">Показатели финансовой устойчивости. Эта группа описывает структуру капитала и степень зависимости компании от внешних источников финансирования в долгосрочном горизонте. Коэффициент автономии и показатели финансового левериджа отражают соотношение собственного и заемного капитала и позволяют оценить степень финансового риска, связанную с обслуживанием долга. Чрезмерная долговая нагрузка, как правило, снижает устойчивость к шокам спроса и цен, ограничивает инвестиционные возможности в фазах неблагоприятного цикла и может ухудшать восприятие компании рынком, в том числе через рост требуемой </w:t>
      </w:r>
      <w:r w:rsidRPr="00FF3E0E">
        <w:rPr>
          <w:rFonts w:ascii="Times New Roman" w:hAnsi="Times New Roman" w:cs="Times New Roman"/>
          <w:sz w:val="28"/>
          <w:szCs w:val="28"/>
          <w:lang w:val="ru-RU"/>
        </w:rPr>
        <w:lastRenderedPageBreak/>
        <w:t>доходности по долговым инструментам и повышение дисконта в оценке капитала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[21, с. 140]</w:t>
      </w:r>
      <w:r w:rsidRPr="00FF3E0E">
        <w:rPr>
          <w:rFonts w:ascii="Times New Roman" w:hAnsi="Times New Roman" w:cs="Times New Roman"/>
          <w:sz w:val="28"/>
          <w:szCs w:val="28"/>
          <w:lang w:val="ru-RU"/>
        </w:rPr>
        <w:t>.</w:t>
      </w:r>
    </w:p>
    <w:p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деловой активности. Эти коэффициенты измеряют эффективность использования ресурсов через скорость оборота активов и обязательств, а также через качество управления оборотным капиталом. Показатели оборачиваемости активов, запасов, дебиторской и кредиторской задолженности позволяют судить о том, как быстро вложенный капитал возвращается в денежной форме и насколько согласованы производственный цикл и расчетная дисциплина с контрагентами. Более высокая деловая активность нередко способствует укреплению платежеспособности и снижает потребность в дополнительном внешнем финансировании, однако интерпретация требует учета отраслевых норм: ускорение оборота может сопровождаться ростом операционных рисков, если достигается за счет снижения запасов ниже технологически безопасного уровня или за счет смягчения условий продаж</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56]</w:t>
      </w:r>
      <w:r w:rsidRPr="00FF3E0E">
        <w:rPr>
          <w:rFonts w:ascii="Times New Roman" w:hAnsi="Times New Roman" w:cs="Times New Roman"/>
          <w:sz w:val="28"/>
          <w:szCs w:val="28"/>
          <w:lang w:val="ru-RU"/>
        </w:rPr>
        <w:t>.</w:t>
      </w:r>
    </w:p>
    <w:p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рентабельности. Рентабельность отражает способность бизнеса генерировать прибыль и относится к ключевым характеристикам экономической эффективности. Для портфельного инвестора особенно информативны показатели рентабельности активов (ROA), собственного капитала (ROE) и продаж (ROS), поскольку они позволяют сопоставлять эффективность разных эмитентов и увязывать финансовый результат с масштабом используемых ресурсов и структурой финансирования. При этом для корректной интерпретации важны уточнения: ROE может временно повышаться вследствие роста доли заемного капитала, а ROS — меняться под влиянием ценового цикла и структуры продуктовой корзины, что требует сопоставления с операционной маржинальностью и уровнем капитальных затрат</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115]</w:t>
      </w:r>
      <w:r w:rsidRPr="00FF3E0E">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 xml:space="preserve">Существенным элементом оценки выступает диагностика риска финансовой несостоятельности. Для портфельного инвестора кредитный риск эмитента имеет принципиальное значение, поскольку ухудшение платежеспособности обычно приводит к резкому пересмотру стоимости ценных бумаг и, следовательно, к снижению качества портфеля как по доходности, так и по рисковому профилю. Для прогнозирования банкротства применяются подходы многомерного дискриминантного анализа, позволяющие агрегировать несколько финансовых индикаторов в единую оценку риска. К классическим инструментам относится Z-счет Э. Альтмана, основанный на комбинированном учете показателей ликвидности, рентабельности и структуры капитала и интерпретируемый как индикатор вероятностного приближения к зоне финансового неблагополучия. В прикладных исследованиях также используется модель Р. </w:t>
      </w:r>
      <w:proofErr w:type="spellStart"/>
      <w:r w:rsidRPr="00631EF4">
        <w:rPr>
          <w:rFonts w:ascii="Times New Roman" w:hAnsi="Times New Roman" w:cs="Times New Roman"/>
          <w:sz w:val="28"/>
          <w:szCs w:val="28"/>
          <w:lang w:val="ru-RU"/>
        </w:rPr>
        <w:t>Таффлера</w:t>
      </w:r>
      <w:proofErr w:type="spellEnd"/>
      <w:r w:rsidRPr="00631EF4">
        <w:rPr>
          <w:rFonts w:ascii="Times New Roman" w:hAnsi="Times New Roman" w:cs="Times New Roman"/>
          <w:sz w:val="28"/>
          <w:szCs w:val="28"/>
          <w:lang w:val="ru-RU"/>
        </w:rPr>
        <w:t>, представляющая собой линейную регрессионную конструкцию, оценивающую финансовое состояние по набору коэффициентов; ее применение может быть оправдано как средство сопоставительной диагностики при условии учета ограничений, связанных с переносимостью параметров между рынками и отраслями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[19, с. 312]</w:t>
      </w:r>
      <w:r w:rsidRPr="00631EF4">
        <w:rPr>
          <w:rFonts w:ascii="Times New Roman" w:hAnsi="Times New Roman" w:cs="Times New Roman"/>
          <w:sz w:val="28"/>
          <w:szCs w:val="28"/>
          <w:lang w:val="ru-RU"/>
        </w:rPr>
        <w:t>.</w:t>
      </w:r>
    </w:p>
    <w:p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Наряду с фундаментальным анализом эмитентов значимую роль сохраняют метрики портфельной теории, предназначенные для оценки эффективности управления портфелем как целостной системой. Методологической основой многих таких показателей выступает модель оценки капитальных активов (CAPM), разделяющая риск на систематический и несистематический и тем самым предлагающая схему сопоставления доходности с рыночной экспозицией</w:t>
      </w:r>
      <w:r w:rsidR="00220139">
        <w:rPr>
          <w:rFonts w:ascii="Times New Roman" w:hAnsi="Times New Roman" w:cs="Times New Roman"/>
          <w:sz w:val="28"/>
          <w:szCs w:val="28"/>
          <w:lang w:val="ru-RU"/>
        </w:rPr>
        <w:t xml:space="preserve"> </w:t>
      </w:r>
      <w:r w:rsidR="00710322">
        <w:rPr>
          <w:rFonts w:ascii="Times New Roman" w:hAnsi="Times New Roman" w:cs="Times New Roman"/>
          <w:sz w:val="28"/>
          <w:szCs w:val="28"/>
          <w:lang w:val="ru-RU"/>
        </w:rPr>
        <w:t>[</w:t>
      </w:r>
      <w:r w:rsidR="00220139" w:rsidRPr="00220139">
        <w:rPr>
          <w:rFonts w:ascii="Times New Roman" w:hAnsi="Times New Roman" w:cs="Times New Roman"/>
          <w:sz w:val="28"/>
          <w:szCs w:val="28"/>
          <w:lang w:val="ru-RU"/>
        </w:rPr>
        <w:t>20, с. 112]</w:t>
      </w:r>
      <w:r w:rsidRPr="00631EF4">
        <w:rPr>
          <w:rFonts w:ascii="Times New Roman" w:hAnsi="Times New Roman" w:cs="Times New Roman"/>
          <w:sz w:val="28"/>
          <w:szCs w:val="28"/>
          <w:lang w:val="ru-RU"/>
        </w:rPr>
        <w:t>. В классическом изложении используются следующие показатели:</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Коэффициент Шарпа (</w:t>
      </w:r>
      <w:proofErr w:type="spellStart"/>
      <w:r w:rsidRPr="00631EF4">
        <w:rPr>
          <w:rFonts w:ascii="Times New Roman" w:hAnsi="Times New Roman" w:cs="Times New Roman"/>
          <w:sz w:val="28"/>
          <w:szCs w:val="28"/>
          <w:lang w:val="ru-RU"/>
        </w:rPr>
        <w:t>Sharpe</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измеряет избыточную доходность портфеля на единицу совокупного риска</w:t>
      </w:r>
      <w:r w:rsidR="00FF3E0E">
        <w:rPr>
          <w:rFonts w:ascii="Times New Roman" w:hAnsi="Times New Roman" w:cs="Times New Roman"/>
          <w:sz w:val="28"/>
          <w:szCs w:val="28"/>
          <w:lang w:val="ru-RU"/>
        </w:rPr>
        <w:t xml:space="preserve"> (1)</w:t>
      </w:r>
      <w:r w:rsidRPr="00631EF4">
        <w:rPr>
          <w:rFonts w:ascii="Times New Roman" w:hAnsi="Times New Roman" w:cs="Times New Roman"/>
          <w:sz w:val="28"/>
          <w:szCs w:val="28"/>
          <w:lang w:val="ru-RU"/>
        </w:rPr>
        <w:t>:</w:t>
      </w:r>
    </w:p>
    <w:p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Sharpe</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σ</m:t>
                </m:r>
              </m:e>
              <m:sub>
                <m:r>
                  <w:rPr>
                    <w:rFonts w:ascii="Cambria Math" w:hAnsi="Cambria Math" w:cs="Times New Roman"/>
                    <w:sz w:val="28"/>
                    <w:szCs w:val="28"/>
                    <w:lang w:val="ru-RU"/>
                  </w:rPr>
                  <m:t>p</m:t>
                </m:r>
              </m:sub>
            </m:sSub>
          </m:e>
        </m:d>
      </m:oMath>
      <w:r>
        <w:rPr>
          <w:rFonts w:ascii="Times New Roman" w:hAnsi="Times New Roman" w:cs="Times New Roman"/>
          <w:sz w:val="28"/>
          <w:szCs w:val="28"/>
          <w:lang w:val="ru-RU"/>
        </w:rPr>
        <w:t>,                                  (1)</w:t>
      </w:r>
    </w:p>
    <w:p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средняя доходность инвестиционного портфеля;</w:t>
      </w:r>
    </w:p>
    <w:p w:rsidR="00FF3E0E" w:rsidRDefault="00A35768" w:rsidP="00631EF4">
      <w:pPr>
        <w:spacing w:line="360" w:lineRule="auto"/>
        <w:ind w:firstLine="709"/>
        <w:jc w:val="both"/>
        <w:rPr>
          <w:rFonts w:ascii="Times New Roman" w:hAnsi="Times New Roman"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oMath>
      <w:r w:rsidR="00631EF4" w:rsidRPr="00631EF4">
        <w:rPr>
          <w:rFonts w:ascii="Times New Roman" w:hAnsi="Times New Roman" w:cs="Times New Roman"/>
          <w:sz w:val="28"/>
          <w:szCs w:val="28"/>
          <w:lang w:val="ru-RU"/>
        </w:rPr>
        <w:t xml:space="preserve"> — средняя доходность </w:t>
      </w:r>
      <w:proofErr w:type="spellStart"/>
      <w:r w:rsidR="00631EF4" w:rsidRPr="00631EF4">
        <w:rPr>
          <w:rFonts w:ascii="Times New Roman" w:hAnsi="Times New Roman" w:cs="Times New Roman"/>
          <w:sz w:val="28"/>
          <w:szCs w:val="28"/>
          <w:lang w:val="ru-RU"/>
        </w:rPr>
        <w:t>безрискового</w:t>
      </w:r>
      <w:proofErr w:type="spellEnd"/>
      <w:r w:rsidR="00631EF4" w:rsidRPr="00631EF4">
        <w:rPr>
          <w:rFonts w:ascii="Times New Roman" w:hAnsi="Times New Roman" w:cs="Times New Roman"/>
          <w:sz w:val="28"/>
          <w:szCs w:val="28"/>
          <w:lang w:val="ru-RU"/>
        </w:rPr>
        <w:t xml:space="preserve"> актива;</w:t>
      </w:r>
    </w:p>
    <w:p w:rsidR="00FF3E0E" w:rsidRDefault="00631EF4" w:rsidP="00631EF4">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lang w:val="ru-RU"/>
          </w:rPr>
          <m:t>sigm</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стандартное отклонение доходностей портфеля (общий риск).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Показатель интерпретируется как премия за принятый риск; значения, превышающие единицу, в типовой трактовке могут рассматриваться как признак сравнительно высокой эффективности управления при выбранных допущениях, хотя выводы зависят от горизонта, распределения доходностей и корректности выбора </w:t>
      </w:r>
      <w:proofErr w:type="spellStart"/>
      <w:r w:rsidRPr="00631EF4">
        <w:rPr>
          <w:rFonts w:ascii="Times New Roman" w:hAnsi="Times New Roman" w:cs="Times New Roman"/>
          <w:sz w:val="28"/>
          <w:szCs w:val="28"/>
          <w:lang w:val="ru-RU"/>
        </w:rPr>
        <w:t>безрисковой</w:t>
      </w:r>
      <w:proofErr w:type="spellEnd"/>
      <w:r w:rsidRPr="00631EF4">
        <w:rPr>
          <w:rFonts w:ascii="Times New Roman" w:hAnsi="Times New Roman" w:cs="Times New Roman"/>
          <w:sz w:val="28"/>
          <w:szCs w:val="28"/>
          <w:lang w:val="ru-RU"/>
        </w:rPr>
        <w:t xml:space="preserve"> ставки.</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 </w:t>
      </w:r>
      <w:proofErr w:type="spellStart"/>
      <w:r w:rsidRPr="00631EF4">
        <w:rPr>
          <w:rFonts w:ascii="Times New Roman" w:hAnsi="Times New Roman" w:cs="Times New Roman"/>
          <w:sz w:val="28"/>
          <w:szCs w:val="28"/>
          <w:lang w:val="ru-RU"/>
        </w:rPr>
        <w:t>Сортино</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Sortino</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xml:space="preserve">) уточняет оценку риска, используя </w:t>
      </w:r>
      <w:proofErr w:type="spellStart"/>
      <w:r w:rsidRPr="00631EF4">
        <w:rPr>
          <w:rFonts w:ascii="Times New Roman" w:hAnsi="Times New Roman" w:cs="Times New Roman"/>
          <w:sz w:val="28"/>
          <w:szCs w:val="28"/>
          <w:lang w:val="ru-RU"/>
        </w:rPr>
        <w:t>полудисперсию</w:t>
      </w:r>
      <w:proofErr w:type="spellEnd"/>
      <w:r w:rsidRPr="00631EF4">
        <w:rPr>
          <w:rFonts w:ascii="Times New Roman" w:hAnsi="Times New Roman" w:cs="Times New Roman"/>
          <w:sz w:val="28"/>
          <w:szCs w:val="28"/>
          <w:lang w:val="ru-RU"/>
        </w:rPr>
        <w:t xml:space="preserve"> и фокусируясь на отрицательных отклонениях</w:t>
      </w:r>
      <w:r w:rsidR="00FF3E0E">
        <w:rPr>
          <w:rFonts w:ascii="Times New Roman" w:hAnsi="Times New Roman" w:cs="Times New Roman"/>
          <w:sz w:val="28"/>
          <w:szCs w:val="28"/>
          <w:lang w:val="ru-RU"/>
        </w:rPr>
        <w:t xml:space="preserve"> (2)</w:t>
      </w:r>
      <w:r w:rsidRPr="00631EF4">
        <w:rPr>
          <w:rFonts w:ascii="Times New Roman" w:hAnsi="Times New Roman" w:cs="Times New Roman"/>
          <w:sz w:val="28"/>
          <w:szCs w:val="28"/>
          <w:lang w:val="ru-RU"/>
        </w:rPr>
        <w:t>:</w:t>
      </w:r>
    </w:p>
    <w:p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Sortino</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σ</m:t>
                </m:r>
              </m:e>
              <m:sub>
                <m:r>
                  <w:rPr>
                    <w:rFonts w:ascii="Cambria Math" w:hAnsi="Cambria Math" w:cs="Times New Roman"/>
                    <w:sz w:val="28"/>
                    <w:szCs w:val="28"/>
                    <w:lang w:val="ru-RU"/>
                  </w:rPr>
                  <m:t>d</m:t>
                </m:r>
              </m:sub>
            </m:sSub>
          </m:e>
        </m:d>
      </m:oMath>
      <w:r>
        <w:rPr>
          <w:rFonts w:ascii="Times New Roman" w:hAnsi="Times New Roman" w:cs="Times New Roman"/>
          <w:sz w:val="28"/>
          <w:szCs w:val="28"/>
          <w:lang w:val="ru-RU"/>
        </w:rPr>
        <w:t>,                               (2)</w:t>
      </w:r>
    </w:p>
    <w:p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sigm</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d</m:t>
            </m:r>
          </m:sub>
        </m:sSub>
      </m:oMath>
      <w:r w:rsidRPr="00631EF4">
        <w:rPr>
          <w:rFonts w:ascii="Times New Roman" w:hAnsi="Times New Roman" w:cs="Times New Roman"/>
          <w:sz w:val="28"/>
          <w:szCs w:val="28"/>
          <w:lang w:val="ru-RU"/>
        </w:rPr>
        <w:t xml:space="preserve">— стандартное отклонение убытков (downside deviation).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прикладном анализе данный коэффициент часто рассматривается как более чувствительный к риску потерь капитала по сравнению с коэффициентом Шарпа, поскольку он исключает «наказание» за положительные отклонения и тем самым ближе к предпочтениям инвестора, ориентированного на ограничение просадок.</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 </w:t>
      </w:r>
      <w:proofErr w:type="spellStart"/>
      <w:r w:rsidRPr="00631EF4">
        <w:rPr>
          <w:rFonts w:ascii="Times New Roman" w:hAnsi="Times New Roman" w:cs="Times New Roman"/>
          <w:sz w:val="28"/>
          <w:szCs w:val="28"/>
          <w:lang w:val="ru-RU"/>
        </w:rPr>
        <w:t>Трейнора</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Treynor</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соотносит избыточную доходность с величиной систематического риска</w:t>
      </w:r>
      <w:r w:rsidR="00FF3E0E">
        <w:rPr>
          <w:rFonts w:ascii="Times New Roman" w:hAnsi="Times New Roman" w:cs="Times New Roman"/>
          <w:sz w:val="28"/>
          <w:szCs w:val="28"/>
          <w:lang w:val="ru-RU"/>
        </w:rPr>
        <w:t xml:space="preserve"> (3)</w:t>
      </w:r>
      <w:r w:rsidRPr="00631EF4">
        <w:rPr>
          <w:rFonts w:ascii="Times New Roman" w:hAnsi="Times New Roman" w:cs="Times New Roman"/>
          <w:sz w:val="28"/>
          <w:szCs w:val="28"/>
          <w:lang w:val="ru-RU"/>
        </w:rPr>
        <w:t>:</w:t>
      </w:r>
    </w:p>
    <w:p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 xml:space="preserve"> 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Treynor</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β</m:t>
                </m:r>
              </m:e>
              <m:sub>
                <m:r>
                  <w:rPr>
                    <w:rFonts w:ascii="Cambria Math" w:hAnsi="Cambria Math" w:cs="Times New Roman"/>
                    <w:sz w:val="28"/>
                    <w:szCs w:val="28"/>
                    <w:lang w:val="ru-RU"/>
                  </w:rPr>
                  <m:t>p</m:t>
                </m:r>
              </m:sub>
            </m:sSub>
          </m:e>
        </m:d>
      </m:oMath>
      <w:r>
        <w:rPr>
          <w:rFonts w:ascii="Times New Roman" w:hAnsi="Times New Roman" w:cs="Times New Roman"/>
          <w:sz w:val="28"/>
          <w:szCs w:val="28"/>
          <w:lang w:val="ru-RU"/>
        </w:rPr>
        <w:t>,                             (3)</w:t>
      </w:r>
    </w:p>
    <w:p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bet</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бета-коэффициент портфеля, интерпретируемый как мера рыночного риска.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Данный показатель уместен в тех случаях, когда предполагается, что несистематический риск в портфеле в значительной степени диверсифицирован, и ключевым источником неопределенности остается рыночная компонента.</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Альфа </w:t>
      </w:r>
      <w:proofErr w:type="spellStart"/>
      <w:r w:rsidRPr="00631EF4">
        <w:rPr>
          <w:rFonts w:ascii="Times New Roman" w:hAnsi="Times New Roman" w:cs="Times New Roman"/>
          <w:sz w:val="28"/>
          <w:szCs w:val="28"/>
          <w:lang w:val="ru-RU"/>
        </w:rPr>
        <w:t>Дженсена</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Jensen's</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alpha</w:t>
      </w:r>
      <w:proofErr w:type="spellEnd"/>
      <w:r w:rsidRPr="00631EF4">
        <w:rPr>
          <w:rFonts w:ascii="Times New Roman" w:hAnsi="Times New Roman" w:cs="Times New Roman"/>
          <w:sz w:val="28"/>
          <w:szCs w:val="28"/>
          <w:lang w:val="ru-RU"/>
        </w:rPr>
        <w:t xml:space="preserve">) оценивает абсолютную величину </w:t>
      </w:r>
      <w:proofErr w:type="spellStart"/>
      <w:r w:rsidRPr="00631EF4">
        <w:rPr>
          <w:rFonts w:ascii="Times New Roman" w:hAnsi="Times New Roman" w:cs="Times New Roman"/>
          <w:sz w:val="28"/>
          <w:szCs w:val="28"/>
          <w:lang w:val="ru-RU"/>
        </w:rPr>
        <w:t>сверхдоходности</w:t>
      </w:r>
      <w:proofErr w:type="spellEnd"/>
      <w:r w:rsidRPr="00631EF4">
        <w:rPr>
          <w:rFonts w:ascii="Times New Roman" w:hAnsi="Times New Roman" w:cs="Times New Roman"/>
          <w:sz w:val="28"/>
          <w:szCs w:val="28"/>
          <w:lang w:val="ru-RU"/>
        </w:rPr>
        <w:t xml:space="preserve"> относительно прогнозируемой CAPM</w:t>
      </w:r>
      <w:r w:rsidR="00FF3E0E">
        <w:rPr>
          <w:rFonts w:ascii="Times New Roman" w:hAnsi="Times New Roman" w:cs="Times New Roman"/>
          <w:sz w:val="28"/>
          <w:szCs w:val="28"/>
          <w:lang w:val="ru-RU"/>
        </w:rPr>
        <w:t xml:space="preserve"> (4)</w:t>
      </w:r>
      <w:r w:rsidRPr="00631EF4">
        <w:rPr>
          <w:rFonts w:ascii="Times New Roman" w:hAnsi="Times New Roman" w:cs="Times New Roman"/>
          <w:sz w:val="28"/>
          <w:szCs w:val="28"/>
          <w:lang w:val="ru-RU"/>
        </w:rPr>
        <w:t>:</w:t>
      </w:r>
    </w:p>
    <w:p w:rsidR="00631EF4" w:rsidRPr="005F2182"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α= </m:t>
        </m:r>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f</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β</m:t>
                </m:r>
              </m:e>
              <m:sub>
                <m:r>
                  <w:rPr>
                    <w:rFonts w:ascii="Cambria Math" w:hAnsi="Cambria Math" w:cs="Times New Roman"/>
                    <w:sz w:val="28"/>
                    <w:szCs w:val="28"/>
                    <w:lang w:val="en-US"/>
                  </w:rPr>
                  <m:t>p</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m</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f</m:t>
                    </m:r>
                  </m:sub>
                </m:sSub>
              </m:e>
            </m:d>
          </m:e>
        </m:d>
      </m:oMath>
      <w:r>
        <w:rPr>
          <w:rFonts w:ascii="Times New Roman" w:hAnsi="Times New Roman" w:cs="Times New Roman"/>
          <w:sz w:val="28"/>
          <w:szCs w:val="28"/>
          <w:lang w:val="ru-RU"/>
        </w:rPr>
        <w:t>,                                    (4)</w:t>
      </w:r>
    </w:p>
    <w:p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m</m:t>
            </m:r>
          </m:sub>
        </m:sSub>
      </m:oMath>
      <w:r w:rsidRPr="00631EF4">
        <w:rPr>
          <w:rFonts w:ascii="Times New Roman" w:hAnsi="Times New Roman" w:cs="Times New Roman"/>
          <w:sz w:val="28"/>
          <w:szCs w:val="28"/>
          <w:lang w:val="ru-RU"/>
        </w:rPr>
        <w:t xml:space="preserve"> — ожидаемая среднерыночная доходность.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Положительная альфа обычно трактуется как свидетельство превышения портфелем рыночных ожиданий при заданной величине систематического риска, однако интерпретация требует осторожности из-за чувствительности к выбору </w:t>
      </w:r>
      <w:proofErr w:type="spellStart"/>
      <w:r w:rsidRPr="00631EF4">
        <w:rPr>
          <w:rFonts w:ascii="Times New Roman" w:hAnsi="Times New Roman" w:cs="Times New Roman"/>
          <w:sz w:val="28"/>
          <w:szCs w:val="28"/>
          <w:lang w:val="ru-RU"/>
        </w:rPr>
        <w:t>бенчмарка</w:t>
      </w:r>
      <w:proofErr w:type="spellEnd"/>
      <w:r w:rsidRPr="00631EF4">
        <w:rPr>
          <w:rFonts w:ascii="Times New Roman" w:hAnsi="Times New Roman" w:cs="Times New Roman"/>
          <w:sz w:val="28"/>
          <w:szCs w:val="28"/>
          <w:lang w:val="ru-RU"/>
        </w:rPr>
        <w:t xml:space="preserve"> и горизонта оценки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25, с. 158]</w:t>
      </w:r>
      <w:r w:rsidRPr="00631EF4">
        <w:rPr>
          <w:rFonts w:ascii="Times New Roman" w:hAnsi="Times New Roman" w:cs="Times New Roman"/>
          <w:sz w:val="28"/>
          <w:szCs w:val="28"/>
          <w:lang w:val="ru-RU"/>
        </w:rPr>
        <w:t>.</w:t>
      </w:r>
    </w:p>
    <w:p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Бета-коэффициент </w:t>
      </w:r>
      <w:r w:rsidR="00631EF4" w:rsidRPr="00631EF4">
        <w:rPr>
          <w:rFonts w:ascii="Times New Roman" w:hAnsi="Times New Roman" w:cs="Times New Roman"/>
          <w:sz w:val="28"/>
          <w:szCs w:val="28"/>
          <w:lang w:val="ru-RU"/>
        </w:rPr>
        <w:t>(</w:t>
      </w:r>
      <m:oMath>
        <m:r>
          <w:rPr>
            <w:rFonts w:ascii="Cambria Math" w:hAnsi="Cambria Math" w:cs="Times New Roman"/>
            <w:sz w:val="28"/>
            <w:szCs w:val="28"/>
            <w:lang w:val="ru-RU"/>
          </w:rPr>
          <m:t>beta</m:t>
        </m:r>
      </m:oMath>
      <w:r w:rsidR="00631EF4" w:rsidRPr="00631EF4">
        <w:rPr>
          <w:rFonts w:ascii="Times New Roman" w:hAnsi="Times New Roman" w:cs="Times New Roman"/>
          <w:sz w:val="28"/>
          <w:szCs w:val="28"/>
          <w:lang w:val="ru-RU"/>
        </w:rPr>
        <w:t xml:space="preserve">) отражает чувствительность портфеля к изменению рыночного </w:t>
      </w:r>
      <w:proofErr w:type="spellStart"/>
      <w:r w:rsidR="00631EF4" w:rsidRPr="00631EF4">
        <w:rPr>
          <w:rFonts w:ascii="Times New Roman" w:hAnsi="Times New Roman" w:cs="Times New Roman"/>
          <w:sz w:val="28"/>
          <w:szCs w:val="28"/>
          <w:lang w:val="ru-RU"/>
        </w:rPr>
        <w:t>бенчмарка</w:t>
      </w:r>
      <w:proofErr w:type="spellEnd"/>
      <w:r>
        <w:rPr>
          <w:rFonts w:ascii="Times New Roman" w:hAnsi="Times New Roman" w:cs="Times New Roman"/>
          <w:sz w:val="28"/>
          <w:szCs w:val="28"/>
          <w:lang w:val="ru-RU"/>
        </w:rPr>
        <w:t xml:space="preserve"> (5)</w:t>
      </w:r>
      <w:r w:rsidR="00631EF4" w:rsidRPr="00631EF4">
        <w:rPr>
          <w:rFonts w:ascii="Times New Roman" w:hAnsi="Times New Roman" w:cs="Times New Roman"/>
          <w:sz w:val="28"/>
          <w:szCs w:val="28"/>
          <w:lang w:val="ru-RU"/>
        </w:rPr>
        <w:t>:</w:t>
      </w:r>
    </w:p>
    <w:p w:rsidR="00631EF4" w:rsidRPr="004605F7"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ru-RU"/>
              </w:rPr>
              <m:t xml:space="preserve"> </m:t>
            </m:r>
            <m:r>
              <w:rPr>
                <w:rFonts w:ascii="Cambria Math" w:hAnsi="Cambria Math" w:cs="Times New Roman"/>
                <w:sz w:val="28"/>
                <w:szCs w:val="28"/>
                <w:lang w:val="en-US"/>
              </w:rPr>
              <m:t>β</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r>
          <w:rPr>
            <w:rFonts w:ascii="Cambria Math" w:hAnsi="Cambria Math" w:cs="Times New Roman"/>
            <w:sz w:val="28"/>
            <w:szCs w:val="28"/>
            <w:lang w:val="en-US"/>
          </w:rPr>
          <m:t>frac</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Cov</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m</m:t>
                    </m:r>
                  </m:sub>
                </m:sSub>
              </m:e>
            </m:d>
          </m:e>
        </m:d>
        <m:d>
          <m:dPr>
            <m:begChr m:val="{"/>
            <m:endChr m:val="}"/>
            <m:ctrlPr>
              <w:rPr>
                <w:rFonts w:ascii="Cambria Math" w:hAnsi="Cambria Math" w:cs="Times New Roman"/>
                <w:i/>
                <w:sz w:val="28"/>
                <w:szCs w:val="28"/>
                <w:lang w:val="en-US"/>
              </w:rPr>
            </m:ctrlPr>
          </m:dPr>
          <m:e>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σ</m:t>
                </m:r>
              </m:e>
              <m:sub>
                <m:r>
                  <w:rPr>
                    <w:rFonts w:ascii="Cambria Math" w:hAnsi="Cambria Math" w:cs="Times New Roman"/>
                    <w:sz w:val="28"/>
                    <w:szCs w:val="28"/>
                    <w:lang w:val="en-US"/>
                  </w:rPr>
                  <m:t>m</m:t>
                </m:r>
              </m:sub>
              <m:sup>
                <m:r>
                  <w:rPr>
                    <w:rFonts w:ascii="Cambria Math" w:hAnsi="Cambria Math" w:cs="Times New Roman"/>
                    <w:sz w:val="28"/>
                    <w:szCs w:val="28"/>
                    <w:lang w:val="ru-RU"/>
                  </w:rPr>
                  <m:t>2</m:t>
                </m:r>
              </m:sup>
            </m:sSubSup>
          </m:e>
        </m:d>
      </m:oMath>
      <w:r>
        <w:rPr>
          <w:rFonts w:ascii="Times New Roman" w:hAnsi="Times New Roman" w:cs="Times New Roman"/>
          <w:sz w:val="28"/>
          <w:szCs w:val="28"/>
          <w:lang w:val="ru-RU"/>
        </w:rPr>
        <w:t>,                                            (5)</w:t>
      </w:r>
    </w:p>
    <w:p w:rsidR="004605F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Cov</m:t>
        </m:r>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m</m:t>
                </m:r>
              </m:sub>
            </m:sSub>
          </m:e>
        </m:d>
      </m:oMath>
      <w:r w:rsidRPr="00631EF4">
        <w:rPr>
          <w:rFonts w:ascii="Times New Roman" w:hAnsi="Times New Roman" w:cs="Times New Roman"/>
          <w:sz w:val="28"/>
          <w:szCs w:val="28"/>
          <w:lang w:val="ru-RU"/>
        </w:rPr>
        <w:t xml:space="preserve"> — ковариация доходностей портфеля и рынка;</w:t>
      </w:r>
    </w:p>
    <w:p w:rsidR="004605F7" w:rsidRDefault="00631EF4" w:rsidP="00631EF4">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lang w:val="ru-RU"/>
          </w:rPr>
          <m:t>sigm</m:t>
        </m:r>
        <m:sSubSup>
          <m:sSubSupPr>
            <m:ctrlPr>
              <w:rPr>
                <w:rFonts w:ascii="Cambria Math" w:hAnsi="Cambria Math" w:cs="Times New Roman"/>
                <w:i/>
                <w:sz w:val="28"/>
                <w:szCs w:val="28"/>
                <w:lang w:val="ru-RU"/>
              </w:rPr>
            </m:ctrlPr>
          </m:sSubSupPr>
          <m:e>
            <m:r>
              <w:rPr>
                <w:rFonts w:ascii="Cambria Math" w:hAnsi="Cambria Math" w:cs="Times New Roman"/>
                <w:sz w:val="28"/>
                <w:szCs w:val="28"/>
                <w:lang w:val="ru-RU"/>
              </w:rPr>
              <m:t>a</m:t>
            </m:r>
          </m:e>
          <m:sub>
            <m:r>
              <w:rPr>
                <w:rFonts w:ascii="Cambria Math" w:hAnsi="Cambria Math" w:cs="Times New Roman"/>
                <w:sz w:val="28"/>
                <w:szCs w:val="28"/>
                <w:lang w:val="ru-RU"/>
              </w:rPr>
              <m:t>m</m:t>
            </m:r>
          </m:sub>
          <m:sup>
            <m:r>
              <w:rPr>
                <w:rFonts w:ascii="Cambria Math" w:hAnsi="Cambria Math" w:cs="Times New Roman"/>
                <w:sz w:val="28"/>
                <w:szCs w:val="28"/>
                <w:lang w:val="ru-RU"/>
              </w:rPr>
              <m:t>2</m:t>
            </m:r>
          </m:sup>
        </m:sSubSup>
      </m:oMath>
      <w:r w:rsidRPr="00631EF4">
        <w:rPr>
          <w:rFonts w:ascii="Times New Roman" w:hAnsi="Times New Roman" w:cs="Times New Roman"/>
          <w:sz w:val="28"/>
          <w:szCs w:val="28"/>
          <w:lang w:val="ru-RU"/>
        </w:rPr>
        <w:t xml:space="preserve"> — дисперсия доходности рынка.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Значения </w:t>
      </w:r>
      <m:oMath>
        <m:r>
          <w:rPr>
            <w:rFonts w:ascii="Cambria Math" w:hAnsi="Cambria Math" w:cs="Times New Roman"/>
            <w:sz w:val="28"/>
            <w:szCs w:val="28"/>
            <w:lang w:val="ru-RU"/>
          </w:rPr>
          <m:t xml:space="preserve">beta &gt; 1 </m:t>
        </m:r>
      </m:oMath>
      <w:r w:rsidRPr="00631EF4">
        <w:rPr>
          <w:rFonts w:ascii="Times New Roman" w:hAnsi="Times New Roman" w:cs="Times New Roman"/>
          <w:sz w:val="28"/>
          <w:szCs w:val="28"/>
          <w:lang w:val="ru-RU"/>
        </w:rPr>
        <w:t>традиционно связывают с более высокой волатильностью портфеля относительно рынка, что соответствует более «агрессивному» профилю, однако в отдельных режимах рынка высокая бета может сопровождаться асимметрией потерь, что делает уместным параллельный анализ просадок.</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Для оценки устойчивости реализации стратегии нередко дополнительно используются показатели максимальной просадки (MDD), фиксирующей наиболее неблагоприятный исторический сценарий падения стоимости от локального пика к минимуму</w:t>
      </w:r>
      <w:r w:rsidR="004605F7">
        <w:rPr>
          <w:rFonts w:ascii="Times New Roman" w:hAnsi="Times New Roman" w:cs="Times New Roman"/>
          <w:sz w:val="28"/>
          <w:szCs w:val="28"/>
          <w:lang w:val="ru-RU"/>
        </w:rPr>
        <w:t xml:space="preserve"> (6)</w:t>
      </w:r>
      <w:r w:rsidRPr="00631EF4">
        <w:rPr>
          <w:rFonts w:ascii="Times New Roman" w:hAnsi="Times New Roman" w:cs="Times New Roman"/>
          <w:sz w:val="28"/>
          <w:szCs w:val="28"/>
          <w:lang w:val="ru-RU"/>
        </w:rPr>
        <w:t>:</w:t>
      </w:r>
    </w:p>
    <w:p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                        </w:t>
      </w:r>
      <m:oMath>
        <m:r>
          <w:rPr>
            <w:rFonts w:ascii="Cambria Math" w:hAnsi="Cambria Math" w:cs="Times New Roman"/>
            <w:sz w:val="28"/>
            <w:szCs w:val="28"/>
            <w:lang w:val="ru-RU"/>
          </w:rPr>
          <m:t>MDD =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peak</m:t>
                    </m:r>
                  </m:e>
                </m:d>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trough</m:t>
                    </m:r>
                  </m:e>
                </m:d>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peak</m:t>
                    </m:r>
                  </m:e>
                </m:d>
              </m:sub>
            </m:sSub>
          </m:e>
        </m:d>
      </m:oMath>
      <w:r>
        <w:rPr>
          <w:rFonts w:ascii="Times New Roman" w:hAnsi="Times New Roman" w:cs="Times New Roman"/>
          <w:sz w:val="28"/>
          <w:szCs w:val="28"/>
          <w:lang w:val="ru-RU"/>
        </w:rPr>
        <w:t>,                    (6)</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а также ошибка слежения (</w:t>
      </w:r>
      <w:proofErr w:type="spellStart"/>
      <w:r w:rsidRPr="00631EF4">
        <w:rPr>
          <w:rFonts w:ascii="Times New Roman" w:hAnsi="Times New Roman" w:cs="Times New Roman"/>
          <w:sz w:val="28"/>
          <w:szCs w:val="28"/>
          <w:lang w:val="ru-RU"/>
        </w:rPr>
        <w:t>Tracking</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Error</w:t>
      </w:r>
      <w:proofErr w:type="spellEnd"/>
      <w:r w:rsidRPr="00631EF4">
        <w:rPr>
          <w:rFonts w:ascii="Times New Roman" w:hAnsi="Times New Roman" w:cs="Times New Roman"/>
          <w:sz w:val="28"/>
          <w:szCs w:val="28"/>
          <w:lang w:val="ru-RU"/>
        </w:rPr>
        <w:t>, TE), измеряющая степень отклонения динамики портфеля от базового индекса</w:t>
      </w:r>
      <w:r w:rsidR="004605F7">
        <w:rPr>
          <w:rFonts w:ascii="Times New Roman" w:hAnsi="Times New Roman" w:cs="Times New Roman"/>
          <w:sz w:val="28"/>
          <w:szCs w:val="28"/>
          <w:lang w:val="ru-RU"/>
        </w:rPr>
        <w:t xml:space="preserve"> (7)</w:t>
      </w:r>
      <w:r w:rsidRPr="00631EF4">
        <w:rPr>
          <w:rFonts w:ascii="Times New Roman" w:hAnsi="Times New Roman" w:cs="Times New Roman"/>
          <w:sz w:val="28"/>
          <w:szCs w:val="28"/>
          <w:lang w:val="ru-RU"/>
        </w:rPr>
        <w:t>:</w:t>
      </w:r>
    </w:p>
    <w:p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TE = </m:t>
        </m:r>
        <m:rad>
          <m:radPr>
            <m:degHide m:val="1"/>
            <m:ctrlPr>
              <w:rPr>
                <w:rFonts w:ascii="Cambria Math" w:hAnsi="Cambria Math" w:cs="Times New Roman"/>
                <w:i/>
                <w:sz w:val="28"/>
                <w:szCs w:val="28"/>
                <w:lang w:val="ru-RU"/>
              </w:rPr>
            </m:ctrlPr>
          </m:radPr>
          <m:deg/>
          <m:e>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frac</m:t>
                </m:r>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m:t>
                    </m:r>
                    <m:sSup>
                      <m:sSupPr>
                        <m:ctrlPr>
                          <w:rPr>
                            <w:rFonts w:ascii="Cambria Math" w:hAnsi="Cambria Math" w:cs="Times New Roman"/>
                            <w:i/>
                            <w:sz w:val="28"/>
                            <w:szCs w:val="28"/>
                            <w:lang w:val="ru-RU"/>
                          </w:rPr>
                        </m:ctrlPr>
                      </m:sSupPr>
                      <m:e>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p</m:t>
                                        </m:r>
                                      </m:e>
                                      <m:sub>
                                        <m:r>
                                          <w:rPr>
                                            <w:rFonts w:ascii="Cambria Math" w:hAnsi="Cambria Math" w:cs="Times New Roman"/>
                                            <w:sz w:val="28"/>
                                            <w:szCs w:val="28"/>
                                            <w:lang w:val="ru-RU"/>
                                          </w:rPr>
                                          <m:t>i</m:t>
                                        </m:r>
                                      </m:sub>
                                    </m:sSub>
                                  </m:e>
                                </m:d>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m</m:t>
                                        </m:r>
                                      </m:e>
                                      <m:sub>
                                        <m:r>
                                          <w:rPr>
                                            <w:rFonts w:ascii="Cambria Math" w:hAnsi="Cambria Math" w:cs="Times New Roman"/>
                                            <w:sz w:val="28"/>
                                            <w:szCs w:val="28"/>
                                            <w:lang w:val="ru-RU"/>
                                          </w:rPr>
                                          <m:t>i</m:t>
                                        </m:r>
                                      </m:sub>
                                    </m:sSub>
                                  </m:e>
                                </m:d>
                              </m:sub>
                            </m:sSub>
                          </m:e>
                        </m:d>
                      </m:e>
                      <m:sup>
                        <m:r>
                          <w:rPr>
                            <w:rFonts w:ascii="Cambria Math" w:hAnsi="Cambria Math" w:cs="Times New Roman"/>
                            <w:sz w:val="28"/>
                            <w:szCs w:val="28"/>
                            <w:lang w:val="ru-RU"/>
                          </w:rPr>
                          <m:t>2</m:t>
                        </m:r>
                      </m:sup>
                    </m:sSup>
                  </m:e>
                </m:d>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n-1</m:t>
                    </m:r>
                  </m:e>
                </m:d>
              </m:e>
            </m:d>
          </m:e>
        </m:rad>
      </m:oMath>
      <w:r>
        <w:rPr>
          <w:rFonts w:ascii="Times New Roman" w:hAnsi="Times New Roman" w:cs="Times New Roman"/>
          <w:sz w:val="28"/>
          <w:szCs w:val="28"/>
          <w:lang w:val="ru-RU"/>
        </w:rPr>
        <w:t>,                  (7)</w:t>
      </w:r>
    </w:p>
    <w:p w:rsidR="00631EF4" w:rsidRPr="00677407" w:rsidRDefault="00631EF4" w:rsidP="004605F7">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Эти индикаторы позволяют дополнить оценку «среднего» риска характеристиками экстремальных движений и дисциплины следования выбранному ориентиру, что важно как для контроля качества управления, так и для интерпретации результатов в контексте заявленной инвестиционной политики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[24, с. 230]</w:t>
      </w:r>
      <w:r w:rsidRPr="00631EF4">
        <w:rPr>
          <w:rFonts w:ascii="Times New Roman" w:hAnsi="Times New Roman" w:cs="Times New Roman"/>
          <w:sz w:val="28"/>
          <w:szCs w:val="28"/>
          <w:lang w:val="ru-RU"/>
        </w:rPr>
        <w:t>.</w:t>
      </w:r>
    </w:p>
    <w:p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Вывод по первой главе: Завершая теоретическое рассмотрение, представляется обоснованным подчеркнуть, что традиционный подход к оценке и управлению паевыми инвестиционными фондами не во всех случаях обеспечивает комплексное описание качества портфеля. </w:t>
      </w:r>
    </w:p>
    <w:p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Преимущественная ориентация на ретроспективные портфельные метрики способна приводить к недоучету фундаментальных драйверов стоимости бизнеса и внутренних рисков эмитентов, которые не сводятся к историческим колебаниям котировок и могут проявляться с временным лагом. </w:t>
      </w:r>
    </w:p>
    <w:p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Более аргументированная оценка качества инвестиционного портфеля предполагает совместное применение инструментов портфельной теории и фундаментального финансового анализа объектов инвестирования. Использование коэффициентного анализа, диагностики кредитных рисков и расчета портфельных индикаторов позволяет уточнить представление об инвестиционной привлекательности базовых активов и связать рыночные показатели с финансово-экономическим содержанием деятельности эмитентов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[20, с. 135]</w:t>
      </w:r>
      <w:r w:rsidRPr="00631EF4">
        <w:rPr>
          <w:rFonts w:ascii="Times New Roman" w:hAnsi="Times New Roman" w:cs="Times New Roman"/>
          <w:sz w:val="28"/>
          <w:szCs w:val="28"/>
          <w:lang w:val="ru-RU"/>
        </w:rPr>
        <w:t xml:space="preserve">. </w:t>
      </w:r>
    </w:p>
    <w:p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Именно интегрированный методологический подход далее целесообразно использовать в аналитической части дипломной работы при оценке и разработке направлений повышения качества инвестиционного портфеля ОПИФ РФИ «ВИМ-Металлургия».</w:t>
      </w:r>
    </w:p>
    <w:p w:rsidR="00631EF4" w:rsidRPr="00631EF4" w:rsidRDefault="00631EF4" w:rsidP="00631EF4">
      <w:pPr>
        <w:rPr>
          <w:rFonts w:ascii="Times New Roman" w:hAnsi="Times New Roman" w:cs="Times New Roman"/>
          <w:sz w:val="28"/>
          <w:szCs w:val="28"/>
          <w:lang w:val="ru-RU"/>
        </w:rPr>
      </w:pPr>
    </w:p>
    <w:p w:rsidR="00631EF4" w:rsidRPr="00631EF4" w:rsidRDefault="00631EF4" w:rsidP="00631EF4">
      <w:pPr>
        <w:rPr>
          <w:rFonts w:ascii="Times New Roman" w:hAnsi="Times New Roman" w:cs="Times New Roman"/>
          <w:sz w:val="28"/>
          <w:szCs w:val="28"/>
          <w:lang w:val="ru-RU"/>
        </w:rPr>
      </w:pPr>
    </w:p>
    <w:p w:rsidR="005F2182" w:rsidRPr="005F2182" w:rsidRDefault="00793D47" w:rsidP="005F2182">
      <w:pPr>
        <w:rPr>
          <w:rFonts w:ascii="Times New Roman" w:hAnsi="Times New Roman"/>
          <w:b/>
          <w:i/>
          <w:sz w:val="28"/>
          <w:szCs w:val="32"/>
          <w:lang w:val="ru-RU"/>
        </w:rPr>
      </w:pPr>
      <w:r>
        <w:rPr>
          <w:lang w:val="ru-RU"/>
        </w:rPr>
        <w:br w:type="page"/>
      </w:r>
    </w:p>
    <w:p w:rsidR="005F2182" w:rsidRPr="005F2182" w:rsidRDefault="005F2182" w:rsidP="004605F7">
      <w:pPr>
        <w:pStyle w:val="1"/>
        <w:spacing w:before="0" w:after="0" w:line="360" w:lineRule="auto"/>
        <w:rPr>
          <w:lang w:val="ru-RU"/>
        </w:rPr>
      </w:pPr>
      <w:bookmarkStart w:id="6" w:name="_Toc230938585"/>
      <w:r w:rsidRPr="005F2182">
        <w:rPr>
          <w:lang w:val="ru-RU"/>
        </w:rPr>
        <w:lastRenderedPageBreak/>
        <w:t xml:space="preserve">Глава 2. </w:t>
      </w:r>
      <w:r w:rsidR="00A30C68">
        <w:rPr>
          <w:lang w:val="ru-RU"/>
        </w:rPr>
        <w:t>А</w:t>
      </w:r>
      <w:r w:rsidRPr="005F2182">
        <w:rPr>
          <w:lang w:val="ru-RU"/>
        </w:rPr>
        <w:t>нализ качества инвестиционного портфеля ОПИФ РФИ «ВИМ-Металлургия»</w:t>
      </w:r>
      <w:bookmarkEnd w:id="6"/>
    </w:p>
    <w:p w:rsidR="005F2182" w:rsidRDefault="005F2182" w:rsidP="004605F7">
      <w:pPr>
        <w:pStyle w:val="2"/>
        <w:spacing w:before="0" w:after="0" w:line="360" w:lineRule="auto"/>
        <w:ind w:firstLine="709"/>
        <w:rPr>
          <w:lang w:val="ru-RU"/>
        </w:rPr>
      </w:pPr>
      <w:bookmarkStart w:id="7" w:name="_Toc230938586"/>
      <w:r w:rsidRPr="005F2182">
        <w:rPr>
          <w:lang w:val="ru-RU"/>
        </w:rPr>
        <w:t>2.1. Финансово-экономическая характеристика ОПИФ РФИ «ВИМ-Металлургия»</w:t>
      </w:r>
      <w:bookmarkEnd w:id="7"/>
    </w:p>
    <w:p w:rsidR="005F2182" w:rsidRPr="005F2182" w:rsidRDefault="005F2182" w:rsidP="004605F7">
      <w:pPr>
        <w:spacing w:line="360" w:lineRule="auto"/>
        <w:ind w:firstLine="709"/>
        <w:jc w:val="both"/>
        <w:rPr>
          <w:lang w:val="ru-RU"/>
        </w:rPr>
      </w:pP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Открытый паевой инвестиционный фонд рыночных финансовых инструментов (ОПИФ РФИ) «ВИМ-Металлургия» может быть охарактеризован как отраслевой механизм коллективного инвестирования, функционирующий под управлением управляющей компании АО «ВИМ Инвестиции» и ориентированный на формирование экспозиции к российскому металлургическому и горнодобывающему сегментам</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[4; 50]</w:t>
      </w:r>
      <w:r w:rsidRPr="00EC4086">
        <w:rPr>
          <w:rFonts w:ascii="Times New Roman" w:hAnsi="Times New Roman" w:cs="Times New Roman"/>
          <w:sz w:val="28"/>
          <w:szCs w:val="28"/>
          <w:lang w:val="ru-RU"/>
        </w:rPr>
        <w:t xml:space="preserve">. В соответствии с инвестиционной декларацией, заявленная базовая стратегия предполагает размещение привлеченных средств преимущественно в долевые инструменты, прежде всего в акции крупных российских эмитентов, относимых к металлургии и добыче сырья. </w:t>
      </w:r>
    </w:p>
    <w:p w:rsidR="005F2182" w:rsidRPr="00677407"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Тем самым фонд фактически воспроизводит логики отраслевого портфеля: ожидаемый результат связывается с длительным горизонтом удержания активов и с предпосылкой, что фундаментальные параметры компаний базовых сырьевых отраслей способны обеспечивать рост курсовой стоимости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[33, с. 11]</w:t>
      </w:r>
      <w:r w:rsidRPr="00EC4086">
        <w:rPr>
          <w:rFonts w:ascii="Times New Roman" w:hAnsi="Times New Roman" w:cs="Times New Roman"/>
          <w:sz w:val="28"/>
          <w:szCs w:val="28"/>
          <w:lang w:val="ru-RU"/>
        </w:rPr>
        <w:t xml:space="preserve">. Дополнительный источник накопления капитала формируется через дивидендные выплаты, однако их вклад носит условный характер и зависит от корпоративной политики эмитентов, инвестиционных программ и ограничений, диктуемых рыночной конъюнктурой. В прикладном смысле целевой ориентир управления следует понимать как попытку капитализации циклических преимуществ сырьевого сектора, одновременно принимая во внимание, что отрасль исторически характеризуется повышенной чувствительностью к внешним шокам, включая колебания мировых цен на </w:t>
      </w:r>
      <w:r w:rsidRPr="00EC4086">
        <w:rPr>
          <w:rFonts w:ascii="Times New Roman" w:hAnsi="Times New Roman" w:cs="Times New Roman"/>
          <w:sz w:val="28"/>
          <w:szCs w:val="28"/>
          <w:lang w:val="ru-RU"/>
        </w:rPr>
        <w:lastRenderedPageBreak/>
        <w:t>металлы, изменения курса национальной валюты и ограничения на внешнюю торговлю</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[9, с. 210]</w:t>
      </w:r>
      <w:r w:rsidRPr="00EC4086">
        <w:rPr>
          <w:rFonts w:ascii="Times New Roman" w:hAnsi="Times New Roman" w:cs="Times New Roman"/>
          <w:sz w:val="28"/>
          <w:szCs w:val="28"/>
          <w:lang w:val="ru-RU"/>
        </w:rPr>
        <w:t>.</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Ключевым агрегированным показателем, используемым для оценки масштаба операций фонда и качества управления, выступает динамика стоимости чистых активов (СЧА), поскольку она интегрирует как изменение рыночной стоимости портфеля, так и поведение пайщиков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[7, с. 115]</w:t>
      </w:r>
      <w:r w:rsidRPr="00EC4086">
        <w:rPr>
          <w:rFonts w:ascii="Times New Roman" w:hAnsi="Times New Roman" w:cs="Times New Roman"/>
          <w:sz w:val="28"/>
          <w:szCs w:val="28"/>
          <w:lang w:val="ru-RU"/>
        </w:rPr>
        <w:t>. Изменение СЧА ОПИФ РФИ «ВИМ-Металлургия» в наблюдаемых периодах целесообразно объяснять действием двух базовых компонент: во-первых, переоценкой стоимости ценных бумаг вследствие движения котировок (то есть рыночным фактором), во-вторых, результатом операций по выдаче и погашению инвестиционных паев, отражающим чистый приток либо отток средств инвесторов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[15, с. 300]</w:t>
      </w:r>
      <w:r w:rsidRPr="00EC4086">
        <w:rPr>
          <w:rFonts w:ascii="Times New Roman" w:hAnsi="Times New Roman" w:cs="Times New Roman"/>
          <w:sz w:val="28"/>
          <w:szCs w:val="28"/>
          <w:lang w:val="ru-RU"/>
        </w:rPr>
        <w:t xml:space="preserve">. </w:t>
      </w:r>
    </w:p>
    <w:p w:rsidR="005F2182" w:rsidRPr="00EC4086" w:rsidRDefault="005F2182" w:rsidP="00710322">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В фазах благоприятной макроэкономической конъюнктуры и на фоне роста цен на сырьевые товары (включая железную руду, цветные и драгоценные металлы) возможно увеличение СЧА, обусловленное одновременно положительной переоценкой акций и расширением базы пайщиков. Однако в периоды нестабильности, усложнения логистических маршрутов и переоценки корпоративных приоритетов, когда компании могут временно сокращать дивидендные выплаты для поддержания ликвидности, СЧА фонда закономерно становится более волатильной. Отдельного внимания заслуживает и поведенческий аспект: при ухудшении рыночной динамики часть пайщиков может фиксировать убытки через погашение паев, тем самым усиливая эффект оттока капитала и снижая операционную гибкость фонда в краткосрочной перспективе. Следовательно, СЧА в данном случае представляет собой не просто бухгалтерский итог, а индикатор взаимодействия рыночного цикла и коллективных ожиданий инвесторов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[25, с. 120]</w:t>
      </w:r>
      <w:r w:rsidRPr="00EC4086">
        <w:rPr>
          <w:rFonts w:ascii="Times New Roman" w:hAnsi="Times New Roman" w:cs="Times New Roman"/>
          <w:sz w:val="28"/>
          <w:szCs w:val="28"/>
          <w:lang w:val="ru-RU"/>
        </w:rPr>
        <w:t>.</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Анализ доходности ОПИФ РФИ «ВИМ-Металлургия» указывает на высокую сопряженность результатов фонда с динамикой его бенчмарка — Индекса металлургии и добычи Московской биржи (MOEXMM), что является логичным следствием отраслевой специализации и высокой доли профильных акций в портфеле. На коротких горизонтах доходность, как правило, характеризуется значительной изменчивостью, отражающей общую волатильность фондового рынка и специфические отраслевые риски: цикличность спроса на металлы, чувствительность к внешнеторговым ограничениям, а также к изменениям процентных ставок и ожиданий по инвестиционным программам компаний</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[24, с. 230]</w:t>
      </w:r>
      <w:r w:rsidRPr="00EC4086">
        <w:rPr>
          <w:rFonts w:ascii="Times New Roman" w:hAnsi="Times New Roman" w:cs="Times New Roman"/>
          <w:sz w:val="28"/>
          <w:szCs w:val="28"/>
          <w:lang w:val="ru-RU"/>
        </w:rPr>
        <w:t>. На более продолжительных интервалах (примерно от одного года до трех лет) результаты фонда в существенной степени определяются фундаментальной устойчивостью эмитентов, их маржинальностью, долговой нагрузкой, доступом к рынкам сбыта и способностью поддерживать инвестиционный и дивидендный циклы</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[13, с. 132]</w:t>
      </w:r>
      <w:r w:rsidRPr="00EC4086">
        <w:rPr>
          <w:rFonts w:ascii="Times New Roman" w:hAnsi="Times New Roman" w:cs="Times New Roman"/>
          <w:sz w:val="28"/>
          <w:szCs w:val="28"/>
          <w:lang w:val="ru-RU"/>
        </w:rPr>
        <w:t xml:space="preserve">. </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Ретроспективные оценки по металлургическому сектору в ряде периодов действительно демонстрировали двузначные значения средней годовой эффективной доходности для отдельных крупных компаний, при этом устойчивость таких оценок зависит от выбранного временного окна и фаз товарного цикла. В этой связи задача управляющей компании по «обыгрыванию» бенчмарка может быть интерпретирована как результат совокупности решений по ребалансировке, выбору относительных весов между сегментами черной и цветной металлургии, а также по управлению ликвидностью; при этом практическая реализуемость устойчивого превышения индекса осложняется высокой концентрацией отраслевых рисков и ограниченным числом сопоставимых ликвидных инструментов на локальном рынке.</w:t>
      </w:r>
    </w:p>
    <w:p w:rsidR="005F2182" w:rsidRPr="00EC4086" w:rsidRDefault="005F2182" w:rsidP="004605F7">
      <w:pPr>
        <w:spacing w:line="360" w:lineRule="auto"/>
        <w:ind w:firstLine="709"/>
        <w:jc w:val="both"/>
        <w:rPr>
          <w:rFonts w:ascii="Times New Roman" w:hAnsi="Times New Roman" w:cs="Times New Roman"/>
          <w:sz w:val="28"/>
          <w:szCs w:val="28"/>
          <w:lang w:val="ru-RU"/>
        </w:rPr>
      </w:pP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Отраслевая композиция активов ОПИФ РФИ «ВИМ-Металлургия» описывается как высококонцентрированная, что подтверждается доминированием категории «Сырье и материалы», на которую приходится более 93% портфеля. Внутри данного сегмента представлены акции ведущих эмитентов, значимых как для экспортной выручки, так и для внутреннего рынка, включая ПАО «ГМК «Норильский никель», ПАО «Северсталь», ПАО «НЛМК», ПАО «ММК», МКПАО «ЭН+ ГРУП», ПАО «Корпорация ВСМПО-АВИСМА» и другие компании сопоставимого профиля. Такая структура фактически означает, что фонд воспроизводит риск-профиль сырьевого кластера: его результаты тесно связаны с динамикой сырьевых котировок, производственными ограничениями, регуляторной средой и внешними рынками. Остальная часть СЧА, как правило, размещается в высоколиквидных консервативных инструментах, включая денежные средства на счетах, что объясняется необходимостью поддерживать операционную ликвидность для своевременного погашения паев, финансирования обязательных расходов и снижения транзакционных издержек в ситуациях, когда требуется перераспределение активов. Одновременно доля таких средств, хотя и повышает управляемость фонда, в периоды роста рынка может выступать фактором, ограничивающим участие в восходящем движении, поскольку формирует «кэш-драг» относительно полностью инвестированного портфеля</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[7, с. 112]</w:t>
      </w:r>
      <w:r w:rsidRPr="00EC4086">
        <w:rPr>
          <w:rFonts w:ascii="Times New Roman" w:hAnsi="Times New Roman" w:cs="Times New Roman"/>
          <w:sz w:val="28"/>
          <w:szCs w:val="28"/>
          <w:lang w:val="ru-RU"/>
        </w:rPr>
        <w:t>.</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Резюмируя параметры структуры и инвестиционной направленности, уместно заключить, что ОПИФ РФИ «ВИМ-Металлургия» соответствует модели узкоспециализированного, слабо диверсифицированного отраслевого фонда. Концентрация подавляющей части активов в секторе сырья означает, что портфель в меньшей степени пользуется защитными эффектами </w:t>
      </w:r>
      <w:r w:rsidRPr="00EC4086">
        <w:rPr>
          <w:rFonts w:ascii="Times New Roman" w:hAnsi="Times New Roman" w:cs="Times New Roman"/>
          <w:sz w:val="28"/>
          <w:szCs w:val="28"/>
          <w:lang w:val="ru-RU"/>
        </w:rPr>
        <w:lastRenderedPageBreak/>
        <w:t>межотраслевой диверсификации и, следовательно, в большей мере подвержен систематическим отраслевым рискам</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[29, с. 14]</w:t>
      </w:r>
      <w:r w:rsidRPr="00EC4086">
        <w:rPr>
          <w:rFonts w:ascii="Times New Roman" w:hAnsi="Times New Roman" w:cs="Times New Roman"/>
          <w:sz w:val="28"/>
          <w:szCs w:val="28"/>
          <w:lang w:val="ru-RU"/>
        </w:rPr>
        <w:t xml:space="preserve">. </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Практическое следствие состоит в повышенной чувствительности к макроэкономическим шокам, изменениям условий внешней торговли, колебаниям товарных рынков и корпоративным событиям крупнейших эмитентов, включая пересмотр дивидендной политики и инвестиционных планов. Иначе говоря, устойчивость результатов фонда во многом зависит от способности отдельных ключевых компаний сохранять финансовую устойчивость, а также от того, насколько благоприятной будет внешняя среда для сырьевых производств в рассматриваемом горизонте.</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Инвестиционная привлекательность и итоговое качество паевого инвестиционного фонда для конечного инвестора целесообразно рассматривать не только через призму валовой доходности базовых активов, но и с учетом совокупного бремени инфраструктурных издержек, которые систематически снижают чистый финансовый результат</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[11, с. 42]</w:t>
      </w:r>
      <w:r w:rsidRPr="00EC4086">
        <w:rPr>
          <w:rFonts w:ascii="Times New Roman" w:hAnsi="Times New Roman" w:cs="Times New Roman"/>
          <w:sz w:val="28"/>
          <w:szCs w:val="28"/>
          <w:lang w:val="ru-RU"/>
        </w:rPr>
        <w:t xml:space="preserve">. </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В современной практике для агрегированной оценки подобных расходов используется совокупный коэффициент затрат (</w:t>
      </w:r>
      <w:proofErr w:type="spellStart"/>
      <w:r w:rsidRPr="00EC4086">
        <w:rPr>
          <w:rFonts w:ascii="Times New Roman" w:hAnsi="Times New Roman" w:cs="Times New Roman"/>
          <w:sz w:val="28"/>
          <w:szCs w:val="28"/>
          <w:lang w:val="ru-RU"/>
        </w:rPr>
        <w:t>Total</w:t>
      </w:r>
      <w:proofErr w:type="spellEnd"/>
      <w:r w:rsidRPr="00EC4086">
        <w:rPr>
          <w:rFonts w:ascii="Times New Roman" w:hAnsi="Times New Roman" w:cs="Times New Roman"/>
          <w:sz w:val="28"/>
          <w:szCs w:val="28"/>
          <w:lang w:val="ru-RU"/>
        </w:rPr>
        <w:t xml:space="preserve"> </w:t>
      </w:r>
      <w:proofErr w:type="spellStart"/>
      <w:r w:rsidRPr="00EC4086">
        <w:rPr>
          <w:rFonts w:ascii="Times New Roman" w:hAnsi="Times New Roman" w:cs="Times New Roman"/>
          <w:sz w:val="28"/>
          <w:szCs w:val="28"/>
          <w:lang w:val="ru-RU"/>
        </w:rPr>
        <w:t>Expense</w:t>
      </w:r>
      <w:proofErr w:type="spellEnd"/>
      <w:r w:rsidRPr="00EC4086">
        <w:rPr>
          <w:rFonts w:ascii="Times New Roman" w:hAnsi="Times New Roman" w:cs="Times New Roman"/>
          <w:sz w:val="28"/>
          <w:szCs w:val="28"/>
          <w:lang w:val="ru-RU"/>
        </w:rPr>
        <w:t xml:space="preserve"> </w:t>
      </w:r>
      <w:proofErr w:type="spellStart"/>
      <w:r w:rsidRPr="00EC4086">
        <w:rPr>
          <w:rFonts w:ascii="Times New Roman" w:hAnsi="Times New Roman" w:cs="Times New Roman"/>
          <w:sz w:val="28"/>
          <w:szCs w:val="28"/>
          <w:lang w:val="ru-RU"/>
        </w:rPr>
        <w:t>Ratio</w:t>
      </w:r>
      <w:proofErr w:type="spellEnd"/>
      <w:r w:rsidRPr="00EC4086">
        <w:rPr>
          <w:rFonts w:ascii="Times New Roman" w:hAnsi="Times New Roman" w:cs="Times New Roman"/>
          <w:sz w:val="28"/>
          <w:szCs w:val="28"/>
          <w:lang w:val="ru-RU"/>
        </w:rPr>
        <w:t xml:space="preserve">, TER), который для ПИФов представляет собой комбинацию регулярных обязательных удержаний. </w:t>
      </w:r>
    </w:p>
    <w:p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состав TER, как правило, входят: вознаграждение управляющей компании за доверительное управление и поддержание структуры портфеля; плата за услуги специализированного депозитария, осуществляющего учет и контроль сделок на предмет соответствия инвестиционной декларации; расходы, связанные с ведением реестра владельцев паев; услуги независимого аудитора; а также транзакционные и биржевые сборы, возникающие при совершении операций с инструментами. </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В методологическом плане TER удобен тем, что переводит разнородные статьи расходов в сопоставимый показатель, позволяющий обсуждать эффективность фонда на базе единой метрики, хотя при сравнительном анализе важно учитывать специфику стратегии и частоту операций.</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Экономически значимая особенность механизма TER состоит в том, что данные расходы, как правило, удерживаются из СЧА на регулярной основе (в том числе ежедневно), что делает их влияние на результат непрерывным и слабо зависящим от рыночной фазы. Принципиально существенным является то, что соответствующее изъятие носит условно «безусловный» характер: оно происходит независимо от того, находится ли портфель в фазе роста либо переживает период снижения стоимости (</w:t>
      </w:r>
      <w:proofErr w:type="spellStart"/>
      <w:r w:rsidRPr="00EC4086">
        <w:rPr>
          <w:rFonts w:ascii="Times New Roman" w:hAnsi="Times New Roman" w:cs="Times New Roman"/>
          <w:sz w:val="28"/>
          <w:szCs w:val="28"/>
          <w:lang w:val="ru-RU"/>
        </w:rPr>
        <w:t>drawdown</w:t>
      </w:r>
      <w:proofErr w:type="spellEnd"/>
      <w:r w:rsidRPr="00EC4086">
        <w:rPr>
          <w:rFonts w:ascii="Times New Roman" w:hAnsi="Times New Roman" w:cs="Times New Roman"/>
          <w:sz w:val="28"/>
          <w:szCs w:val="28"/>
          <w:lang w:val="ru-RU"/>
        </w:rPr>
        <w:t>). В прикладном аспекте это означает, что в периоды отрицательной рыночной доходности комиссионное давление усиливает просадку, тогда как в периоды роста снижает темп накопления капитала относительно гипотетического портфеля без издержек. При этом эффект не ограничивается однократным уменьшением: регулярные удержания меняют базу, на которую в дальнейшем начисляется доходность, что особенно заметно на длительных горизонтах</w:t>
      </w:r>
      <w:r w:rsidR="00710322">
        <w:rPr>
          <w:rFonts w:ascii="Times New Roman" w:hAnsi="Times New Roman" w:cs="Times New Roman"/>
          <w:sz w:val="28"/>
          <w:szCs w:val="28"/>
          <w:lang w:val="ru-RU"/>
        </w:rPr>
        <w:t xml:space="preserve"> [24, с. 412</w:t>
      </w:r>
      <w:r w:rsidR="00710322" w:rsidRPr="00710322">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Помимо внутренних операционных расходов, инвестор сталкивается с прямыми транзакционными издержками при входе и выходе, реализуемыми через механизм надбавок и скидок. Надбавка повышает расчетную стоимость пая при приобретении и тем самым означает, что часть капитала инвестора фактически перераспределяется в пользу посредников в момент открытия позиции. Скидка удерживается при погашении паев, выполняя, в том числе, функцию снижения краткосрочных спекулятивных потоков и защиты фонда от избыточной текучести капитала. Для долгосрочного инвестора такая конструкция сдвигает точку безубыточности: прежде чем инвестиция начнет </w:t>
      </w:r>
      <w:r w:rsidRPr="00EC4086">
        <w:rPr>
          <w:rFonts w:ascii="Times New Roman" w:hAnsi="Times New Roman" w:cs="Times New Roman"/>
          <w:sz w:val="28"/>
          <w:szCs w:val="28"/>
          <w:lang w:val="ru-RU"/>
        </w:rPr>
        <w:lastRenderedPageBreak/>
        <w:t>приносить чистый положительный результат, валовая доходность портфеля должна компенсировать первоначальный спред транзакционных издержек и последующее давление регулярных комиссий. С практической точки зрения это усиливает значимость горизонта инвестирования и делает сравнение альтернативных инструментов (например, индексных продуктов, прямого владения акциями или иных форм коллективного инвестирования) более содержательным при сопоставимых рисках</w:t>
      </w:r>
      <w:r w:rsidR="00710322">
        <w:rPr>
          <w:rFonts w:ascii="Times New Roman" w:hAnsi="Times New Roman" w:cs="Times New Roman"/>
          <w:sz w:val="28"/>
          <w:szCs w:val="28"/>
          <w:lang w:val="ru-RU"/>
        </w:rPr>
        <w:t xml:space="preserve"> [33, с. 12</w:t>
      </w:r>
      <w:r w:rsidR="00710322" w:rsidRPr="00710322">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Наиболее существенное математическое воздействие инфраструктурные издержки оказывают на долгосрочный результат через искажение эффекта сложного процента, поскольку изъятый капитал перестает участвовать в дальнейшем наращении стоимости. В стандартной формализации будущая стоимость инвестиции (FV) выражается зависимостью</w:t>
      </w:r>
      <w:r w:rsidR="004605F7" w:rsidRPr="004605F7">
        <w:rPr>
          <w:rFonts w:ascii="Times New Roman" w:hAnsi="Times New Roman" w:cs="Times New Roman"/>
          <w:sz w:val="28"/>
          <w:szCs w:val="28"/>
          <w:lang w:val="ru-RU"/>
        </w:rPr>
        <w:t xml:space="preserve"> (8)</w:t>
      </w:r>
      <w:r w:rsidRPr="00EC4086">
        <w:rPr>
          <w:rFonts w:ascii="Times New Roman" w:hAnsi="Times New Roman" w:cs="Times New Roman"/>
          <w:sz w:val="28"/>
          <w:szCs w:val="28"/>
          <w:lang w:val="ru-RU"/>
        </w:rPr>
        <w:t>:</w:t>
      </w:r>
    </w:p>
    <w:p w:rsidR="005F2182" w:rsidRPr="004605F7" w:rsidRDefault="004605F7" w:rsidP="005F218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m:rPr>
            <m:sty m:val="p"/>
          </m:rPr>
          <w:rPr>
            <w:rFonts w:ascii="Cambria Math" w:hAnsi="Cambria Math" w:cs="Times New Roman"/>
            <w:sz w:val="28"/>
            <w:szCs w:val="28"/>
            <w:lang w:val="ru-RU"/>
          </w:rPr>
          <m:t>FV = PV ⋅</m:t>
        </m:r>
        <m:sSup>
          <m:sSupPr>
            <m:ctrlPr>
              <w:rPr>
                <w:rFonts w:ascii="Cambria Math" w:hAnsi="Cambria Math" w:cs="Times New Roman"/>
                <w:sz w:val="28"/>
                <w:szCs w:val="28"/>
                <w:lang w:val="ru-RU"/>
              </w:rPr>
            </m:ctrlPr>
          </m:sSupPr>
          <m:e>
            <m:d>
              <m:dPr>
                <m:ctrlPr>
                  <w:rPr>
                    <w:rFonts w:ascii="Cambria Math" w:hAnsi="Cambria Math" w:cs="Times New Roman"/>
                    <w:sz w:val="28"/>
                    <w:szCs w:val="28"/>
                    <w:lang w:val="ru-RU"/>
                  </w:rPr>
                </m:ctrlPr>
              </m:dPr>
              <m:e>
                <m:r>
                  <m:rPr>
                    <m:sty m:val="p"/>
                  </m:rPr>
                  <w:rPr>
                    <w:rFonts w:ascii="Cambria Math" w:hAnsi="Cambria Math" w:cs="Times New Roman"/>
                    <w:sz w:val="28"/>
                    <w:szCs w:val="28"/>
                    <w:lang w:val="ru-RU"/>
                  </w:rPr>
                  <m:t>1 + r</m:t>
                </m:r>
              </m:e>
            </m:d>
          </m:e>
          <m:sup>
            <m:r>
              <m:rPr>
                <m:sty m:val="p"/>
              </m:rPr>
              <w:rPr>
                <w:rFonts w:ascii="Cambria Math" w:hAnsi="Cambria Math" w:cs="Times New Roman"/>
                <w:sz w:val="28"/>
                <w:szCs w:val="28"/>
                <w:lang w:val="ru-RU"/>
              </w:rPr>
              <m:t>n</m:t>
            </m:r>
          </m:sup>
        </m:sSup>
      </m:oMath>
      <w:r>
        <w:rPr>
          <w:rFonts w:ascii="Times New Roman" w:hAnsi="Times New Roman" w:cs="Times New Roman"/>
          <w:sz w:val="28"/>
          <w:szCs w:val="28"/>
          <w:lang w:val="ru-RU"/>
        </w:rPr>
        <w:t>,                                            (8)</w:t>
      </w:r>
    </w:p>
    <w:p w:rsidR="005F2182" w:rsidRPr="00EC4086" w:rsidRDefault="005F2182" w:rsidP="005F2182">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где PV обозначает первоначально инвестированный капитал, r — ожидаемую валовую доходность, а n — число периодов инвестирования. Если предположить, что совокупная комиссия удерживается систематически и может быть аппроксимирована ставкой c, то выражение принимает вид</w:t>
      </w:r>
      <w:r w:rsidR="004605F7">
        <w:rPr>
          <w:rFonts w:ascii="Times New Roman" w:hAnsi="Times New Roman" w:cs="Times New Roman"/>
          <w:sz w:val="28"/>
          <w:szCs w:val="28"/>
          <w:lang w:val="ru-RU"/>
        </w:rPr>
        <w:t xml:space="preserve"> (9)</w:t>
      </w:r>
      <w:r w:rsidRPr="00EC4086">
        <w:rPr>
          <w:rFonts w:ascii="Times New Roman" w:hAnsi="Times New Roman" w:cs="Times New Roman"/>
          <w:sz w:val="28"/>
          <w:szCs w:val="28"/>
          <w:lang w:val="ru-RU"/>
        </w:rPr>
        <w:t>:</w:t>
      </w:r>
    </w:p>
    <w:p w:rsidR="005F2182" w:rsidRPr="004605F7" w:rsidRDefault="004605F7" w:rsidP="005F218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m:rPr>
            <m:sty m:val="p"/>
          </m:rPr>
          <w:rPr>
            <w:rFonts w:ascii="Cambria Math" w:hAnsi="Cambria Math" w:cs="Times New Roman"/>
            <w:sz w:val="28"/>
            <w:szCs w:val="28"/>
            <w:lang w:val="en-US"/>
          </w:rPr>
          <m:t>FV</m:t>
        </m:r>
        <m:r>
          <m:rPr>
            <m:sty m:val="p"/>
          </m:rPr>
          <w:rPr>
            <w:rFonts w:ascii="Cambria Math" w:hAnsi="Cambria Math" w:cs="Times New Roman"/>
            <w:sz w:val="28"/>
            <w:szCs w:val="28"/>
            <w:lang w:val="ru-RU"/>
          </w:rPr>
          <m:t xml:space="preserve"> = </m:t>
        </m:r>
        <m:r>
          <m:rPr>
            <m:sty m:val="p"/>
          </m:rPr>
          <w:rPr>
            <w:rFonts w:ascii="Cambria Math" w:hAnsi="Cambria Math" w:cs="Times New Roman"/>
            <w:sz w:val="28"/>
            <w:szCs w:val="28"/>
            <w:lang w:val="en-US"/>
          </w:rPr>
          <m:t>PV</m:t>
        </m:r>
        <m:r>
          <m:rPr>
            <m:sty m:val="p"/>
          </m:rPr>
          <w:rPr>
            <w:rFonts w:ascii="Cambria Math" w:hAnsi="Cambria Math" w:cs="Times New Roman"/>
            <w:sz w:val="28"/>
            <w:szCs w:val="28"/>
            <w:lang w:val="ru-RU"/>
          </w:rPr>
          <m:t xml:space="preserve"> ⋅</m:t>
        </m:r>
        <m:sSup>
          <m:sSupPr>
            <m:ctrlPr>
              <w:rPr>
                <w:rFonts w:ascii="Cambria Math" w:hAnsi="Cambria Math" w:cs="Times New Roman"/>
                <w:sz w:val="28"/>
                <w:szCs w:val="28"/>
                <w:lang w:val="en-US"/>
              </w:rPr>
            </m:ctrlPr>
          </m:sSupPr>
          <m:e>
            <m:d>
              <m:dPr>
                <m:ctrlPr>
                  <w:rPr>
                    <w:rFonts w:ascii="Cambria Math" w:hAnsi="Cambria Math" w:cs="Times New Roman"/>
                    <w:sz w:val="28"/>
                    <w:szCs w:val="28"/>
                    <w:lang w:val="en-US"/>
                  </w:rPr>
                </m:ctrlPr>
              </m:dPr>
              <m:e>
                <m:r>
                  <m:rPr>
                    <m:sty m:val="p"/>
                  </m:rPr>
                  <w:rPr>
                    <w:rFonts w:ascii="Cambria Math" w:hAnsi="Cambria Math" w:cs="Times New Roman"/>
                    <w:sz w:val="28"/>
                    <w:szCs w:val="28"/>
                    <w:lang w:val="ru-RU"/>
                  </w:rPr>
                  <m:t xml:space="preserve">1 + </m:t>
                </m:r>
                <m:r>
                  <m:rPr>
                    <m:sty m:val="p"/>
                  </m:rPr>
                  <w:rPr>
                    <w:rFonts w:ascii="Cambria Math" w:hAnsi="Cambria Math" w:cs="Times New Roman"/>
                    <w:sz w:val="28"/>
                    <w:szCs w:val="28"/>
                    <w:lang w:val="en-US"/>
                  </w:rPr>
                  <m:t>r</m:t>
                </m:r>
                <m:r>
                  <m:rPr>
                    <m:sty m:val="p"/>
                  </m:rPr>
                  <w:rPr>
                    <w:rFonts w:ascii="Cambria Math" w:hAnsi="Cambria Math" w:cs="Times New Roman"/>
                    <w:sz w:val="28"/>
                    <w:szCs w:val="28"/>
                    <w:lang w:val="ru-RU"/>
                  </w:rPr>
                  <m:t xml:space="preserve"> - </m:t>
                </m:r>
                <m:r>
                  <m:rPr>
                    <m:sty m:val="p"/>
                  </m:rPr>
                  <w:rPr>
                    <w:rFonts w:ascii="Cambria Math" w:hAnsi="Cambria Math" w:cs="Times New Roman"/>
                    <w:sz w:val="28"/>
                    <w:szCs w:val="28"/>
                    <w:lang w:val="en-US"/>
                  </w:rPr>
                  <m:t>c</m:t>
                </m:r>
              </m:e>
            </m:d>
          </m:e>
          <m:sup>
            <m:r>
              <m:rPr>
                <m:sty m:val="p"/>
              </m:rPr>
              <w:rPr>
                <w:rFonts w:ascii="Cambria Math" w:hAnsi="Cambria Math" w:cs="Times New Roman"/>
                <w:sz w:val="28"/>
                <w:szCs w:val="28"/>
                <w:lang w:val="en-US"/>
              </w:rPr>
              <m:t>n</m:t>
            </m:r>
          </m:sup>
        </m:sSup>
      </m:oMath>
      <w:r>
        <w:rPr>
          <w:rFonts w:ascii="Times New Roman" w:hAnsi="Times New Roman" w:cs="Times New Roman"/>
          <w:sz w:val="28"/>
          <w:szCs w:val="28"/>
          <w:lang w:val="ru-RU"/>
        </w:rPr>
        <w:t>,                                      (9)</w:t>
      </w:r>
    </w:p>
    <w:p w:rsidR="00AC43B0"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Поскольку n выступает экспоненциальным множителем, даже умеренные по величине ежегодные удержания способны сформировать кумулятивный эффект, который по масштабу оказывается несоразмерным номинальной ставке комиссии, особенно на длинных временных интервалах. В прикладном контексте это означает, что капитал, направляемый на покрытие TER и прочих расходов, фактически исключается из процесса реинвестирования, а потому снижает потенциальную траекторию роста портфеля</w:t>
      </w:r>
      <w:r w:rsidR="00AC43B0">
        <w:rPr>
          <w:rFonts w:ascii="Times New Roman" w:hAnsi="Times New Roman" w:cs="Times New Roman"/>
          <w:sz w:val="28"/>
          <w:szCs w:val="28"/>
          <w:lang w:val="ru-RU"/>
        </w:rPr>
        <w:t xml:space="preserve"> </w:t>
      </w:r>
      <w:r w:rsidR="00AC43B0" w:rsidRPr="00AC43B0">
        <w:rPr>
          <w:rFonts w:ascii="Times New Roman" w:hAnsi="Times New Roman" w:cs="Times New Roman"/>
          <w:sz w:val="28"/>
          <w:szCs w:val="28"/>
          <w:lang w:val="ru-RU"/>
        </w:rPr>
        <w:t>[47]</w:t>
      </w:r>
      <w:r w:rsidRPr="00EC4086">
        <w:rPr>
          <w:rFonts w:ascii="Times New Roman" w:hAnsi="Times New Roman" w:cs="Times New Roman"/>
          <w:sz w:val="28"/>
          <w:szCs w:val="28"/>
          <w:lang w:val="ru-RU"/>
        </w:rPr>
        <w:t xml:space="preserve">. </w:t>
      </w:r>
    </w:p>
    <w:p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В условиях высокой волатильности металлургического сектора, возможных периодов стагнации и неоднозначной дивидендной динамики эмитентов издержки фонда могут повышать вероятность того, что реальная (инфляционно скорректированная) доходность окажется низкой или отрицательной, что делает учет структуры расходов и их сопоставление с ожидаемой премией за риск существенным элементом обоснования инвестиционной стратегии.</w:t>
      </w:r>
    </w:p>
    <w:p w:rsidR="00EC4086" w:rsidRPr="00EC4086" w:rsidRDefault="00EC4086" w:rsidP="004605F7">
      <w:pPr>
        <w:pStyle w:val="2"/>
        <w:spacing w:before="0" w:after="0" w:line="360" w:lineRule="auto"/>
        <w:rPr>
          <w:bCs/>
          <w:lang w:val="ru-RU"/>
        </w:rPr>
      </w:pPr>
    </w:p>
    <w:p w:rsidR="005F2182" w:rsidRPr="00EC4086" w:rsidRDefault="005F2182" w:rsidP="004605F7">
      <w:pPr>
        <w:pStyle w:val="2"/>
        <w:spacing w:before="0" w:after="0" w:line="360" w:lineRule="auto"/>
        <w:rPr>
          <w:bCs/>
          <w:lang w:val="ru-RU"/>
        </w:rPr>
      </w:pPr>
      <w:bookmarkStart w:id="8" w:name="_Toc230938587"/>
      <w:r w:rsidRPr="00EC4086">
        <w:rPr>
          <w:bCs/>
          <w:lang w:val="ru-RU"/>
        </w:rPr>
        <w:t>2.2. Оценка инвестиционной привлекательности крупнейших объектов инвестирования ОПИФ РФИ «ВИМ-Металлургия»</w:t>
      </w:r>
      <w:bookmarkEnd w:id="8"/>
    </w:p>
    <w:p w:rsidR="005F2182" w:rsidRPr="00EC4086" w:rsidRDefault="005F2182" w:rsidP="004605F7">
      <w:pPr>
        <w:spacing w:line="360" w:lineRule="auto"/>
        <w:jc w:val="both"/>
        <w:rPr>
          <w:rFonts w:ascii="Times New Roman" w:hAnsi="Times New Roman" w:cs="Times New Roman"/>
          <w:sz w:val="28"/>
          <w:szCs w:val="28"/>
          <w:lang w:val="ru-RU"/>
        </w:rPr>
      </w:pP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Риск-профиль и потенциальная динамика стоимости чистых активов в значительной степени определяются фундаментальными характеристиками предприятий-эмитентов, которые формируют ядро рассматриваемого портфеля. В настоящем параграфе представлен развернутый финансовый анализ пяти компаний, обладающих наибольшим удельным весом в структуре активов фонда; анализ опирается на консолидированную отчетность, подготовленную по МСФО и РСБУ, за последние доступные отчетные периоды. Подобный подход позволяет соотнести наблюдаемую доходность и волатильность фонда с устойчивостью базовых активов, а также уточнить источники потенциальных уязвимостей в условиях меняющейся макроэкономической и отраслевой конъюнктуры</w:t>
      </w:r>
      <w:r w:rsidR="00A30BC7">
        <w:rPr>
          <w:rFonts w:ascii="Times New Roman" w:hAnsi="Times New Roman" w:cs="Times New Roman"/>
          <w:sz w:val="28"/>
          <w:szCs w:val="28"/>
          <w:lang w:val="ru-RU"/>
        </w:rPr>
        <w:t xml:space="preserve"> [11, с. 132</w:t>
      </w:r>
      <w:r w:rsidR="00A30BC7" w:rsidRPr="00A30BC7">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ПАО «Северсталь» представляет собой вертикально интегрированную металлургическую и горнодобывающую группу и традиционно рассматривается как один из системообразующих участников российской черной металлургии. В контексте портфеля фонда данная позиция может интерпретироваться как высокомаржинальный актив, ориентированный на </w:t>
      </w:r>
      <w:r w:rsidRPr="00EC4086">
        <w:rPr>
          <w:rFonts w:ascii="Times New Roman" w:hAnsi="Times New Roman" w:cs="Times New Roman"/>
          <w:sz w:val="28"/>
          <w:szCs w:val="28"/>
          <w:lang w:val="ru-RU"/>
        </w:rPr>
        <w:lastRenderedPageBreak/>
        <w:t>формирование устойчивого денежного потока за счет продуктовой линейки с относительно высокой добавленной стоимостью, а также за счет операционной эффективности, характерной для интегрированных производственных цепочек</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15]</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Финансовое положение компании характеризуется высокой платежеспособностью и значительным запасом краткосрочной устойчивости. Валюта баланса демонстрирует стабильную восходящую динамику, что может отражать как расширение операционного масштаба, так и консервативный подход к формированию оборотного капитала. Коэффициент текущей ликвидности по итогам отчетных периодов устойчиво превышает ориентир 2,0, который в прикладном финансовом анализе часто используется как условный норматив</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110]</w:t>
      </w:r>
      <w:r w:rsidRPr="00EC4086">
        <w:rPr>
          <w:rFonts w:ascii="Times New Roman" w:hAnsi="Times New Roman" w:cs="Times New Roman"/>
          <w:sz w:val="28"/>
          <w:szCs w:val="28"/>
          <w:lang w:val="ru-RU"/>
        </w:rPr>
        <w:t>. Коэффициент абсолютной ликвидности дополнительно фиксирует наличие существенного объема высоколиквидных средств; такой запас, по-видимому, связан, среди прочего, с пересмотром дивидендной политики на фоне санкционных ограничений и повышенной неопределенности внешней среды.</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Показатели эффективности использования капитала находятся на повышенных уровнях: ROA составляет порядка 19,5%, ROE превышает 31,5%</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[11, с. 156]</w:t>
      </w:r>
      <w:r w:rsidRPr="00EC4086">
        <w:rPr>
          <w:rFonts w:ascii="Times New Roman" w:hAnsi="Times New Roman" w:cs="Times New Roman"/>
          <w:sz w:val="28"/>
          <w:szCs w:val="28"/>
          <w:lang w:val="ru-RU"/>
        </w:rPr>
        <w:t>. Маржинальность по EBITDA устойчиво превосходит среднеотраслевые значения, что согласуется с гипотезой о контроле издержек, наличии масштабного эффекта и более благоприятной структуре продуктового портфеля. Вместе с тем для корректной интерпретации рентабельности следует учитывать цикличность металлургического рынка и возможное влияние ценовой конъюнктуры на конечные показатели.</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риска банкротства: Капитальная структура оценивается как устойчиво-консервативная: коэффициент автономии превышает 0,6, что </w:t>
      </w:r>
      <w:r w:rsidRPr="00EC4086">
        <w:rPr>
          <w:rFonts w:ascii="Times New Roman" w:hAnsi="Times New Roman" w:cs="Times New Roman"/>
          <w:sz w:val="28"/>
          <w:szCs w:val="28"/>
          <w:lang w:val="ru-RU"/>
        </w:rPr>
        <w:lastRenderedPageBreak/>
        <w:t>снижает чувствительность к шокам на кредитных рынках</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140]</w:t>
      </w:r>
      <w:r w:rsidRPr="00EC4086">
        <w:rPr>
          <w:rFonts w:ascii="Times New Roman" w:hAnsi="Times New Roman" w:cs="Times New Roman"/>
          <w:sz w:val="28"/>
          <w:szCs w:val="28"/>
          <w:lang w:val="ru-RU"/>
        </w:rPr>
        <w:t>. Показатель «Чистый долг / EBITDA» принимает отрицательное значение, поскольку объем денежных средств и их эквивалентов превышает совокупный долг. В рамках дискриминантного подхода модели Альтмана дают результаты, соответствующие крайне низкой вероятности финансовой несостоятельности. В рассматриваемой выборке данная компания выступает одним из наиболее устойчивых элементов портфеля, потенциально выполняя «защитную» функцию в периоды ухудшения рыночной конъюнктуры.</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ПАО «ММК» относится к крупнейшим российским производителям стали и исторически ориентировано на внутренний рынок, в том числе на строительный сектор, машиностроение и автомобильную промышленность</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17]</w:t>
      </w:r>
      <w:r w:rsidRPr="00EC4086">
        <w:rPr>
          <w:rFonts w:ascii="Times New Roman" w:hAnsi="Times New Roman" w:cs="Times New Roman"/>
          <w:sz w:val="28"/>
          <w:szCs w:val="28"/>
          <w:lang w:val="ru-RU"/>
        </w:rPr>
        <w:t>. Для портфеля фонда данный эмитент может рассматриваться как стабилизирующая позиция, чья чувствительность к рискам экспортных ограничений, по сравнению с экспортноориентированными компаниями, относительно ниже, хотя и не исключает косвенного влияния через внутренний спрос и ценовые ожидания.</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ликвидности и платежеспособности: Компания придерживается консервативного финансового профиля: коэффициент текущей ликвидности устойчиво удерживается выше 2,0. Генерация денежных потоков позволяет покрывать краткосрочные обязательства без выраженного напряжения, а наличие значимых денежных остатков снижает вероятность кассовых разрывов. Дополнительно следует отметить, что подобная </w:t>
      </w:r>
      <w:proofErr w:type="spellStart"/>
      <w:r w:rsidRPr="00EC4086">
        <w:rPr>
          <w:rFonts w:ascii="Times New Roman" w:hAnsi="Times New Roman" w:cs="Times New Roman"/>
          <w:sz w:val="28"/>
          <w:szCs w:val="28"/>
          <w:lang w:val="ru-RU"/>
        </w:rPr>
        <w:t>ликвидностная</w:t>
      </w:r>
      <w:proofErr w:type="spellEnd"/>
      <w:r w:rsidRPr="00EC4086">
        <w:rPr>
          <w:rFonts w:ascii="Times New Roman" w:hAnsi="Times New Roman" w:cs="Times New Roman"/>
          <w:sz w:val="28"/>
          <w:szCs w:val="28"/>
          <w:lang w:val="ru-RU"/>
        </w:rPr>
        <w:t xml:space="preserve"> позиция в капиталоемких отраслях обычно рассматривается как фактор устойчивости к временным сбоям в цепочках поставок и к колебаниям оборотного капитала</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112]</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рентабельности: ROE восстановился до уровня около 18%, а маржа по EBITDA стабильно превышает 25%. Рост внутренних продаж, судя </w:t>
      </w:r>
      <w:r w:rsidRPr="00EC4086">
        <w:rPr>
          <w:rFonts w:ascii="Times New Roman" w:hAnsi="Times New Roman" w:cs="Times New Roman"/>
          <w:sz w:val="28"/>
          <w:szCs w:val="28"/>
          <w:lang w:val="ru-RU"/>
        </w:rPr>
        <w:lastRenderedPageBreak/>
        <w:t>по отчетной динамике, способен частично компенсировать снижение экспортной выручки, хотя степень такой компенсации зависит от ценовой эластичности внутреннего рынка и от инвестиционной активности ключевых потребляющих отраслей. В целом показатели отражают сохранение конкурентоспособности в условиях адаптации к внешним ограничениям</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[16, с. 82]</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Доля собственного капитала в балансе остается высокой даже по отраслевым меркам, что повышает устойчивость в стресс-сценариях. Чистый долг сохраняет отрицательное значение, что указывает на низкую зависимость от заемного финансирования. Адаптивность компании к макроэкономическим шокам проявляется через способность перестраивать каналы сбыта и поддерживать приемлемые уровни маржинальности; при этом корректнее говорить о высокой инвестиционной привлекательности при прочих равных условиях, избегая трактовок, предполагающих безусловность такого вывода.</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ПАО «ГМК «Норильский никель» является одним из крупнейших мировых производителей никеля и палладия. В портфеле фонда данная позиция выполняет функцию отраслевой диверсификации, снижая концентрацию в сегменте черной металлургии, однако одновременно добавляет экспозицию к специфическим рискам рынка цветных металлов, включая ценовую волатильность и </w:t>
      </w:r>
      <w:proofErr w:type="spellStart"/>
      <w:r w:rsidRPr="00EC4086">
        <w:rPr>
          <w:rFonts w:ascii="Times New Roman" w:hAnsi="Times New Roman" w:cs="Times New Roman"/>
          <w:sz w:val="28"/>
          <w:szCs w:val="28"/>
          <w:lang w:val="ru-RU"/>
        </w:rPr>
        <w:t>логистико-санкционные</w:t>
      </w:r>
      <w:proofErr w:type="spellEnd"/>
      <w:r w:rsidRPr="00EC4086">
        <w:rPr>
          <w:rFonts w:ascii="Times New Roman" w:hAnsi="Times New Roman" w:cs="Times New Roman"/>
          <w:sz w:val="28"/>
          <w:szCs w:val="28"/>
          <w:lang w:val="ru-RU"/>
        </w:rPr>
        <w:t xml:space="preserve"> ограничения</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[30, с. 20]</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ликвидности и платежеспособности: На фоне сокращения свободных денежных потоков, обусловленного снижением мировых цен на корзину цветных металлов и перестройкой логистических цепочек, коэффициент текущей ликвидности снизился до 1,2–1,3. Такой уровень в целом может рассматриваться как приемлемый для непрерывной </w:t>
      </w:r>
      <w:r w:rsidRPr="00EC4086">
        <w:rPr>
          <w:rFonts w:ascii="Times New Roman" w:hAnsi="Times New Roman" w:cs="Times New Roman"/>
          <w:sz w:val="28"/>
          <w:szCs w:val="28"/>
          <w:lang w:val="ru-RU"/>
        </w:rPr>
        <w:lastRenderedPageBreak/>
        <w:t>операционной деятельности, однако запас финансовой прочности становится менее выраженным по сравнению с крупнейшими предприятиями черной металлургии. В данном контексте усиливается значимость доступа к рынкам капитала и качества управления оборотным капиталом.</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Показатели ROA и ROE продемонстрировали снижение под влиянием внешних шоков, что согласуется с ухудшением ценовой конъюнктуры и ростом издержек адаптации. При этом маржа по EBITDA остается на уровне около 48%, что по международным сопоставлениям является высоким значением и отражает структурную рентабельность бизнеса, связанную с ресурсной базой и позицией компании на мировом рынке. Вместе с тем сохранение высокой EBITDA-маржинальности не исключает давления на чистую прибыль при росте амортизационных отчислений и финансовых расходов</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[9, с. 320]</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Долговая нагрузка увеличилась в связи с прохождением инвестиционного цикла и обновлением основных фондов. Соотношение «Чистый долг / EBITDA» выросло до 1,2x, что само по себе остается в рамках умеренных значений, но указывает на снижение финансовой свободы по сравнению с периодами сверхконсервативного баланса. Дискриминантные модели не сигнализируют о высокой вероятности несостоятельности, однако текущая фаза повышенных CAPEX объективно сокращает краткосрочную инвестиционную привлекательность для портфеля, ориентированного на устойчивую динамику стоимости чистых активов.</w:t>
      </w:r>
    </w:p>
    <w:p w:rsidR="00EC4086" w:rsidRPr="00EC4086" w:rsidRDefault="00EC4086" w:rsidP="00A30BC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МКПАО «ЭН+ ГРУП» является холдинговой структурой, объединяющей электрогенерирующие активы и контрольный пакет ОК «РУСАЛ». Присутствие данного эмитента в портфеле обеспечивает экспозицию одновременно к сегменту алюминиевой промышленности и к электроэнергетике, включая компоненты относительно «чистой» генерации, </w:t>
      </w:r>
      <w:r w:rsidRPr="00EC4086">
        <w:rPr>
          <w:rFonts w:ascii="Times New Roman" w:hAnsi="Times New Roman" w:cs="Times New Roman"/>
          <w:sz w:val="28"/>
          <w:szCs w:val="28"/>
          <w:lang w:val="ru-RU"/>
        </w:rPr>
        <w:lastRenderedPageBreak/>
        <w:t>что может быть интерпретировано как расширение отраслевого охвата фонда</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18]</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Финансовые параметры холдинга испытывают заметное давление вследствие ухудшения условий в алюминиевом сегменте, включая снижение котировок на LME и действие экспортных пошлин. Коэффициент текущей ликвидности находится вблизи пороговых значений и оценивается примерно в диапазоне 1,05–1,1. Такая конфигурация означает, что краткосрочная устойчивость в большей степени зависит от регулярности поступления операционного денежного потока и от способности компании поддерживать условия рефинансирования, чем от наличия значимого ликвидного резерва.</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Финансовые результаты остаются под давлением, чистая прибыль существенно сократилась. ROE снизился до 3–4%, что заметно ниже ориентиров безрисковой доходности в Российской Федерации; в инвестиционном анализе это обычно интерпретируется как снижение компенсации инвестору за принятие риска. Дополнительным фактором выступает цикличность сырьевых рынков, которая усиливает неопределенность краткосрочных прогнозов, особенно при одновременном воздействии регуляторных и внешнеторговых ограничений.</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риска банкротства: Холдинг сохраняет повышенную долговую нагрузку, сформированную исторически. Показатель «Чистый долг / EBITDA» приблизился к 3,5x–4,0x, что в прикладных оценках часто относится к зоне повышенного риска, особенно в условиях сжатия маржи. Операционная прибыльность, по имеющимся данным, лишь с ограниченным запасом покрывает обслуживание долгового портфеля, что повышает чувствительность к росту процентных ставок, к колебаниям валютных курсов и к неблагоприятной динамике цен на алюминий. В результате присутствие </w:t>
      </w:r>
      <w:r w:rsidRPr="00EC4086">
        <w:rPr>
          <w:rFonts w:ascii="Times New Roman" w:hAnsi="Times New Roman" w:cs="Times New Roman"/>
          <w:sz w:val="28"/>
          <w:szCs w:val="28"/>
          <w:lang w:val="ru-RU"/>
        </w:rPr>
        <w:lastRenderedPageBreak/>
        <w:t>МКПАО «ЭН+ ГРУП» увеличивает восприимчивость портфеля к макроэкономическим шокам и снижает его агрегированную устойчивость.</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ПАО «Корпорация ВСМПО-АВИСМА» является ключевым российским производителем титановой продукции и одним из крупнейших игроков на мировом рынке. Для портфеля фонда данная компания формирует экспозицию к сегментам высокотехнологичного машиностроения, а также к цепочкам поставок, в которых востребованы материалы специального назначения; подобная экспозиция отличается от классической металлургической цикличности и может частично сглаживать отраслевую концентрацию</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19]</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После прохождения логистических шоков корпорации удалось стабилизировать сбыт и восстановить предсказуемость операционных потоков. Ликвидность баланса оценивается как высокая: коэффициент текущей ликвидности превышает 2,8, что указывает на значительный запас по покрытию краткосрочных обязательств. Данная характеристика, как правило, рассматривается как фактор устойчивости в условиях неопределенности по внешним рынкам и по структуре заказов.</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Рост внутреннего спроса позволил поддерживать маржу по EBITDA выше 35%. ROA удерживается в диапазоне 12–15%, ROE превышает 20%, что согласуется с представлением об устойчивости бизнес-модели и о способности сохранять прибыльность при адаптации к изменению географии продаж. При этом корректная интерпретация требует учета возможных структурных сдвигов в спросе со стороны авиационной и машиностроительной отраслей, а также потенциальных ограничений на экспорт высокотехнологичной продукции</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[11, с. 90]</w:t>
      </w:r>
      <w:r w:rsidRPr="00EC4086">
        <w:rPr>
          <w:rFonts w:ascii="Times New Roman" w:hAnsi="Times New Roman" w:cs="Times New Roman"/>
          <w:sz w:val="28"/>
          <w:szCs w:val="28"/>
          <w:lang w:val="ru-RU"/>
        </w:rPr>
        <w:t>.</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Оценка риска банкротства: Критическая долговая нагрузка отсутствует: заемный капитал составляет менее 35% валюты баланса. Значения Z-счета Альтмана уверенно относят предприятие к группе финансово устойчивых компаний без выраженных признаков несостоятельности. В рамках портфеля данная позиция может рассматриваться как один из устойчивых компонентов, хотя ее риск-профиль в существенной степени определяется отраслевой спецификой и чувствительностью к внешним рынкам конечного потребления.</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Сводный вывод по разделу: Фундаментальный анализ пяти крупнейших предприятий, входящих в состав ОПИФ РФИ «ВИМ-Металлургия», подтверждает основную исследовательскую установку о том, что качество инвестиционного портфеля связано с финансовой устойчивостью и операционной эффективностью базовых эмитентов. Поскольку фонд характеризуется ограниченной диверсификацией, внутренние проблемы отдельных компаний с высокой долей в активах имеют тенденцию транслироваться в динамику стоимости чистых активов, усиливая как просадки, так и восстановительные движения, в зависимости от сценария</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[20, с. 110]</w:t>
      </w:r>
      <w:r w:rsidRPr="00EC4086">
        <w:rPr>
          <w:rFonts w:ascii="Times New Roman" w:hAnsi="Times New Roman" w:cs="Times New Roman"/>
          <w:sz w:val="28"/>
          <w:szCs w:val="28"/>
          <w:lang w:val="ru-RU"/>
        </w:rPr>
        <w:t>.</w:t>
      </w:r>
    </w:p>
    <w:p w:rsidR="00A30BC7"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Наиболее устойчивыми по совокупности показателей выглядят эмитенты черной металлургии (ПАО «Северсталь», ПАО «ММК»), а также ПАО «Корпорация ВСМПО-АВИСМА». Их профиль включает высокую рентабельность, существенные ликвидные резервы и, в ряде случаев, отрицательный чистый долг, что снижает кредитные риски и повышает устойчивость к краткосрочным шокам</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[13, с. 120]</w:t>
      </w:r>
      <w:r w:rsidRPr="00EC4086">
        <w:rPr>
          <w:rFonts w:ascii="Times New Roman" w:hAnsi="Times New Roman" w:cs="Times New Roman"/>
          <w:sz w:val="28"/>
          <w:szCs w:val="28"/>
          <w:lang w:val="ru-RU"/>
        </w:rPr>
        <w:t xml:space="preserve">. </w:t>
      </w:r>
    </w:p>
    <w:p w:rsidR="005F2182"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Одновременно дополнительные риски в структуру портфеля вносят компании, связанные с цветной металлургией и энергетикой (МКПАО «ЭН+ ГРУП», ПАО «ГМК «Норильский никель»): здесь наблюдаются признаки давления на ликвидность, рост долговой нагрузки либо прохождение </w:t>
      </w:r>
      <w:r w:rsidRPr="00EC4086">
        <w:rPr>
          <w:rFonts w:ascii="Times New Roman" w:hAnsi="Times New Roman" w:cs="Times New Roman"/>
          <w:sz w:val="28"/>
          <w:szCs w:val="28"/>
          <w:lang w:val="ru-RU"/>
        </w:rPr>
        <w:lastRenderedPageBreak/>
        <w:t>капиталоемких инвестиционных фаз. В результате портфель в текущем виде можно охарактеризовать как неоднородный по качеству: рядом с финансово устойчивыми активами присутствуют эмитенты с повышенной закредитованностью и сниженной рентабельностью, что формирует основания для обсуждения целесообразности тактической ребалансировки с учетом ограничений мандата фонда и допустимого уровня риска.</w:t>
      </w:r>
    </w:p>
    <w:p w:rsidR="004605F7" w:rsidRPr="005F2182" w:rsidRDefault="004605F7" w:rsidP="004605F7">
      <w:pPr>
        <w:spacing w:line="360" w:lineRule="auto"/>
        <w:ind w:firstLine="709"/>
        <w:jc w:val="both"/>
        <w:rPr>
          <w:rFonts w:ascii="Times New Roman" w:hAnsi="Times New Roman" w:cs="Times New Roman"/>
          <w:sz w:val="28"/>
          <w:szCs w:val="28"/>
          <w:lang w:val="ru-RU"/>
        </w:rPr>
      </w:pPr>
    </w:p>
    <w:p w:rsidR="005F2182" w:rsidRDefault="005F2182" w:rsidP="004605F7">
      <w:pPr>
        <w:pStyle w:val="2"/>
        <w:spacing w:before="0" w:after="0" w:line="360" w:lineRule="auto"/>
        <w:rPr>
          <w:lang w:val="ru-RU"/>
        </w:rPr>
      </w:pPr>
      <w:bookmarkStart w:id="9" w:name="_Toc230938588"/>
      <w:r w:rsidRPr="005F2182">
        <w:rPr>
          <w:lang w:val="ru-RU"/>
        </w:rPr>
        <w:t>2.3. Анализ показателей качества инвестиционного портфеля ОПИФ РФИ «ВИМ-Металлургия»</w:t>
      </w:r>
      <w:bookmarkEnd w:id="9"/>
    </w:p>
    <w:p w:rsidR="00EC4086" w:rsidRPr="00EC4086" w:rsidRDefault="00EC4086" w:rsidP="004605F7">
      <w:pPr>
        <w:spacing w:line="360" w:lineRule="auto"/>
        <w:rPr>
          <w:lang w:val="ru-RU"/>
        </w:rPr>
      </w:pPr>
    </w:p>
    <w:p w:rsidR="00205FD5"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качества инвестиционного портфеля ОПИФ РФИ «ВИМ-Металлургия» целесообразно проводить на основе специализированного математико-статистического инструментария, который позволяет сопоставлять фактически полученную фондом доходность с уровнем принимаемого совокупного риска, а также уточнять, в какой мере наблюдаемая доходность может быть объяснена особенностями структуры портфеля, отраслевой экспозицией и </w:t>
      </w:r>
      <w:proofErr w:type="spellStart"/>
      <w:r w:rsidRPr="00EC4086">
        <w:rPr>
          <w:rFonts w:ascii="Times New Roman" w:hAnsi="Times New Roman" w:cs="Times New Roman"/>
          <w:sz w:val="28"/>
          <w:szCs w:val="28"/>
          <w:lang w:val="ru-RU"/>
        </w:rPr>
        <w:t>общерыночной</w:t>
      </w:r>
      <w:proofErr w:type="spellEnd"/>
      <w:r w:rsidRPr="00EC4086">
        <w:rPr>
          <w:rFonts w:ascii="Times New Roman" w:hAnsi="Times New Roman" w:cs="Times New Roman"/>
          <w:sz w:val="28"/>
          <w:szCs w:val="28"/>
          <w:lang w:val="ru-RU"/>
        </w:rPr>
        <w:t xml:space="preserve"> конъюнктурой</w:t>
      </w:r>
      <w:r w:rsidR="00205FD5">
        <w:rPr>
          <w:rFonts w:ascii="Times New Roman" w:hAnsi="Times New Roman" w:cs="Times New Roman"/>
          <w:sz w:val="28"/>
          <w:szCs w:val="28"/>
          <w:lang w:val="ru-RU"/>
        </w:rPr>
        <w:t xml:space="preserve"> [2</w:t>
      </w:r>
      <w:r w:rsidR="00205FD5" w:rsidRPr="00205FD5">
        <w:rPr>
          <w:rFonts w:ascii="Times New Roman" w:hAnsi="Times New Roman" w:cs="Times New Roman"/>
          <w:sz w:val="28"/>
          <w:szCs w:val="28"/>
          <w:lang w:val="ru-RU"/>
        </w:rPr>
        <w:t>5, с. 156]</w:t>
      </w:r>
      <w:r w:rsidRPr="00EC4086">
        <w:rPr>
          <w:rFonts w:ascii="Times New Roman" w:hAnsi="Times New Roman" w:cs="Times New Roman"/>
          <w:sz w:val="28"/>
          <w:szCs w:val="28"/>
          <w:lang w:val="ru-RU"/>
        </w:rPr>
        <w:t xml:space="preserve">. </w:t>
      </w:r>
    </w:p>
    <w:p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рамках такой постановки акцент переносится с номинальных показателей результативности на риск-скорректированную оценку, поскольку для </w:t>
      </w:r>
      <w:proofErr w:type="spellStart"/>
      <w:r w:rsidRPr="00EC4086">
        <w:rPr>
          <w:rFonts w:ascii="Times New Roman" w:hAnsi="Times New Roman" w:cs="Times New Roman"/>
          <w:sz w:val="28"/>
          <w:szCs w:val="28"/>
          <w:lang w:val="ru-RU"/>
        </w:rPr>
        <w:t>секторально</w:t>
      </w:r>
      <w:proofErr w:type="spellEnd"/>
      <w:r w:rsidRPr="00EC4086">
        <w:rPr>
          <w:rFonts w:ascii="Times New Roman" w:hAnsi="Times New Roman" w:cs="Times New Roman"/>
          <w:sz w:val="28"/>
          <w:szCs w:val="28"/>
          <w:lang w:val="ru-RU"/>
        </w:rPr>
        <w:t xml:space="preserve"> концентрированных стратегий характерно усиление уязвимости к цикличности товарных рынков и к изменениям условий финансирования компаний-эмитентов</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[24, с. 218]</w:t>
      </w:r>
      <w:r w:rsidRPr="00EC4086">
        <w:rPr>
          <w:rFonts w:ascii="Times New Roman" w:hAnsi="Times New Roman" w:cs="Times New Roman"/>
          <w:sz w:val="28"/>
          <w:szCs w:val="28"/>
          <w:lang w:val="ru-RU"/>
        </w:rPr>
        <w:t>.</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Коэффициенты доходности и риска. В качестве базового показателя совокупного риска фонда обоснованно рассматривается волатильность (</w:t>
      </w:r>
      <w:proofErr w:type="spellStart"/>
      <w:r w:rsidRPr="004605F7">
        <w:rPr>
          <w:rFonts w:ascii="Times New Roman" w:hAnsi="Times New Roman" w:cs="Times New Roman"/>
          <w:sz w:val="28"/>
          <w:szCs w:val="28"/>
          <w:lang w:val="ru-RU"/>
        </w:rPr>
        <w:t>Standard</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Deviation</w:t>
      </w:r>
      <w:proofErr w:type="spellEnd"/>
      <w:r w:rsidRPr="004605F7">
        <w:rPr>
          <w:rFonts w:ascii="Times New Roman" w:hAnsi="Times New Roman" w:cs="Times New Roman"/>
          <w:sz w:val="28"/>
          <w:szCs w:val="28"/>
          <w:lang w:val="ru-RU"/>
        </w:rPr>
        <w:t xml:space="preserve">), рассчитываемая через стандартное отклонение доходностей. Доступные исторические наблюдения позволяют заключить, что </w:t>
      </w:r>
      <w:r w:rsidRPr="004605F7">
        <w:rPr>
          <w:rFonts w:ascii="Times New Roman" w:hAnsi="Times New Roman" w:cs="Times New Roman"/>
          <w:sz w:val="28"/>
          <w:szCs w:val="28"/>
          <w:lang w:val="ru-RU"/>
        </w:rPr>
        <w:lastRenderedPageBreak/>
        <w:t xml:space="preserve">активы металлургического и сырьевого сегментов в целом демонстрируют повышенную дисперсию, которая усиливается в периоды смены фаз сырьевого цикла и при росте неопределенности внешнего спроса. </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Существенная концентрация портфеля в металлургическом секторе ограничивает действие межотраслевой диверсификации: колебания ценовых факторов, общие для эмитентов отрасли (например, динамика мировых цен на металлы, валютные курсы, логистические ограничения и изменения экспортных потоков), приводят к высокой синхронности доходностей, вследствие чего волатильность портфеля сглаживается в ограниченной степени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[33, с. 14]</w:t>
      </w:r>
      <w:r w:rsidRPr="004605F7">
        <w:rPr>
          <w:rFonts w:ascii="Times New Roman" w:hAnsi="Times New Roman" w:cs="Times New Roman"/>
          <w:sz w:val="28"/>
          <w:szCs w:val="28"/>
          <w:lang w:val="ru-RU"/>
        </w:rPr>
        <w:t xml:space="preserve">. </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Метрика максимальной просадки (</w:t>
      </w:r>
      <w:proofErr w:type="spellStart"/>
      <w:r w:rsidRPr="004605F7">
        <w:rPr>
          <w:rFonts w:ascii="Times New Roman" w:hAnsi="Times New Roman" w:cs="Times New Roman"/>
          <w:sz w:val="28"/>
          <w:szCs w:val="28"/>
          <w:lang w:val="ru-RU"/>
        </w:rPr>
        <w:t>Maximum</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Drawdown</w:t>
      </w:r>
      <w:proofErr w:type="spellEnd"/>
      <w:r w:rsidRPr="004605F7">
        <w:rPr>
          <w:rFonts w:ascii="Times New Roman" w:hAnsi="Times New Roman" w:cs="Times New Roman"/>
          <w:sz w:val="28"/>
          <w:szCs w:val="28"/>
          <w:lang w:val="ru-RU"/>
        </w:rPr>
        <w:t>) также характеризуется повышенными значениями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[24, с. 230]</w:t>
      </w:r>
      <w:r w:rsidRPr="004605F7">
        <w:rPr>
          <w:rFonts w:ascii="Times New Roman" w:hAnsi="Times New Roman" w:cs="Times New Roman"/>
          <w:sz w:val="28"/>
          <w:szCs w:val="28"/>
          <w:lang w:val="ru-RU"/>
        </w:rPr>
        <w:t>. Данное обстоятельство согласуется с цикличностью сырьевых рынков: в фазы снижения мировых цен на металлы и ухудшения ожиданий по маржинальности компаний портфель фиксирует выраженные отрицательные переоценки СЧА, а отсутствие в структуре защитных инструментов или компенсирующих факторов (например, активов с иной чувствительностью к сырьевым ценам) не позволяет существенно ограничить глубину падения. В этом контексте максимальная просадка выступает не только как статистическая характеристика, но и как эмпирический индикатор уязвимости стратегии к неблагоприятным сценариям.</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Коэффициенты эффективности (Шарп, </w:t>
      </w:r>
      <w:proofErr w:type="spellStart"/>
      <w:r w:rsidRPr="004605F7">
        <w:rPr>
          <w:rFonts w:ascii="Times New Roman" w:hAnsi="Times New Roman" w:cs="Times New Roman"/>
          <w:sz w:val="28"/>
          <w:szCs w:val="28"/>
          <w:lang w:val="ru-RU"/>
        </w:rPr>
        <w:t>Сортино</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Трейнор</w:t>
      </w:r>
      <w:proofErr w:type="spellEnd"/>
      <w:r w:rsidRPr="004605F7">
        <w:rPr>
          <w:rFonts w:ascii="Times New Roman" w:hAnsi="Times New Roman" w:cs="Times New Roman"/>
          <w:sz w:val="28"/>
          <w:szCs w:val="28"/>
          <w:lang w:val="ru-RU"/>
        </w:rPr>
        <w:t>). Указанная группа индикаторов предназначена для оценки премии, которую инвестор получает за принятие риска, и тем самым переводит обсуждение из плоскости «абсолютной доходности» в плоскость «компенсации за риск» с учетом альтернативных возможностей размещения капитала</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112]</w:t>
      </w:r>
      <w:r w:rsidRPr="004605F7">
        <w:rPr>
          <w:rFonts w:ascii="Times New Roman" w:hAnsi="Times New Roman" w:cs="Times New Roman"/>
          <w:sz w:val="28"/>
          <w:szCs w:val="28"/>
          <w:lang w:val="ru-RU"/>
        </w:rPr>
        <w:t>.</w:t>
      </w:r>
    </w:p>
    <w:p w:rsidR="00EC4086" w:rsidRPr="004605F7" w:rsidRDefault="00EC4086" w:rsidP="004605F7">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lastRenderedPageBreak/>
        <w:t>Коэффициент Шарпа (</w:t>
      </w:r>
      <w:proofErr w:type="spellStart"/>
      <w:r w:rsidRPr="004605F7">
        <w:rPr>
          <w:rFonts w:ascii="Times New Roman" w:hAnsi="Times New Roman" w:cs="Times New Roman"/>
          <w:sz w:val="28"/>
          <w:szCs w:val="28"/>
          <w:lang w:val="ru-RU"/>
        </w:rPr>
        <w:t>Sharpe</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При условном принятии средней доходности базовых акти</w:t>
      </w:r>
      <w:r w:rsidR="008F5DD0">
        <w:rPr>
          <w:rFonts w:ascii="Times New Roman" w:hAnsi="Times New Roman" w:cs="Times New Roman"/>
          <w:sz w:val="28"/>
          <w:szCs w:val="28"/>
          <w:lang w:val="ru-RU"/>
        </w:rPr>
        <w:t xml:space="preserve">вов портфеля на уровне </w:t>
      </w:r>
      <w:r w:rsidR="00205FD5">
        <w:rPr>
          <w:rFonts w:ascii="Times New Roman" w:hAnsi="Times New Roman" w:cs="Times New Roman"/>
          <w:sz w:val="28"/>
          <w:szCs w:val="28"/>
          <w:lang w:val="ru-RU"/>
        </w:rPr>
        <w:t>11-13%</w:t>
      </w:r>
      <w:r w:rsidRPr="004605F7">
        <w:rPr>
          <w:rFonts w:ascii="Times New Roman" w:hAnsi="Times New Roman" w:cs="Times New Roman"/>
          <w:sz w:val="28"/>
          <w:szCs w:val="28"/>
          <w:lang w:val="ru-RU"/>
        </w:rPr>
        <w:t xml:space="preserve"> и сопоставлении ее с безрисковой ставкой, отражаемой доходностью долгосрочных ОФЗ, расчетная величина коэффициента Шарпа для ОПИФ укладывается в интервал </w:t>
      </w:r>
      <m:oMath>
        <m:r>
          <w:rPr>
            <w:rFonts w:ascii="Cambria Math" w:hAnsi="Times New Roman" w:cs="Times New Roman"/>
            <w:sz w:val="28"/>
            <w:szCs w:val="28"/>
            <w:lang w:val="ru-RU"/>
          </w:rPr>
          <m:t xml:space="preserve">0 &lt; </m:t>
        </m:r>
        <m:sSub>
          <m:sSubPr>
            <m:ctrlPr>
              <w:rPr>
                <w:rFonts w:ascii="Cambria Math" w:hAnsi="Times New Roman"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Times New Roman" w:cs="Times New Roman"/>
                    <w:i/>
                    <w:sz w:val="28"/>
                    <w:szCs w:val="28"/>
                    <w:lang w:val="ru-RU"/>
                  </w:rPr>
                </m:ctrlPr>
              </m:dPr>
              <m:e>
                <m:r>
                  <w:rPr>
                    <w:rFonts w:ascii="Cambria Math" w:hAnsi="Cambria Math" w:cs="Times New Roman"/>
                    <w:sz w:val="28"/>
                    <w:szCs w:val="28"/>
                    <w:lang w:val="ru-RU"/>
                  </w:rPr>
                  <m:t>S</m:t>
                </m:r>
                <m:r>
                  <w:rPr>
                    <w:rFonts w:ascii="Times New Roman" w:hAnsi="Times New Roman" w:cs="Times New Roman"/>
                    <w:sz w:val="28"/>
                    <w:szCs w:val="28"/>
                    <w:lang w:val="ru-RU"/>
                  </w:rPr>
                  <m:t>h</m:t>
                </m:r>
                <m:r>
                  <w:rPr>
                    <w:rFonts w:ascii="Cambria Math" w:hAnsi="Cambria Math" w:cs="Times New Roman"/>
                    <w:sz w:val="28"/>
                    <w:szCs w:val="28"/>
                    <w:lang w:val="ru-RU"/>
                  </w:rPr>
                  <m:t>arpe</m:t>
                </m:r>
              </m:e>
            </m:d>
          </m:sub>
        </m:sSub>
        <m:r>
          <w:rPr>
            <w:rFonts w:ascii="Cambria Math" w:hAnsi="Times New Roman" w:cs="Times New Roman"/>
            <w:sz w:val="28"/>
            <w:szCs w:val="28"/>
            <w:lang w:val="ru-RU"/>
          </w:rPr>
          <m:t>&lt; 1</m:t>
        </m:r>
      </m:oMath>
      <w:r w:rsidRPr="004605F7">
        <w:rPr>
          <w:rFonts w:ascii="Times New Roman" w:hAnsi="Times New Roman" w:cs="Times New Roman"/>
          <w:sz w:val="28"/>
          <w:szCs w:val="28"/>
          <w:lang w:val="ru-RU"/>
        </w:rPr>
        <w:t>. В терминах академической интерпретации это означает, что портфель демонстрирует положительную доходность относительно безрисковой альтернативы, однако риск, принимаемый инвестором, оказывается значительным по сравнению с получаемой премией. Иными словами, наблюдаемая доходность не сопровождается пропорционально высокой компенсацией за волатильность, что типично для стратегий, чувствительных к циклическим отраслевым факторам</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[25, с. 156]</w:t>
      </w:r>
      <w:r w:rsidRPr="004605F7">
        <w:rPr>
          <w:rFonts w:ascii="Times New Roman" w:hAnsi="Times New Roman" w:cs="Times New Roman"/>
          <w:sz w:val="28"/>
          <w:szCs w:val="28"/>
          <w:lang w:val="ru-RU"/>
        </w:rPr>
        <w:t>.</w:t>
      </w:r>
    </w:p>
    <w:p w:rsidR="00EC4086" w:rsidRPr="004605F7" w:rsidRDefault="00EC4086" w:rsidP="004605F7">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 </w:t>
      </w:r>
      <w:proofErr w:type="spellStart"/>
      <w:r w:rsidRPr="004605F7">
        <w:rPr>
          <w:rFonts w:ascii="Times New Roman" w:hAnsi="Times New Roman" w:cs="Times New Roman"/>
          <w:sz w:val="28"/>
          <w:szCs w:val="28"/>
          <w:lang w:val="ru-RU"/>
        </w:rPr>
        <w:t>Сортино</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Sortino</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Поскольку данный показатель учитывает преимущественно риск отрицательных отклонений (</w:t>
      </w:r>
      <w:proofErr w:type="spellStart"/>
      <w:r w:rsidRPr="004605F7">
        <w:rPr>
          <w:rFonts w:ascii="Times New Roman" w:hAnsi="Times New Roman" w:cs="Times New Roman"/>
          <w:sz w:val="28"/>
          <w:szCs w:val="28"/>
          <w:lang w:val="ru-RU"/>
        </w:rPr>
        <w:t>downside</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risk</w:t>
      </w:r>
      <w:proofErr w:type="spellEnd"/>
      <w:r w:rsidRPr="004605F7">
        <w:rPr>
          <w:rFonts w:ascii="Times New Roman" w:hAnsi="Times New Roman" w:cs="Times New Roman"/>
          <w:sz w:val="28"/>
          <w:szCs w:val="28"/>
          <w:lang w:val="ru-RU"/>
        </w:rPr>
        <w:t xml:space="preserve">), его использование позволяет уточнить, насколько «неблагоприятная» часть распределения доходностей влияет на итоговую риск-скорректированную оценку. Применительно к металлургическим активам значимые нисходящие движения котировок, обусловленные ухудшением сырьевой конъюнктуры, снижением спроса и изменением ожиданий по прибыли, указывают на повышенную вероятность эпизодов существенных потерь. В результате </w:t>
      </w:r>
      <w:proofErr w:type="spellStart"/>
      <w:r w:rsidRPr="004605F7">
        <w:rPr>
          <w:rFonts w:ascii="Times New Roman" w:hAnsi="Times New Roman" w:cs="Times New Roman"/>
          <w:sz w:val="28"/>
          <w:szCs w:val="28"/>
          <w:lang w:val="ru-RU"/>
        </w:rPr>
        <w:t>Sortino</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xml:space="preserve"> подтверждает вывод о том, что основная проблематика риска связана не столько с симметричными колебаниями, сколько с выраженной подверженностью неблагоприятным сценариям</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25, с. 158]</w:t>
      </w:r>
      <w:r w:rsidRPr="004605F7">
        <w:rPr>
          <w:rFonts w:ascii="Times New Roman" w:hAnsi="Times New Roman" w:cs="Times New Roman"/>
          <w:sz w:val="28"/>
          <w:szCs w:val="28"/>
          <w:lang w:val="ru-RU"/>
        </w:rPr>
        <w:t>.</w:t>
      </w:r>
    </w:p>
    <w:p w:rsidR="00EC4086" w:rsidRPr="00205FD5" w:rsidRDefault="00EC4086" w:rsidP="00205FD5">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Treynor</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xml:space="preserve">). Рассматривая доходность на единицу рыночного риска, данный индикатор позволяет оценить, какой вклад в результативность вносит систематическая компонента риска. Умеренные значения коэффициента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xml:space="preserve"> согласуются с предположением, что </w:t>
      </w:r>
      <w:r w:rsidRPr="004605F7">
        <w:rPr>
          <w:rFonts w:ascii="Times New Roman" w:hAnsi="Times New Roman" w:cs="Times New Roman"/>
          <w:sz w:val="28"/>
          <w:szCs w:val="28"/>
          <w:lang w:val="ru-RU"/>
        </w:rPr>
        <w:lastRenderedPageBreak/>
        <w:t>доходность фонда в значительной степени определяется общим движением рынка или сектора, а не устойчивым «избыточным» эффектом отбора активов. В прикладном смысле это приближает стратегию к отраслевой экспозиции, где ключевым источником результата выступает бета-эффект, а не специфическая компетенция активного управления.</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Метрики управления (Альфа Дженсена и Бета). Коэффициент Бета (</w:t>
      </w:r>
      <m:oMath>
        <m:r>
          <w:rPr>
            <w:rFonts w:ascii="Cambria Math" w:hAnsi="Cambria Math" w:cs="Times New Roman"/>
            <w:sz w:val="28"/>
            <w:szCs w:val="28"/>
            <w:lang w:val="ru-RU"/>
          </w:rPr>
          <m:t>beta</m:t>
        </m:r>
      </m:oMath>
      <w:r w:rsidRPr="004605F7">
        <w:rPr>
          <w:rFonts w:ascii="Times New Roman" w:hAnsi="Times New Roman" w:cs="Times New Roman"/>
          <w:sz w:val="28"/>
          <w:szCs w:val="28"/>
          <w:lang w:val="ru-RU"/>
        </w:rPr>
        <w:t xml:space="preserve">) используется для описания чувствительности портфеля к изменениям рыночного индекса и, следовательно, для выявления степени систематической зависимости результатов фонда от динамики бенчмарка. Для ключевых активов исторически наблюдаемый диапазон Бета составляет 0,86-1,06, вследствие чего совокупный </w:t>
      </w:r>
      <m:oMath>
        <m:r>
          <w:rPr>
            <w:rFonts w:ascii="Cambria Math" w:hAnsi="Cambria Math" w:cs="Times New Roman"/>
            <w:sz w:val="28"/>
            <w:szCs w:val="28"/>
            <w:lang w:val="ru-RU"/>
          </w:rPr>
          <m:t>be</m:t>
        </m:r>
      </m:oMath>
      <w:r w:rsidRPr="004605F7">
        <w:rPr>
          <w:rFonts w:ascii="Times New Roman" w:hAnsi="Times New Roman" w:cs="Times New Roman"/>
          <w:sz w:val="28"/>
          <w:szCs w:val="28"/>
          <w:lang w:val="ru-RU"/>
        </w:rPr>
        <w:t>-коэффициент фонда приближается к единице (</w:t>
      </w:r>
      <m:oMath>
        <m:r>
          <w:rPr>
            <w:rFonts w:ascii="Cambria Math" w:hAnsi="Times New Roman" w:cs="Times New Roman"/>
            <w:sz w:val="28"/>
            <w:szCs w:val="28"/>
            <w:lang w:val="ru-RU"/>
          </w:rPr>
          <m:t>β</m:t>
        </m:r>
        <m:r>
          <w:rPr>
            <w:rFonts w:ascii="Cambria Math" w:hAnsi="Times New Roman" w:cs="Times New Roman"/>
            <w:sz w:val="28"/>
            <w:szCs w:val="28"/>
            <w:lang w:val="ru-RU"/>
          </w:rPr>
          <m:t>*</m:t>
        </m:r>
        <m:r>
          <w:rPr>
            <w:rFonts w:ascii="Cambria Math" w:hAnsi="Times New Roman" w:cs="Times New Roman"/>
            <w:sz w:val="28"/>
            <w:szCs w:val="28"/>
            <w:lang w:val="ru-RU"/>
          </w:rPr>
          <m:t xml:space="preserve"> 1,0</m:t>
        </m:r>
      </m:oMath>
      <w:r w:rsidRPr="004605F7">
        <w:rPr>
          <w:rFonts w:ascii="Times New Roman" w:hAnsi="Times New Roman" w:cs="Times New Roman"/>
          <w:sz w:val="28"/>
          <w:szCs w:val="28"/>
          <w:lang w:val="ru-RU"/>
        </w:rPr>
        <w:t>). Такая конфигурация подразумевает, что портфель в среднем воспроизводит рыночные колебания и в ограниченной степени отклоняется от отраслевой динамики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120]</w:t>
      </w:r>
      <w:r w:rsidRPr="004605F7">
        <w:rPr>
          <w:rFonts w:ascii="Times New Roman" w:hAnsi="Times New Roman" w:cs="Times New Roman"/>
          <w:sz w:val="28"/>
          <w:szCs w:val="28"/>
          <w:lang w:val="ru-RU"/>
        </w:rPr>
        <w:t xml:space="preserve">. </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Метрика Альфа </w:t>
      </w:r>
      <w:proofErr w:type="spellStart"/>
      <w:r w:rsidRPr="004605F7">
        <w:rPr>
          <w:rFonts w:ascii="Times New Roman" w:hAnsi="Times New Roman" w:cs="Times New Roman"/>
          <w:sz w:val="28"/>
          <w:szCs w:val="28"/>
          <w:lang w:val="ru-RU"/>
        </w:rPr>
        <w:t>Дженсена</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Jensen’s</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Alpha</w:t>
      </w:r>
      <w:proofErr w:type="spellEnd"/>
      <w:r w:rsidRPr="004605F7">
        <w:rPr>
          <w:rFonts w:ascii="Times New Roman" w:hAnsi="Times New Roman" w:cs="Times New Roman"/>
          <w:sz w:val="28"/>
          <w:szCs w:val="28"/>
          <w:lang w:val="ru-RU"/>
        </w:rPr>
        <w:t xml:space="preserve">), ориентированная на оценку способности управляющего формировать результат сверх того, что объясняется систематическим риском, для данного фонда оказывается близкой к нулю с учетом комиссионных издержек. Это позволяет трактовать вклад активного управления как статистически и экономически ограниченный: дополнительные эффекты </w:t>
      </w:r>
      <w:proofErr w:type="spellStart"/>
      <w:r w:rsidRPr="004605F7">
        <w:rPr>
          <w:rFonts w:ascii="Times New Roman" w:hAnsi="Times New Roman" w:cs="Times New Roman"/>
          <w:sz w:val="28"/>
          <w:szCs w:val="28"/>
          <w:lang w:val="ru-RU"/>
        </w:rPr>
        <w:t>stock-picking</w:t>
      </w:r>
      <w:proofErr w:type="spellEnd"/>
      <w:r w:rsidRPr="004605F7">
        <w:rPr>
          <w:rFonts w:ascii="Times New Roman" w:hAnsi="Times New Roman" w:cs="Times New Roman"/>
          <w:sz w:val="28"/>
          <w:szCs w:val="28"/>
          <w:lang w:val="ru-RU"/>
        </w:rPr>
        <w:t xml:space="preserve"> не проявляются в виде устойчивой положительной альфы после учета затрат, сопровождающих управление</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135]</w:t>
      </w:r>
      <w:r w:rsidRPr="004605F7">
        <w:rPr>
          <w:rFonts w:ascii="Times New Roman" w:hAnsi="Times New Roman" w:cs="Times New Roman"/>
          <w:sz w:val="28"/>
          <w:szCs w:val="28"/>
          <w:lang w:val="ru-RU"/>
        </w:rPr>
        <w:t>.</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Технические метрики. Ошибка слежения (</w:t>
      </w:r>
      <w:proofErr w:type="spellStart"/>
      <w:r w:rsidRPr="004605F7">
        <w:rPr>
          <w:rFonts w:ascii="Times New Roman" w:hAnsi="Times New Roman" w:cs="Times New Roman"/>
          <w:sz w:val="28"/>
          <w:szCs w:val="28"/>
          <w:lang w:val="ru-RU"/>
        </w:rPr>
        <w:t>Tracking</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Error</w:t>
      </w:r>
      <w:proofErr w:type="spellEnd"/>
      <w:r w:rsidRPr="004605F7">
        <w:rPr>
          <w:rFonts w:ascii="Times New Roman" w:hAnsi="Times New Roman" w:cs="Times New Roman"/>
          <w:sz w:val="28"/>
          <w:szCs w:val="28"/>
          <w:lang w:val="ru-RU"/>
        </w:rPr>
        <w:t>) для анализируемого фонда характеризуется низкими значениями, что эмпирически указывает на жесткую привязку структуры портфеля к отраслевому индексу и на ограниченную свободу отклонений в целях активной генерации альфы. Коэффициент детерминации (</w:t>
      </w:r>
      <m:oMath>
        <m:sSup>
          <m:sSupPr>
            <m:ctrlPr>
              <w:rPr>
                <w:rFonts w:ascii="Cambria Math" w:hAnsi="Times New Roman" w:cs="Times New Roman"/>
                <w:i/>
                <w:sz w:val="28"/>
                <w:szCs w:val="28"/>
                <w:lang w:val="ru-RU"/>
              </w:rPr>
            </m:ctrlPr>
          </m:sSupPr>
          <m:e>
            <m:r>
              <w:rPr>
                <w:rFonts w:ascii="Cambria Math" w:hAnsi="Cambria Math" w:cs="Times New Roman"/>
                <w:sz w:val="28"/>
                <w:szCs w:val="28"/>
                <w:lang w:val="ru-RU"/>
              </w:rPr>
              <m:t>R</m:t>
            </m:r>
          </m:e>
          <m:sup>
            <m:r>
              <w:rPr>
                <w:rFonts w:ascii="Cambria Math" w:hAnsi="Times New Roman" w:cs="Times New Roman"/>
                <w:sz w:val="28"/>
                <w:szCs w:val="28"/>
                <w:lang w:val="ru-RU"/>
              </w:rPr>
              <m:t>2</m:t>
            </m:r>
          </m:sup>
        </m:sSup>
      </m:oMath>
      <w:r w:rsidRPr="004605F7">
        <w:rPr>
          <w:rFonts w:ascii="Times New Roman" w:hAnsi="Times New Roman" w:cs="Times New Roman"/>
          <w:sz w:val="28"/>
          <w:szCs w:val="28"/>
          <w:lang w:val="ru-RU"/>
        </w:rPr>
        <w:t>) находи</w:t>
      </w:r>
      <w:r w:rsidR="004605F7">
        <w:rPr>
          <w:rFonts w:ascii="Times New Roman" w:hAnsi="Times New Roman" w:cs="Times New Roman"/>
          <w:sz w:val="28"/>
          <w:szCs w:val="28"/>
          <w:lang w:val="ru-RU"/>
        </w:rPr>
        <w:t xml:space="preserve">тся на </w:t>
      </w:r>
      <w:r w:rsidR="004605F7">
        <w:rPr>
          <w:rFonts w:ascii="Times New Roman" w:hAnsi="Times New Roman" w:cs="Times New Roman"/>
          <w:sz w:val="28"/>
          <w:szCs w:val="28"/>
          <w:lang w:val="ru-RU"/>
        </w:rPr>
        <w:lastRenderedPageBreak/>
        <w:t>высоком уровне (свыше 90%), что означает: более 90</w:t>
      </w:r>
      <w:r w:rsidRPr="004605F7">
        <w:rPr>
          <w:rFonts w:ascii="Times New Roman" w:hAnsi="Times New Roman" w:cs="Times New Roman"/>
          <w:sz w:val="28"/>
          <w:szCs w:val="28"/>
          <w:lang w:val="ru-RU"/>
        </w:rPr>
        <w:t>% вариации стоимости пая объясняется движениями металлургического сектора. Подобная комбинация низкого</w:t>
      </w:r>
      <w:r w:rsidR="004605F7">
        <w:rPr>
          <w:rFonts w:ascii="Times New Roman" w:hAnsi="Times New Roman" w:cs="Times New Roman"/>
          <w:sz w:val="28"/>
          <w:szCs w:val="28"/>
          <w:lang w:val="ru-RU"/>
        </w:rPr>
        <w:t xml:space="preserve"> </w:t>
      </w:r>
      <w:proofErr w:type="spellStart"/>
      <w:r w:rsidR="004605F7">
        <w:rPr>
          <w:rFonts w:ascii="Times New Roman" w:hAnsi="Times New Roman" w:cs="Times New Roman"/>
          <w:sz w:val="28"/>
          <w:szCs w:val="28"/>
          <w:lang w:val="ru-RU"/>
        </w:rPr>
        <w:t>Tracking</w:t>
      </w:r>
      <w:proofErr w:type="spellEnd"/>
      <w:r w:rsidR="004605F7">
        <w:rPr>
          <w:rFonts w:ascii="Times New Roman" w:hAnsi="Times New Roman" w:cs="Times New Roman"/>
          <w:sz w:val="28"/>
          <w:szCs w:val="28"/>
          <w:lang w:val="ru-RU"/>
        </w:rPr>
        <w:t xml:space="preserve"> </w:t>
      </w:r>
      <w:proofErr w:type="spellStart"/>
      <w:r w:rsidR="004605F7">
        <w:rPr>
          <w:rFonts w:ascii="Times New Roman" w:hAnsi="Times New Roman" w:cs="Times New Roman"/>
          <w:sz w:val="28"/>
          <w:szCs w:val="28"/>
          <w:lang w:val="ru-RU"/>
        </w:rPr>
        <w:t>Error</w:t>
      </w:r>
      <w:proofErr w:type="spellEnd"/>
      <w:r w:rsidR="004605F7">
        <w:rPr>
          <w:rFonts w:ascii="Times New Roman" w:hAnsi="Times New Roman" w:cs="Times New Roman"/>
          <w:sz w:val="28"/>
          <w:szCs w:val="28"/>
          <w:lang w:val="ru-RU"/>
        </w:rPr>
        <w:t xml:space="preserve"> и высокого R</w:t>
      </w:r>
      <w:r w:rsidR="004605F7" w:rsidRPr="004605F7">
        <w:rPr>
          <w:rFonts w:ascii="Times New Roman" w:hAnsi="Times New Roman" w:cs="Times New Roman"/>
          <w:sz w:val="28"/>
          <w:szCs w:val="28"/>
          <w:vertAlign w:val="superscript"/>
          <w:lang w:val="ru-RU"/>
        </w:rPr>
        <w:t>2</w:t>
      </w:r>
      <w:r w:rsidRPr="004605F7">
        <w:rPr>
          <w:rFonts w:ascii="Times New Roman" w:hAnsi="Times New Roman" w:cs="Times New Roman"/>
          <w:sz w:val="28"/>
          <w:szCs w:val="28"/>
          <w:lang w:val="ru-RU"/>
        </w:rPr>
        <w:t xml:space="preserve"> типична для </w:t>
      </w:r>
      <w:proofErr w:type="spellStart"/>
      <w:r w:rsidRPr="004605F7">
        <w:rPr>
          <w:rFonts w:ascii="Times New Roman" w:hAnsi="Times New Roman" w:cs="Times New Roman"/>
          <w:sz w:val="28"/>
          <w:szCs w:val="28"/>
          <w:lang w:val="ru-RU"/>
        </w:rPr>
        <w:t>квази</w:t>
      </w:r>
      <w:proofErr w:type="spellEnd"/>
      <w:r w:rsidRPr="004605F7">
        <w:rPr>
          <w:rFonts w:ascii="Times New Roman" w:hAnsi="Times New Roman" w:cs="Times New Roman"/>
          <w:sz w:val="28"/>
          <w:szCs w:val="28"/>
          <w:lang w:val="ru-RU"/>
        </w:rPr>
        <w:t xml:space="preserve">-пассивных или </w:t>
      </w:r>
      <w:proofErr w:type="spellStart"/>
      <w:r w:rsidRPr="004605F7">
        <w:rPr>
          <w:rFonts w:ascii="Times New Roman" w:hAnsi="Times New Roman" w:cs="Times New Roman"/>
          <w:sz w:val="28"/>
          <w:szCs w:val="28"/>
          <w:lang w:val="ru-RU"/>
        </w:rPr>
        <w:t>индексоподобных</w:t>
      </w:r>
      <w:proofErr w:type="spellEnd"/>
      <w:r w:rsidRPr="004605F7">
        <w:rPr>
          <w:rFonts w:ascii="Times New Roman" w:hAnsi="Times New Roman" w:cs="Times New Roman"/>
          <w:sz w:val="28"/>
          <w:szCs w:val="28"/>
          <w:lang w:val="ru-RU"/>
        </w:rPr>
        <w:t xml:space="preserve"> стратегий, где основная часть результата заранее задается секторной экспозицией, а не активными решениями по перераспределению риска между эмитентами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22, с. 54]</w:t>
      </w:r>
      <w:r w:rsidRPr="004605F7">
        <w:rPr>
          <w:rFonts w:ascii="Times New Roman" w:hAnsi="Times New Roman" w:cs="Times New Roman"/>
          <w:sz w:val="28"/>
          <w:szCs w:val="28"/>
          <w:lang w:val="ru-RU"/>
        </w:rPr>
        <w:t>.</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Комплексная оценка финансово-экономического состояния и качества портфеля ОПИФ РФИ «ВИМ-Металлургия» в целом согласуется с выдвинутой исследовательской гипотезой. Расчет и интерпретация классических метрик (коэффициенты Шарпа,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Бета) позволяют описать преимущественно ретроспективную эффективность: фонд воспроизводит отраслевую и рыночную динамику, при этом риск-скорректированная премия за принимаемый специфический риск выглядит ограниченной</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110]</w:t>
      </w:r>
      <w:r w:rsidRPr="004605F7">
        <w:rPr>
          <w:rFonts w:ascii="Times New Roman" w:hAnsi="Times New Roman" w:cs="Times New Roman"/>
          <w:sz w:val="28"/>
          <w:szCs w:val="28"/>
          <w:lang w:val="ru-RU"/>
        </w:rPr>
        <w:t xml:space="preserve">. </w:t>
      </w:r>
    </w:p>
    <w:p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В терминах портфельной теории это означает, что инвестор получает экспозицию к сектору с выраженной цикличностью, однако компенсация за концентрацию и высокую чувствительность к внешним шокам не выглядит достаточной при сопоставлении с альтернативами, имеющими более сбалансированный профиль риска.</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Проведенный фундаментальный анализ объектов инвестирования, в свою очередь, указывает на то, что внешне устойчивые рыночные траектории могут сочетаться с менее очевидными внутренними рисками эмитентов, включая долговую нагрузку, зависимость от экспортных рынков, колебания операционных маржин и уязвимость к регуляторным изменениям. </w:t>
      </w:r>
    </w:p>
    <w:p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В совокупности это подчеркивает важность интеграции классических портфельных метрик с процедурами фундаментальной диагностики: статистические показатели демонстрируют характер риска и степень </w:t>
      </w:r>
      <w:r w:rsidRPr="004605F7">
        <w:rPr>
          <w:rFonts w:ascii="Times New Roman" w:hAnsi="Times New Roman" w:cs="Times New Roman"/>
          <w:sz w:val="28"/>
          <w:szCs w:val="28"/>
          <w:lang w:val="ru-RU"/>
        </w:rPr>
        <w:lastRenderedPageBreak/>
        <w:t>«</w:t>
      </w:r>
      <w:proofErr w:type="spellStart"/>
      <w:r w:rsidRPr="004605F7">
        <w:rPr>
          <w:rFonts w:ascii="Times New Roman" w:hAnsi="Times New Roman" w:cs="Times New Roman"/>
          <w:sz w:val="28"/>
          <w:szCs w:val="28"/>
          <w:lang w:val="ru-RU"/>
        </w:rPr>
        <w:t>индексоподобности</w:t>
      </w:r>
      <w:proofErr w:type="spellEnd"/>
      <w:r w:rsidRPr="004605F7">
        <w:rPr>
          <w:rFonts w:ascii="Times New Roman" w:hAnsi="Times New Roman" w:cs="Times New Roman"/>
          <w:sz w:val="28"/>
          <w:szCs w:val="28"/>
          <w:lang w:val="ru-RU"/>
        </w:rPr>
        <w:t>» стратегии, тогда как фундаментальные данные позволяют уточнить природу возможных негативных сценариев на уровне отдельных компаний. В рамках такой связки становится более заметной избыточная концентрация портфеля и присутствие факторов, которые потенциально могут трансформироваться в угрозы для устойчивости ряда базовых эмитентов</w:t>
      </w:r>
      <w:r w:rsidR="00205FD5">
        <w:rPr>
          <w:rFonts w:ascii="Times New Roman" w:hAnsi="Times New Roman" w:cs="Times New Roman"/>
          <w:sz w:val="28"/>
          <w:szCs w:val="28"/>
          <w:lang w:val="ru-RU"/>
        </w:rPr>
        <w:t xml:space="preserve"> [11, с. 42</w:t>
      </w:r>
      <w:r w:rsidR="00205FD5" w:rsidRPr="00205FD5">
        <w:rPr>
          <w:rFonts w:ascii="Times New Roman" w:hAnsi="Times New Roman" w:cs="Times New Roman"/>
          <w:sz w:val="28"/>
          <w:szCs w:val="28"/>
          <w:lang w:val="ru-RU"/>
        </w:rPr>
        <w:t>]</w:t>
      </w:r>
      <w:r w:rsidRPr="004605F7">
        <w:rPr>
          <w:rFonts w:ascii="Times New Roman" w:hAnsi="Times New Roman" w:cs="Times New Roman"/>
          <w:sz w:val="28"/>
          <w:szCs w:val="28"/>
          <w:lang w:val="ru-RU"/>
        </w:rPr>
        <w:t xml:space="preserve">. </w:t>
      </w:r>
    </w:p>
    <w:p w:rsidR="00FE64C3"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Следовательно, формируется аргументированная необходимость ребалансировки, а также разработки практико-ориентированных рекомендаций, направленных на повышение качества риск-</w:t>
      </w:r>
      <w:proofErr w:type="spellStart"/>
      <w:r w:rsidRPr="004605F7">
        <w:rPr>
          <w:rFonts w:ascii="Times New Roman" w:hAnsi="Times New Roman" w:cs="Times New Roman"/>
          <w:sz w:val="28"/>
          <w:szCs w:val="28"/>
          <w:lang w:val="ru-RU"/>
        </w:rPr>
        <w:t>доходностного</w:t>
      </w:r>
      <w:proofErr w:type="spellEnd"/>
      <w:r w:rsidRPr="004605F7">
        <w:rPr>
          <w:rFonts w:ascii="Times New Roman" w:hAnsi="Times New Roman" w:cs="Times New Roman"/>
          <w:sz w:val="28"/>
          <w:szCs w:val="28"/>
          <w:lang w:val="ru-RU"/>
        </w:rPr>
        <w:t xml:space="preserve"> профиля, расширение диверсификации и снижение чувствительности к неблагоприятным фазам отраслевого цикла, что предполагается развить в последующей главе исследования.</w:t>
      </w:r>
      <w:r w:rsidR="00FE64C3">
        <w:rPr>
          <w:rFonts w:ascii="Times New Roman" w:hAnsi="Times New Roman" w:cs="Times New Roman"/>
          <w:sz w:val="28"/>
          <w:szCs w:val="28"/>
          <w:lang w:val="ru-RU"/>
        </w:rPr>
        <w:br w:type="page"/>
      </w:r>
    </w:p>
    <w:p w:rsidR="002C229C" w:rsidRPr="002C229C" w:rsidRDefault="002C229C" w:rsidP="00675B6A">
      <w:pPr>
        <w:pStyle w:val="1"/>
        <w:spacing w:before="0" w:after="0" w:line="360" w:lineRule="auto"/>
        <w:ind w:firstLine="709"/>
        <w:rPr>
          <w:lang w:val="ru-RU"/>
        </w:rPr>
      </w:pPr>
      <w:bookmarkStart w:id="10" w:name="_Toc230938589"/>
      <w:r w:rsidRPr="002C229C">
        <w:rPr>
          <w:lang w:val="ru-RU"/>
        </w:rPr>
        <w:lastRenderedPageBreak/>
        <w:t>Глава 3.</w:t>
      </w:r>
      <w:r w:rsidR="00A30C68">
        <w:rPr>
          <w:lang w:val="ru-RU"/>
        </w:rPr>
        <w:t xml:space="preserve"> Р</w:t>
      </w:r>
      <w:r w:rsidRPr="002C229C">
        <w:rPr>
          <w:lang w:val="ru-RU"/>
        </w:rPr>
        <w:t>азработка рекомендаций повышения качества инвестиционного портфеля ОПИФ РФИ «ВИМ-Металлургия»</w:t>
      </w:r>
      <w:bookmarkEnd w:id="10"/>
    </w:p>
    <w:p w:rsidR="002C229C" w:rsidRDefault="002C229C" w:rsidP="00675B6A">
      <w:pPr>
        <w:pStyle w:val="2"/>
        <w:spacing w:before="0" w:after="0" w:line="360" w:lineRule="auto"/>
        <w:ind w:firstLine="709"/>
        <w:rPr>
          <w:lang w:val="ru-RU"/>
        </w:rPr>
      </w:pPr>
      <w:bookmarkStart w:id="11" w:name="_Toc230938590"/>
      <w:r w:rsidRPr="002C229C">
        <w:rPr>
          <w:lang w:val="ru-RU"/>
        </w:rPr>
        <w:t>3.1. Рекомендации по повышению доходности портфеля</w:t>
      </w:r>
      <w:bookmarkEnd w:id="11"/>
    </w:p>
    <w:p w:rsidR="004605F7" w:rsidRPr="004605F7" w:rsidRDefault="004605F7" w:rsidP="004605F7">
      <w:pPr>
        <w:rPr>
          <w:lang w:val="ru-RU"/>
        </w:rPr>
      </w:pP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Основываясь на результатах комплексного фундаментального и финансового анализа, проведенного в аналитической части исследования, можно констатировать, что текущая структура инвестиционного портфеля ОПИФ РФИ «ВИМ-Металлургия» обладает рядом существенных дисбалансов, негативно влияющих на совокупную доходность и повышающих профиль риска. Несмотря на то, что ядром портфеля выступают финансово устойчивые корпорации черной металлургии (ПАО «Северсталь», ПАО «ММК»), портфель неоправданно отягощен активами с перманентно снижающейся маржинальностью и высоким уровнем финансового левериджа.</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Наиболее слабой позицией выступают ценные бумаги МКПАО «ЭН+ ГРУП», демонстрирующие опасный уровень долговой нагрузки. Показатель отношения чистого долга к EBITDA данного холдинга превышает предельные нормативные значения, что в условиях жесткой денежно-кредитной политики и высоких процентных ставок ведет к критическому сжатию чистой рентабельности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25, с. 156]</w:t>
      </w:r>
      <w:r w:rsidRPr="002C229C">
        <w:rPr>
          <w:rFonts w:ascii="Times New Roman" w:hAnsi="Times New Roman" w:cs="Times New Roman"/>
          <w:color w:val="000000" w:themeColor="text1"/>
          <w:sz w:val="28"/>
          <w:szCs w:val="28"/>
          <w:lang w:val="ru-RU"/>
        </w:rPr>
        <w:t xml:space="preserve">. </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Аналогичным образом ПАО «ГМК «Норильский никель» в среднесрочной перспективе генерирует давление на доходность пая ввиду прохождения активной фазы капитальных затрат на фоне циклического падения мировых цен на корзину цветных металлов. Сохранение высокой концентрации капитала в данных активах экономически нецелесообразно. Для оптимизации финансовых результатов фонда существует строгая необходимость в тактической ребалансировке: сокращении доли или полном </w:t>
      </w:r>
      <w:r w:rsidRPr="002C229C">
        <w:rPr>
          <w:rFonts w:ascii="Times New Roman" w:hAnsi="Times New Roman" w:cs="Times New Roman"/>
          <w:color w:val="000000" w:themeColor="text1"/>
          <w:sz w:val="28"/>
          <w:szCs w:val="28"/>
          <w:lang w:val="ru-RU"/>
        </w:rPr>
        <w:lastRenderedPageBreak/>
        <w:t xml:space="preserve">исключении фундаментально слабых и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компаний</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[14, с. 180]</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качестве эффективной меры по улучшению качества и доходности инвестиционного портфеля предлагается замещение высвободившегося капитала акциями компаний золотодобывающего сегмента. Для включения в структуру ОПИФ предлагаются бумаги абсолютного лидера отечественной отрасли ПАО «Полюс», а также перспективные акции растущих компаний второго эшелона — ПАО «ЮГК» (Южуралзолото)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Интеграция данных эмитентов позволит сохранить формальную принадлежность ПИФа к металлургическому и горнодобывающему сектору в строгом соответствии с инвестиционной декларацией фонда, однако при этом качественно изменит его внутреннюю структуру и профиль риска</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90]</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указанных предприятий базируется на результатах финансового анализа и макроэкономической специфике золотодобывающего бизнеса. Исторически и эмпирически доказано, что инвестирование в драгоценные металлы выступает мощным инструментом диверсификации. Корреляция между ценами на сырьевое золото и классическими фондовыми индексами или котировками промышленных металлов традиционно невысока. Ценным бумагам золотодобывающих компа</w:t>
      </w:r>
      <w:r w:rsidR="004605F7">
        <w:rPr>
          <w:rFonts w:ascii="Times New Roman" w:hAnsi="Times New Roman" w:cs="Times New Roman"/>
          <w:color w:val="000000" w:themeColor="text1"/>
          <w:sz w:val="28"/>
          <w:szCs w:val="28"/>
          <w:lang w:val="ru-RU"/>
        </w:rPr>
        <w:t xml:space="preserve">ний присущ низкий коэффициент </w:t>
      </w:r>
      <m:oMath>
        <m:r>
          <w:rPr>
            <w:rFonts w:ascii="Cambria Math" w:hAnsi="Cambria Math" w:cs="Times New Roman"/>
            <w:color w:val="000000" w:themeColor="text1"/>
            <w:sz w:val="28"/>
            <w:szCs w:val="28"/>
            <w:lang w:val="ru-RU"/>
          </w:rPr>
          <m:t>β</m:t>
        </m:r>
      </m:oMath>
      <w:r w:rsidRPr="002C229C">
        <w:rPr>
          <w:rFonts w:ascii="Times New Roman" w:hAnsi="Times New Roman" w:cs="Times New Roman"/>
          <w:color w:val="000000" w:themeColor="text1"/>
          <w:sz w:val="28"/>
          <w:szCs w:val="28"/>
          <w:lang w:val="ru-RU"/>
        </w:rPr>
        <w:t>, что означает их малую чувствительность к общерыночным экономическим шокам и подтверждает их статус надежного защитного актива. В условиях турбулентности фондовых рынков именно такие инструменты позволяют фондам избегать глубоких просадок стоимости чистых активов.</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Краткий фундаментальный анализ ПАО «Полюс» демонстрирует эталонную инвестиционную привлекательность: компания генерирует стабильный рост объемов добычи, а исторические темпы роста производства </w:t>
      </w:r>
      <w:r w:rsidRPr="002C229C">
        <w:rPr>
          <w:rFonts w:ascii="Times New Roman" w:hAnsi="Times New Roman" w:cs="Times New Roman"/>
          <w:color w:val="000000" w:themeColor="text1"/>
          <w:sz w:val="28"/>
          <w:szCs w:val="28"/>
          <w:lang w:val="ru-RU"/>
        </w:rPr>
        <w:lastRenderedPageBreak/>
        <w:t>превышали 31% в рамках пятилетних циклов. Рентабельность собственного капитала ПАО «Полюс» стабильно удерживается на выдающемся уровне около 24%, что обусловлено благоприятной конъюнктурой на рынке драгметаллов и беспрецедентно жестким контролем над операционными издержками (компания обладает одними из самых низких совокупных денежных затрат на унцию в мире)</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[20, с. 78]</w:t>
      </w:r>
      <w:r w:rsidRPr="002C229C">
        <w:rPr>
          <w:rFonts w:ascii="Times New Roman" w:hAnsi="Times New Roman" w:cs="Times New Roman"/>
          <w:color w:val="000000" w:themeColor="text1"/>
          <w:sz w:val="28"/>
          <w:szCs w:val="28"/>
          <w:lang w:val="ru-RU"/>
        </w:rPr>
        <w:t xml:space="preserve">. </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Уровень ликвидности ПАО «Полюс», ПАО «ЮГК»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xml:space="preserve">» оценивается как высокий благодаря непрерывной генерации свободного денежного потока от реализации золота. Риск банкротства данных предприятий, согласно классическим дискриминантным моделям Альтмана и </w:t>
      </w:r>
      <w:proofErr w:type="spellStart"/>
      <w:r w:rsidRPr="002C229C">
        <w:rPr>
          <w:rFonts w:ascii="Times New Roman" w:hAnsi="Times New Roman" w:cs="Times New Roman"/>
          <w:color w:val="000000" w:themeColor="text1"/>
          <w:sz w:val="28"/>
          <w:szCs w:val="28"/>
          <w:lang w:val="ru-RU"/>
        </w:rPr>
        <w:t>Таффлера</w:t>
      </w:r>
      <w:proofErr w:type="spellEnd"/>
      <w:r w:rsidRPr="002C229C">
        <w:rPr>
          <w:rFonts w:ascii="Times New Roman" w:hAnsi="Times New Roman" w:cs="Times New Roman"/>
          <w:color w:val="000000" w:themeColor="text1"/>
          <w:sz w:val="28"/>
          <w:szCs w:val="28"/>
          <w:lang w:val="ru-RU"/>
        </w:rPr>
        <w:t>, стремится к нулю. Дополнительным фактором привлекательности выступает активное освоение предприятиями новых месторождений, что гарантирует органический рост бизнеса в долгосрочной перспективе.</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Ожидаемый финансово-экономический эффект от реализации предложенного маневра носит комплексный синергетический характер. </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Во-первых, замена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активов на финансово устойчивых золотодобытчиков автоматически приведет к снижению средневзвешенной долговой нагрузки по всему инвестиционному портфелю фонда, повысив его совокупную автономность и платежеспособность. </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Во-вторых, высокая маржинальность золотодобывающего сектора напрямую транслируется в повышение интегрированного показателя рентабельности портфеля, что выступает фундаментальным драйвером долгосрочного роста стоимости чистых активов. </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В-третьих, включение защитных бумаг стабилизирует дисперсию фонда. В периоды циклических спадов мировых цен на сталь или алюминий, рост курсовой стоимости золота будет компенсировать убытки промышленных металлургов. Таким образом, активное управление </w:t>
      </w:r>
      <w:r w:rsidRPr="002C229C">
        <w:rPr>
          <w:rFonts w:ascii="Times New Roman" w:hAnsi="Times New Roman" w:cs="Times New Roman"/>
          <w:color w:val="000000" w:themeColor="text1"/>
          <w:sz w:val="28"/>
          <w:szCs w:val="28"/>
          <w:lang w:val="ru-RU"/>
        </w:rPr>
        <w:lastRenderedPageBreak/>
        <w:t>структурой и смещение фокуса в пользу драгоценных металлов позволит управляющему улучшить ключевые коэффициенты эффективности, преодолеть доходность бенчмарка и обеспечить пайщикам защиту капитала при сохранении высокой целевой доходности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[24, с. 301]</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proofErr w:type="gramStart"/>
      <w:r w:rsidRPr="002C229C">
        <w:rPr>
          <w:rFonts w:ascii="Times New Roman" w:hAnsi="Times New Roman" w:cs="Times New Roman"/>
          <w:color w:val="000000" w:themeColor="text1"/>
          <w:sz w:val="28"/>
          <w:szCs w:val="28"/>
          <w:lang w:val="ru-RU"/>
        </w:rPr>
        <w:t>Для всесторонней и объективной оценки эффективности</w:t>
      </w:r>
      <w:proofErr w:type="gramEnd"/>
      <w:r w:rsidRPr="002C229C">
        <w:rPr>
          <w:rFonts w:ascii="Times New Roman" w:hAnsi="Times New Roman" w:cs="Times New Roman"/>
          <w:color w:val="000000" w:themeColor="text1"/>
          <w:sz w:val="28"/>
          <w:szCs w:val="28"/>
          <w:lang w:val="ru-RU"/>
        </w:rPr>
        <w:t xml:space="preserve"> предложенной ребалансировки инвестиционного портфеля необходимо применение методов сценарного моделирования и стресс-тестирования. В современной финансовой науке сценарный анализ выступает обязательным инструментом стратегического планирования, позволяющим оценить потенциальное поведение активов при различных вариантах изменения ключевых макроэкономических параметров: динамики мировых цен на сырье, уровня инфляции, ключевой ставки Центрального банка и валютных курсов</w:t>
      </w:r>
      <w:r w:rsidR="00675B6A">
        <w:rPr>
          <w:rFonts w:ascii="Times New Roman" w:hAnsi="Times New Roman" w:cs="Times New Roman"/>
          <w:color w:val="000000" w:themeColor="text1"/>
          <w:sz w:val="28"/>
          <w:szCs w:val="28"/>
          <w:lang w:val="ru-RU"/>
        </w:rPr>
        <w:t xml:space="preserve"> [7, с. 112</w:t>
      </w:r>
      <w:r w:rsidR="00675B6A" w:rsidRPr="00675B6A">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В данном блоке проведено концептуальное моделирование обновленного портфеля, в котором ядро из предприятий черной и цветной металлургии диверсифицировано акциями золотодобывающего сегмента и смежных отраслей, в условиях трех вероятных макроэкономических сценариев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120]</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Пессимистичный сценарий (Стресс-тест). Данный сценарий предполагает резкое ухудшение глобальной экономической конъюнктуры, наступление глубокой мировой рецессии, существенное замедление темпов промышленного производства в странах Азиатско-Тихоокеанского региона и, как следствие, обвальное падение мировых цен на сталь, железную руду и цветные металлы. В подобных стрессовых условиях оригинальный, узкоотраслевой состав ОПИФ РФИ «ВИМ-Металлургия» неизбежно продемонстрировал бы критическую максимальную просадку, поскольку все акции внутри фонда имеют положительную корреляцию и обесцениваются синхронно.</w:t>
      </w:r>
    </w:p>
    <w:p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Однако оптимизированный портфель обладает встроенным структурным механизмом защиты. Включение в состав активов крупнейших золотодобывающих компаний радикально меняет профиль риска. Золото исторически выполняет функцию </w:t>
      </w:r>
      <w:proofErr w:type="spellStart"/>
      <w:r w:rsidRPr="002C229C">
        <w:rPr>
          <w:rFonts w:ascii="Times New Roman" w:hAnsi="Times New Roman" w:cs="Times New Roman"/>
          <w:color w:val="000000" w:themeColor="text1"/>
          <w:sz w:val="28"/>
          <w:szCs w:val="28"/>
          <w:lang w:val="ru-RU"/>
        </w:rPr>
        <w:t>контрцикличного</w:t>
      </w:r>
      <w:proofErr w:type="spellEnd"/>
      <w:r w:rsidRPr="002C229C">
        <w:rPr>
          <w:rFonts w:ascii="Times New Roman" w:hAnsi="Times New Roman" w:cs="Times New Roman"/>
          <w:color w:val="000000" w:themeColor="text1"/>
          <w:sz w:val="28"/>
          <w:szCs w:val="28"/>
          <w:lang w:val="ru-RU"/>
        </w:rPr>
        <w:t xml:space="preserve"> актива. В периоды глобальных рецессий, всплесков геополитической напряженности и падения фондовых рынков капитал институциональных и частных инвесторов массово перетекает в драгоценные металлы, что стимулирует экспоненциальный рост их котировок</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156]</w:t>
      </w:r>
      <w:r w:rsidRPr="002C229C">
        <w:rPr>
          <w:rFonts w:ascii="Times New Roman" w:hAnsi="Times New Roman" w:cs="Times New Roman"/>
          <w:color w:val="000000" w:themeColor="text1"/>
          <w:sz w:val="28"/>
          <w:szCs w:val="28"/>
          <w:lang w:val="ru-RU"/>
        </w:rPr>
        <w:t xml:space="preserve">. </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Соответственно, рост курсовой стоимости акций золотодобытчиков математически компенсирует убытки от отрицательной переоценки промышленных металлургических активов. Благодаря этому эффекту обратной корреляции просадка оптимизированного портфеля будет существенно меньше, чем у бенчмарка, и останется в рамках допустимого риск-лимита, защищая сбережения пайщиков от невосполнимых потерь.</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Базовый сценарий. Данный вариант развития макроэкономической ситуации характеризуется длительной стагнацией на глобальных сырьевых рынках, сохранением умеренно-высокого уровня инфляционного давления и поддержанием жесткой денежно-кредитной политики с высокими процентными ставками со стороны регулятора. В условиях дорогого заемного капитала компании с высокой долговой нагрузкой сталкиваются с критическим снижением чистой прибыли из-за опережающего роста процентных расходов на обслуживание корпоративного долга.</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противовес этому оптимизированный инвестиционный портфель сформирован исключительно из фундаментально устойчивых предприятий. Компании черной металлургии, такие как ПАО «Северсталь» и ПАО «ММК», обладают значительными запасами аккумулированной ликвидности и отрицательным чистым долгом. Данная структура баланса делает их </w:t>
      </w:r>
      <w:r w:rsidRPr="002C229C">
        <w:rPr>
          <w:rFonts w:ascii="Times New Roman" w:hAnsi="Times New Roman" w:cs="Times New Roman"/>
          <w:color w:val="000000" w:themeColor="text1"/>
          <w:sz w:val="28"/>
          <w:szCs w:val="28"/>
          <w:lang w:val="ru-RU"/>
        </w:rPr>
        <w:lastRenderedPageBreak/>
        <w:t>невосприимчивыми к высоким ставкам кредитования, а размещение свободных денежных средств на депозитах приносит им дополнительный процентный доход. Совместно с производителями минеральных удобрений, спрос на продукцию которых неэластичен и стабилен независимо от фазы промышленного цикла, данные предприятия способны генерировать мощный свободный денежный поток. Это обеспечит портфелю стабильные и высокие дивидендные выплаты, совокупный размер которых гарантированно превысит текущий уровень инфляции, обеспечивая вкладчикам фонда положительную реальную доходность даже при отсутствии ярко выраженного рыночного роста котировок</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[30, с. 22]</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Оптимистичный сценарий. Сценарий экономического роста базируется на предпосылках зарождения нового сырьевого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xml:space="preserve">, масштабного восстановления глобальных логистических цепочек, оживления мировой промышленности и умеренного ослабления курса национальной валюты. Ослабление рубля традиционно выступает мощным катализатором роста для </w:t>
      </w:r>
      <w:proofErr w:type="spellStart"/>
      <w:r w:rsidRPr="002C229C">
        <w:rPr>
          <w:rFonts w:ascii="Times New Roman" w:hAnsi="Times New Roman" w:cs="Times New Roman"/>
          <w:color w:val="000000" w:themeColor="text1"/>
          <w:sz w:val="28"/>
          <w:szCs w:val="28"/>
          <w:lang w:val="ru-RU"/>
        </w:rPr>
        <w:t>экспортно</w:t>
      </w:r>
      <w:proofErr w:type="spellEnd"/>
      <w:r w:rsidRPr="002C229C">
        <w:rPr>
          <w:rFonts w:ascii="Times New Roman" w:hAnsi="Times New Roman" w:cs="Times New Roman"/>
          <w:color w:val="000000" w:themeColor="text1"/>
          <w:sz w:val="28"/>
          <w:szCs w:val="28"/>
          <w:lang w:val="ru-RU"/>
        </w:rPr>
        <w:t xml:space="preserve"> ориентированной российской экономики, кратно увеличивая рублевую выручку корпораций и разгоняя их </w:t>
      </w:r>
      <w:proofErr w:type="spellStart"/>
      <w:r w:rsidRPr="002C229C">
        <w:rPr>
          <w:rFonts w:ascii="Times New Roman" w:hAnsi="Times New Roman" w:cs="Times New Roman"/>
          <w:color w:val="000000" w:themeColor="text1"/>
          <w:sz w:val="28"/>
          <w:szCs w:val="28"/>
          <w:lang w:val="ru-RU"/>
        </w:rPr>
        <w:t>маржинальность</w:t>
      </w:r>
      <w:proofErr w:type="spellEnd"/>
      <w:r w:rsidR="0094314F">
        <w:rPr>
          <w:rFonts w:ascii="Times New Roman" w:hAnsi="Times New Roman" w:cs="Times New Roman"/>
          <w:color w:val="000000" w:themeColor="text1"/>
          <w:sz w:val="28"/>
          <w:szCs w:val="28"/>
          <w:lang w:val="ru-RU"/>
        </w:rPr>
        <w:t xml:space="preserve"> [20, с. 110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данной фазе экономического цикла оптимизированный портфель в полной мере реализует свой огромный потенциал доходности. Базовые активы черной, цветной металлургии и химической промышленности обеспечат максимизацию чистой прибыли. Интегрированная конфигурация портфеля позволит ему продемонстрировать высокую чувствительность к растущему рынку, абсорбируя весь восходящий тренд Индекса </w:t>
      </w:r>
      <w:proofErr w:type="spellStart"/>
      <w:r w:rsidRPr="002C229C">
        <w:rPr>
          <w:rFonts w:ascii="Times New Roman" w:hAnsi="Times New Roman" w:cs="Times New Roman"/>
          <w:color w:val="000000" w:themeColor="text1"/>
          <w:sz w:val="28"/>
          <w:szCs w:val="28"/>
          <w:lang w:val="ru-RU"/>
        </w:rPr>
        <w:t>МосБиржи</w:t>
      </w:r>
      <w:proofErr w:type="spellEnd"/>
      <w:r w:rsidRPr="002C229C">
        <w:rPr>
          <w:rFonts w:ascii="Times New Roman" w:hAnsi="Times New Roman" w:cs="Times New Roman"/>
          <w:color w:val="000000" w:themeColor="text1"/>
          <w:sz w:val="28"/>
          <w:szCs w:val="28"/>
          <w:lang w:val="ru-RU"/>
        </w:rPr>
        <w:t xml:space="preserve">. При этом за счет предварительного отсева фундаментально слабых эмитентов и грамотного выбора наиболее рентабельных лидеров рынка, управляющий фондом сможет сгенерировать высокую избыточную доходность (Альфу </w:t>
      </w:r>
      <w:proofErr w:type="spellStart"/>
      <w:r w:rsidRPr="002C229C">
        <w:rPr>
          <w:rFonts w:ascii="Times New Roman" w:hAnsi="Times New Roman" w:cs="Times New Roman"/>
          <w:color w:val="000000" w:themeColor="text1"/>
          <w:sz w:val="28"/>
          <w:szCs w:val="28"/>
          <w:lang w:val="ru-RU"/>
        </w:rPr>
        <w:t>Дженсена</w:t>
      </w:r>
      <w:proofErr w:type="spellEnd"/>
      <w:r w:rsidRPr="002C229C">
        <w:rPr>
          <w:rFonts w:ascii="Times New Roman" w:hAnsi="Times New Roman" w:cs="Times New Roman"/>
          <w:color w:val="000000" w:themeColor="text1"/>
          <w:sz w:val="28"/>
          <w:szCs w:val="28"/>
          <w:lang w:val="ru-RU"/>
        </w:rPr>
        <w:t>, \</w:t>
      </w:r>
      <w:proofErr w:type="spellStart"/>
      <w:r w:rsidRPr="002C229C">
        <w:rPr>
          <w:rFonts w:ascii="Times New Roman" w:hAnsi="Times New Roman" w:cs="Times New Roman"/>
          <w:color w:val="000000" w:themeColor="text1"/>
          <w:sz w:val="28"/>
          <w:szCs w:val="28"/>
          <w:lang w:val="ru-RU"/>
        </w:rPr>
        <w:t>alpha</w:t>
      </w:r>
      <w:proofErr w:type="spellEnd"/>
      <w:r w:rsidRPr="002C229C">
        <w:rPr>
          <w:rFonts w:ascii="Times New Roman" w:hAnsi="Times New Roman" w:cs="Times New Roman"/>
          <w:color w:val="000000" w:themeColor="text1"/>
          <w:sz w:val="28"/>
          <w:szCs w:val="28"/>
          <w:lang w:val="ru-RU"/>
        </w:rPr>
        <w:t xml:space="preserve">), существенно обогнав пассивный отраслевой бенчмарк по </w:t>
      </w:r>
      <w:r w:rsidRPr="002C229C">
        <w:rPr>
          <w:rFonts w:ascii="Times New Roman" w:hAnsi="Times New Roman" w:cs="Times New Roman"/>
          <w:color w:val="000000" w:themeColor="text1"/>
          <w:sz w:val="28"/>
          <w:szCs w:val="28"/>
          <w:lang w:val="ru-RU"/>
        </w:rPr>
        <w:lastRenderedPageBreak/>
        <w:t>показателям чистой доходности за вычетом инфраструктурных комиссий</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120]</w:t>
      </w:r>
      <w:r w:rsidRPr="002C229C">
        <w:rPr>
          <w:rFonts w:ascii="Times New Roman" w:hAnsi="Times New Roman" w:cs="Times New Roman"/>
          <w:color w:val="000000" w:themeColor="text1"/>
          <w:sz w:val="28"/>
          <w:szCs w:val="28"/>
          <w:lang w:val="ru-RU"/>
        </w:rPr>
        <w:t>.</w:t>
      </w:r>
    </w:p>
    <w:p w:rsid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Резюмируя проведенное сценарное моделирование, можно с уверенностью утверждать, что предложенная оптимизация трансформирует уязвимый отраслевой фонд в стратегически сбалансированный инвестиционный инструмент институционального уровня. Сокращение концентрации в одном сегменте и внедрение защитных активов делают обновленный портфель устойчивым к любым макроэкономическим шокам. Интегрированная структура позволяет фонду эффективно минимизировать убытки в фазах рецессии, защищать капитал от инфляционного обесценения за счет дивидендных потоков в периоды стагнации и генерировать избыточную альфа-доходность на этапах экономического подъема, эмпирически подтверждая целесообразность активного фундаментального управления капиталом.</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p>
    <w:p w:rsidR="002C229C" w:rsidRDefault="002C229C" w:rsidP="004605F7">
      <w:pPr>
        <w:pStyle w:val="2"/>
        <w:spacing w:before="0" w:after="0" w:line="360" w:lineRule="auto"/>
        <w:rPr>
          <w:lang w:val="ru-RU"/>
        </w:rPr>
      </w:pPr>
      <w:bookmarkStart w:id="12" w:name="_Toc230938591"/>
      <w:r w:rsidRPr="002C229C">
        <w:rPr>
          <w:lang w:val="ru-RU"/>
        </w:rPr>
        <w:t>3.2. Рекомендации по диверсификации портфеля</w:t>
      </w:r>
      <w:bookmarkEnd w:id="12"/>
    </w:p>
    <w:p w:rsidR="002C229C" w:rsidRPr="002C229C" w:rsidRDefault="002C229C" w:rsidP="004605F7">
      <w:pPr>
        <w:spacing w:line="360" w:lineRule="auto"/>
        <w:jc w:val="both"/>
        <w:rPr>
          <w:rFonts w:ascii="Times New Roman" w:hAnsi="Times New Roman" w:cs="Times New Roman"/>
          <w:color w:val="000000" w:themeColor="text1"/>
          <w:sz w:val="28"/>
          <w:szCs w:val="28"/>
          <w:lang w:val="ru-RU"/>
        </w:rPr>
      </w:pP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Обоснование диверсификации. Как было убедительно доказано в ходе оценки отраслевой структуры ОПИФ РФИ «ВИМ-Металлургия», текущая аллокация активов фонда носит экстремально концентрированный характер: более 93% капитала сосредоточено в ценных бумагах компаний узкого сегмента. С позиций современной портфельной теории Гарри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и Уильяма Шарпа подобная структура нарушает базовые принципы управления капиталом</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[36; 37].</w:t>
      </w:r>
      <w:r w:rsidRPr="002C229C">
        <w:rPr>
          <w:rFonts w:ascii="Times New Roman" w:hAnsi="Times New Roman" w:cs="Times New Roman"/>
          <w:color w:val="000000" w:themeColor="text1"/>
          <w:sz w:val="28"/>
          <w:szCs w:val="28"/>
          <w:lang w:val="ru-RU"/>
        </w:rPr>
        <w:t>. Отсутствие диверсификации генерирует избыточную дисперсию и ставит стоимость чистых активов в жесткую зависимость от фаз единого глобального сырьевого цикла</w:t>
      </w:r>
      <w:r w:rsidR="0094314F">
        <w:rPr>
          <w:rFonts w:ascii="Times New Roman" w:hAnsi="Times New Roman" w:cs="Times New Roman"/>
          <w:color w:val="000000" w:themeColor="text1"/>
          <w:sz w:val="28"/>
          <w:szCs w:val="28"/>
          <w:lang w:val="ru-RU"/>
        </w:rPr>
        <w:t xml:space="preserve"> [25, с. 120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Высокая положительная ковариация между доходностями акций металлургических корпораций означает, что при наступлении неблагоприятной рыночной конъюнктуры портфель полностью лишен стабилизирующих механизмов. Это неизбежно выражается в глубоких просадках капитала пайщиков. Для фундаментального повышения качества инвестиционного портфеля и радикального улучшения показателей риск-скорректированной доходности критически необходимо снижение </w:t>
      </w:r>
      <w:proofErr w:type="spellStart"/>
      <w:r w:rsidRPr="002C229C">
        <w:rPr>
          <w:rFonts w:ascii="Times New Roman" w:hAnsi="Times New Roman" w:cs="Times New Roman"/>
          <w:color w:val="000000" w:themeColor="text1"/>
          <w:sz w:val="28"/>
          <w:szCs w:val="28"/>
          <w:lang w:val="ru-RU"/>
        </w:rPr>
        <w:t>внутрипортфельной</w:t>
      </w:r>
      <w:proofErr w:type="spellEnd"/>
      <w:r w:rsidRPr="002C229C">
        <w:rPr>
          <w:rFonts w:ascii="Times New Roman" w:hAnsi="Times New Roman" w:cs="Times New Roman"/>
          <w:color w:val="000000" w:themeColor="text1"/>
          <w:sz w:val="28"/>
          <w:szCs w:val="28"/>
          <w:lang w:val="ru-RU"/>
        </w:rPr>
        <w:t xml:space="preserve"> корреляции активов</w:t>
      </w:r>
      <w:r w:rsidR="0094314F">
        <w:rPr>
          <w:rFonts w:ascii="Times New Roman" w:hAnsi="Times New Roman" w:cs="Times New Roman"/>
          <w:color w:val="000000" w:themeColor="text1"/>
          <w:sz w:val="28"/>
          <w:szCs w:val="28"/>
          <w:lang w:val="ru-RU"/>
        </w:rPr>
        <w:t xml:space="preserve"> [20, с. 65</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Оптимальным решением, позволяющим сохранить индустриальный профиль ПИФа, но купировать системные риски, выступает расширение мандата фонда и включение в состав портфеля первоклассных инвестиционных инструментов из смежных секторов экономики.</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целях преодоления концентрационного риска и расширения инвестиционного горизонта предлагается интегрировать в структуру портфеля ценные бумаги крупнейших отечественных эмитентов из смежных отраслей: химической промышленности, транспортной логистики и электроэнергетики. Исторически данные сектора обладают умеренной корреляцией с общим промышленным производством, однако фазы их экономического роста детерминируются совершенно иными факторами ценообразования. В качестве оптимальных объектов для системной ребалансировки портфеля предлагаются публичные акционерные общества ПАО «ФосАгро», ПАО «Совкомфлот» и ПАО «Интер РАО».</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предложенных компаний строго обоснована их исключительной финансовой устойчивостью, подтвержденной методами фундаментального анализа, и их критической ролью в структурной трансформации национальной экономики</w:t>
      </w:r>
      <w:r w:rsidR="0094314F">
        <w:rPr>
          <w:rFonts w:ascii="Times New Roman" w:hAnsi="Times New Roman" w:cs="Times New Roman"/>
          <w:color w:val="000000" w:themeColor="text1"/>
          <w:sz w:val="28"/>
          <w:szCs w:val="28"/>
          <w:lang w:val="ru-RU"/>
        </w:rPr>
        <w:t xml:space="preserve"> [11, с. 132</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ПАО «ФосАгро» (химическая промышленность). Компания обладает неоспоримым статусом глобального лидера по производству высококачественных фосфорных удобрений с уникальной, экологически чистой ресурсной базой. Фундаментальный анализ подтверждает ее ведущие позиции по показателям рентабельности активов и операционной маржинальности. Динамика финансовых результатов ПАО «ФосАгро» зависит от глобального сельскохозяйственного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спроса на продовольствие и цен на газ на мировых биржах. Эти факторы практически не коррелируют с ценами на промышленные металлы. Включение данного эмитента обеспечит портфель солидными дивидендными потоками и выступит идеальным хеджем против стагнации в классической металлургии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[28, с. 30]</w:t>
      </w:r>
      <w:r w:rsidRPr="002C229C">
        <w:rPr>
          <w:rFonts w:ascii="Times New Roman" w:hAnsi="Times New Roman" w:cs="Times New Roman"/>
          <w:color w:val="000000" w:themeColor="text1"/>
          <w:sz w:val="28"/>
          <w:szCs w:val="28"/>
          <w:lang w:val="ru-RU"/>
        </w:rPr>
        <w:t>.</w:t>
      </w:r>
    </w:p>
    <w:p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ПАО «Совкомфлот» (транспортная логистика). В условиях беспрецедентного нарушения традиционных цепей поставок и масштабного перераспределения экспортных российских грузопотоков на рынки Глобального Юга и Востока, морская логистика выступает главным бенефициаром происходящей структурной перестройки. Транспортировка энергоносителей и сырья по долгосрочным контрактам, а также активное освоение Северного морского пути гарантируют компании стабильный, прогнозируемый денежный поток. Эмитент обладает высокой финансовой автономностью, а инвестирование в инфраструктурную логистику позволяет фонду извлекать прибыль из физических объемов экспорта сырья вне зависимости от локальных провалов спотовых цен на сами биржевые металлы</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[22, с. 105]</w:t>
      </w:r>
      <w:r w:rsidRPr="002C229C">
        <w:rPr>
          <w:rFonts w:ascii="Times New Roman" w:hAnsi="Times New Roman" w:cs="Times New Roman"/>
          <w:color w:val="000000" w:themeColor="text1"/>
          <w:sz w:val="28"/>
          <w:szCs w:val="28"/>
          <w:lang w:val="ru-RU"/>
        </w:rPr>
        <w:t>.</w:t>
      </w:r>
    </w:p>
    <w:p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ПАО «Интер РАО» (электроэнергетика). Энергетический сектор традиционно генерирует </w:t>
      </w:r>
      <w:proofErr w:type="spellStart"/>
      <w:r w:rsidRPr="002C229C">
        <w:rPr>
          <w:rFonts w:ascii="Times New Roman" w:hAnsi="Times New Roman" w:cs="Times New Roman"/>
          <w:color w:val="000000" w:themeColor="text1"/>
          <w:sz w:val="28"/>
          <w:szCs w:val="28"/>
          <w:lang w:val="ru-RU"/>
        </w:rPr>
        <w:t>высокопрогнозируемые</w:t>
      </w:r>
      <w:proofErr w:type="spellEnd"/>
      <w:r w:rsidRPr="002C229C">
        <w:rPr>
          <w:rFonts w:ascii="Times New Roman" w:hAnsi="Times New Roman" w:cs="Times New Roman"/>
          <w:color w:val="000000" w:themeColor="text1"/>
          <w:sz w:val="28"/>
          <w:szCs w:val="28"/>
          <w:lang w:val="ru-RU"/>
        </w:rPr>
        <w:t xml:space="preserve">, защищенные от внешних шоков внутренние финансовые потоки. Будучи надежным и крупнейшим </w:t>
      </w:r>
      <w:r w:rsidRPr="002C229C">
        <w:rPr>
          <w:rFonts w:ascii="Times New Roman" w:hAnsi="Times New Roman" w:cs="Times New Roman"/>
          <w:color w:val="000000" w:themeColor="text1"/>
          <w:sz w:val="28"/>
          <w:szCs w:val="28"/>
          <w:lang w:val="ru-RU"/>
        </w:rPr>
        <w:lastRenderedPageBreak/>
        <w:t xml:space="preserve">поставщиком электроэнергии для энергоемких промышленных мощностей страны, компания характеризуется колоссальным запасом финансовой прочности, огромной денежной подушкой на балансе, полным отсутствием критической долговой нагрузки и высочайшей способностью покрытия обязательств. Акции энергетического сектора исторически выполняют на фондовом рынке роль </w:t>
      </w:r>
      <w:proofErr w:type="spellStart"/>
      <w:r w:rsidRPr="002C229C">
        <w:rPr>
          <w:rFonts w:ascii="Times New Roman" w:hAnsi="Times New Roman" w:cs="Times New Roman"/>
          <w:color w:val="000000" w:themeColor="text1"/>
          <w:sz w:val="28"/>
          <w:szCs w:val="28"/>
          <w:lang w:val="ru-RU"/>
        </w:rPr>
        <w:t>квазиоблигаций</w:t>
      </w:r>
      <w:proofErr w:type="spellEnd"/>
      <w:r w:rsidRPr="002C229C">
        <w:rPr>
          <w:rFonts w:ascii="Times New Roman" w:hAnsi="Times New Roman" w:cs="Times New Roman"/>
          <w:color w:val="000000" w:themeColor="text1"/>
          <w:sz w:val="28"/>
          <w:szCs w:val="28"/>
          <w:lang w:val="ru-RU"/>
        </w:rPr>
        <w:t xml:space="preserve"> и защитных активов, эффективно сглаживая ценовые колебания агрессивных циклических инструментов внутри портфеля</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[19, с. 413]</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Практическая имплементация предложенных мер приведет к ярко выраженному синергетическому эффекту. Замещение части </w:t>
      </w:r>
      <w:proofErr w:type="spellStart"/>
      <w:r w:rsidRPr="002C229C">
        <w:rPr>
          <w:rFonts w:ascii="Times New Roman" w:hAnsi="Times New Roman" w:cs="Times New Roman"/>
          <w:color w:val="000000" w:themeColor="text1"/>
          <w:sz w:val="28"/>
          <w:szCs w:val="28"/>
          <w:lang w:val="ru-RU"/>
        </w:rPr>
        <w:t>высоковолатильных</w:t>
      </w:r>
      <w:proofErr w:type="spellEnd"/>
      <w:r w:rsidRPr="002C229C">
        <w:rPr>
          <w:rFonts w:ascii="Times New Roman" w:hAnsi="Times New Roman" w:cs="Times New Roman"/>
          <w:color w:val="000000" w:themeColor="text1"/>
          <w:sz w:val="28"/>
          <w:szCs w:val="28"/>
          <w:lang w:val="ru-RU"/>
        </w:rPr>
        <w:t xml:space="preserve"> металлургических активов стабильными бумагами химической промышленности, морской логистики и энергетики позволит кардинально уменьшить амплитуду колебаний стоимости пая. В результате такой тактической и стратегической ребалансировки ожидается существенный рост риск-скорректированной доходности, что выведет анализируемый фонд на принципиально новый уровень качества корпоративного управления инвестициями.</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Современная теория портфельного инвестирования базируется на строгом математическом моделировании оптимального соотношения ожидаемой доходности и совокупного риска. Главная концептуальная задача управляющего портфелем в рамках данной теории заключается в поиске эффективного фронта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 геометрического места точек в многомерном пространстве параметров, которые соответствуют портфелям, обеспечивающим абсолютный максимум ожидаемой доходности при жестко заданном уровне риска, либо абсолютный минимум риска при целевой требуемой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[20, с. 15]</w:t>
      </w:r>
      <w:r w:rsidRPr="002C229C">
        <w:rPr>
          <w:rFonts w:ascii="Times New Roman" w:hAnsi="Times New Roman" w:cs="Times New Roman"/>
          <w:color w:val="000000" w:themeColor="text1"/>
          <w:sz w:val="28"/>
          <w:szCs w:val="28"/>
          <w:lang w:val="ru-RU"/>
        </w:rPr>
        <w:t>.</w:t>
      </w:r>
    </w:p>
    <w:p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С математической точки зрения ожидаемая доходность инвестиционного портфеля вычисляется как линейная комбинация — средневзвешенная величина математических ожиданий доходностей всех входящих в него финансовых инструментов. Данная зависимость формализуется следующим уравнением</w:t>
      </w:r>
      <w:r w:rsidR="00B67275">
        <w:rPr>
          <w:rFonts w:ascii="Times New Roman" w:hAnsi="Times New Roman" w:cs="Times New Roman"/>
          <w:color w:val="000000" w:themeColor="text1"/>
          <w:sz w:val="28"/>
          <w:szCs w:val="28"/>
          <w:lang w:val="ru-RU"/>
        </w:rPr>
        <w:t xml:space="preserve"> (10)</w:t>
      </w:r>
      <w:r w:rsidRPr="002C229C">
        <w:rPr>
          <w:rFonts w:ascii="Times New Roman" w:hAnsi="Times New Roman" w:cs="Times New Roman"/>
          <w:color w:val="000000" w:themeColor="text1"/>
          <w:sz w:val="28"/>
          <w:szCs w:val="28"/>
          <w:lang w:val="ru-RU"/>
        </w:rPr>
        <w:t>:</w:t>
      </w:r>
    </w:p>
    <w:p w:rsidR="002C229C" w:rsidRPr="002C229C" w:rsidRDefault="00B67275" w:rsidP="002C229C">
      <w:pPr>
        <w:spacing w:line="360" w:lineRule="auto"/>
        <w:ind w:firstLine="709"/>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r>
          <w:rPr>
            <w:rFonts w:ascii="Cambria Math" w:hAnsi="Cambria Math" w:cs="Times New Roman"/>
            <w:color w:val="000000" w:themeColor="text1"/>
            <w:sz w:val="28"/>
            <w:szCs w:val="28"/>
            <w:lang w:val="ru-RU"/>
          </w:rPr>
          <m:t>E</m:t>
        </m:r>
        <m:d>
          <m:dPr>
            <m:ctrlPr>
              <w:rPr>
                <w:rFonts w:ascii="Cambria Math" w:hAnsi="Cambria Math" w:cs="Times New Roman"/>
                <w:i/>
                <w:color w:val="000000" w:themeColor="text1"/>
                <w:sz w:val="28"/>
                <w:szCs w:val="28"/>
                <w:lang w:val="ru-RU"/>
              </w:rPr>
            </m:ctrlPr>
          </m:dPr>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r>
          <w:rPr>
            <w:rFonts w:ascii="Cambria Math" w:hAnsi="Cambria Math" w:cs="Times New Roman"/>
            <w:color w:val="000000" w:themeColor="text1"/>
            <w:sz w:val="28"/>
            <w:szCs w:val="28"/>
            <w:lang w:val="ru-RU"/>
          </w:rPr>
          <m:t xml:space="preserve">= </m:t>
        </m:r>
        <m:nary>
          <m:naryPr>
            <m:chr m:val="∑"/>
            <m:supHide m:val="1"/>
            <m:ctrlPr>
              <w:rPr>
                <w:rFonts w:ascii="Cambria Math" w:hAnsi="Cambria Math" w:cs="Times New Roman"/>
                <w:i/>
                <w:color w:val="000000" w:themeColor="text1"/>
                <w:sz w:val="28"/>
                <w:szCs w:val="28"/>
                <w:lang w:val="ru-RU"/>
              </w:rPr>
            </m:ctrlPr>
          </m:naryPr>
          <m:sub>
            <m:sSubSup>
              <m:sSubSupPr>
                <m:ctrlPr>
                  <w:rPr>
                    <w:rFonts w:ascii="Cambria Math" w:hAnsi="Cambria Math" w:cs="Times New Roman"/>
                    <w:i/>
                    <w:color w:val="000000" w:themeColor="text1"/>
                    <w:sz w:val="28"/>
                    <w:szCs w:val="28"/>
                    <w:lang w:val="ru-RU"/>
                  </w:rPr>
                </m:ctrlPr>
              </m:sSubSupPr>
              <m:e>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i=1</m:t>
                    </m:r>
                  </m:e>
                </m:d>
              </m:e>
              <m:sub>
                <m:r>
                  <w:rPr>
                    <w:rFonts w:ascii="Cambria Math" w:hAnsi="Cambria Math" w:cs="Times New Roman"/>
                    <w:color w:val="000000" w:themeColor="text1"/>
                    <w:sz w:val="28"/>
                    <w:szCs w:val="28"/>
                    <w:lang w:val="ru-RU"/>
                  </w:rPr>
                  <m:t>i</m:t>
                </m:r>
              </m:sub>
              <m:sup>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n</m:t>
                    </m:r>
                  </m:e>
                </m:d>
                <m:r>
                  <w:rPr>
                    <w:rFonts w:ascii="Cambria Math" w:hAnsi="Cambria Math" w:cs="Times New Roman"/>
                    <w:color w:val="000000" w:themeColor="text1"/>
                    <w:sz w:val="28"/>
                    <w:szCs w:val="28"/>
                    <w:lang w:val="ru-RU"/>
                  </w:rPr>
                  <m:t>w</m:t>
                </m:r>
              </m:sup>
            </m:sSubSup>
            <m:r>
              <w:rPr>
                <w:rFonts w:ascii="Cambria Math" w:hAnsi="Cambria Math" w:cs="Times New Roman"/>
                <w:color w:val="000000" w:themeColor="text1"/>
                <w:sz w:val="28"/>
                <w:szCs w:val="28"/>
                <w:lang w:val="ru-RU"/>
              </w:rPr>
              <m:t>E</m:t>
            </m:r>
            <m:d>
              <m:dPr>
                <m:ctrlPr>
                  <w:rPr>
                    <w:rFonts w:ascii="Cambria Math" w:hAnsi="Cambria Math" w:cs="Times New Roman"/>
                    <w:i/>
                    <w:color w:val="000000" w:themeColor="text1"/>
                    <w:sz w:val="28"/>
                    <w:szCs w:val="28"/>
                    <w:lang w:val="ru-RU"/>
                  </w:rPr>
                </m:ctrlPr>
              </m:dPr>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i</m:t>
                    </m:r>
                  </m:sub>
                </m:sSub>
              </m:e>
            </m:d>
          </m:sub>
          <m:sup/>
          <m:e/>
        </m:nary>
      </m:oMath>
      <w:r>
        <w:rPr>
          <w:rFonts w:ascii="Times New Roman" w:hAnsi="Times New Roman" w:cs="Times New Roman"/>
          <w:color w:val="000000" w:themeColor="text1"/>
          <w:sz w:val="28"/>
          <w:szCs w:val="28"/>
          <w:lang w:val="ru-RU"/>
        </w:rPr>
        <w:t>,                                 (10)</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инвестиционного портфеля;</w:t>
      </w:r>
    </w:p>
    <w:p w:rsidR="002C229C" w:rsidRPr="00B67275" w:rsidRDefault="00A35768"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i</m:t>
            </m:r>
          </m:sub>
        </m:sSub>
      </m:oMath>
      <w:r w:rsidR="008F5DD0">
        <w:rPr>
          <w:rFonts w:ascii="Times New Roman" w:hAnsi="Times New Roman" w:cs="Times New Roman"/>
          <w:color w:val="000000" w:themeColor="text1"/>
          <w:sz w:val="28"/>
          <w:szCs w:val="28"/>
          <w:lang w:val="ru-RU"/>
        </w:rPr>
        <w:t xml:space="preserve"> — удельный вес i</w:t>
      </w:r>
      <w:r w:rsidR="002C229C" w:rsidRPr="00B67275">
        <w:rPr>
          <w:rFonts w:ascii="Times New Roman" w:hAnsi="Times New Roman" w:cs="Times New Roman"/>
          <w:color w:val="000000" w:themeColor="text1"/>
          <w:sz w:val="28"/>
          <w:szCs w:val="28"/>
          <w:lang w:val="ru-RU"/>
        </w:rPr>
        <w:t>-</w:t>
      </w:r>
      <w:proofErr w:type="spellStart"/>
      <w:r w:rsidR="002C229C" w:rsidRPr="00B67275">
        <w:rPr>
          <w:rFonts w:ascii="Times New Roman" w:hAnsi="Times New Roman" w:cs="Times New Roman"/>
          <w:color w:val="000000" w:themeColor="text1"/>
          <w:sz w:val="28"/>
          <w:szCs w:val="28"/>
          <w:lang w:val="ru-RU"/>
        </w:rPr>
        <w:t>го</w:t>
      </w:r>
      <w:proofErr w:type="spellEnd"/>
      <w:r w:rsidR="002C229C" w:rsidRPr="00B67275">
        <w:rPr>
          <w:rFonts w:ascii="Times New Roman" w:hAnsi="Times New Roman" w:cs="Times New Roman"/>
          <w:color w:val="000000" w:themeColor="text1"/>
          <w:sz w:val="28"/>
          <w:szCs w:val="28"/>
          <w:lang w:val="ru-RU"/>
        </w:rPr>
        <w:t xml:space="preserve"> актива в структуре портфеля;</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i</m:t>
                </m:r>
              </m:sub>
            </m:sSub>
          </m:e>
        </m:d>
      </m:oMath>
      <w:r w:rsidRPr="00B67275">
        <w:rPr>
          <w:rFonts w:ascii="Times New Roman" w:hAnsi="Times New Roman" w:cs="Times New Roman"/>
          <w:color w:val="000000" w:themeColor="text1"/>
          <w:sz w:val="28"/>
          <w:szCs w:val="28"/>
          <w:lang w:val="ru-RU"/>
        </w:rPr>
        <w:t xml:space="preserve"> — ожидаемая</w:t>
      </w:r>
      <w:r w:rsidR="008F5DD0">
        <w:rPr>
          <w:rFonts w:ascii="Times New Roman" w:hAnsi="Times New Roman" w:cs="Times New Roman"/>
          <w:color w:val="000000" w:themeColor="text1"/>
          <w:sz w:val="28"/>
          <w:szCs w:val="28"/>
          <w:lang w:val="ru-RU"/>
        </w:rPr>
        <w:t xml:space="preserve"> (прогнозируемая) доходность i</w:t>
      </w:r>
      <w:r w:rsidRPr="00B67275">
        <w:rPr>
          <w:rFonts w:ascii="Times New Roman" w:hAnsi="Times New Roman" w:cs="Times New Roman"/>
          <w:color w:val="000000" w:themeColor="text1"/>
          <w:sz w:val="28"/>
          <w:szCs w:val="28"/>
          <w:lang w:val="ru-RU"/>
        </w:rPr>
        <w:t>-</w:t>
      </w:r>
      <w:proofErr w:type="spellStart"/>
      <w:r w:rsidRPr="00B67275">
        <w:rPr>
          <w:rFonts w:ascii="Times New Roman" w:hAnsi="Times New Roman" w:cs="Times New Roman"/>
          <w:color w:val="000000" w:themeColor="text1"/>
          <w:sz w:val="28"/>
          <w:szCs w:val="28"/>
          <w:lang w:val="ru-RU"/>
        </w:rPr>
        <w:t>го</w:t>
      </w:r>
      <w:proofErr w:type="spellEnd"/>
      <w:r w:rsidRPr="00B67275">
        <w:rPr>
          <w:rFonts w:ascii="Times New Roman" w:hAnsi="Times New Roman" w:cs="Times New Roman"/>
          <w:color w:val="000000" w:themeColor="text1"/>
          <w:sz w:val="28"/>
          <w:szCs w:val="28"/>
          <w:lang w:val="ru-RU"/>
        </w:rPr>
        <w:t xml:space="preserve"> актива;</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n</m:t>
        </m:r>
      </m:oMath>
      <w:r w:rsidRPr="00B67275">
        <w:rPr>
          <w:rFonts w:ascii="Times New Roman" w:hAnsi="Times New Roman" w:cs="Times New Roman"/>
          <w:color w:val="000000" w:themeColor="text1"/>
          <w:sz w:val="28"/>
          <w:szCs w:val="28"/>
          <w:lang w:val="ru-RU"/>
        </w:rPr>
        <w:t xml:space="preserve"> — общее количество активов в портфеле.</w:t>
      </w:r>
    </w:p>
    <w:p w:rsidR="0094314F"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Однако фундаментальным прорывом классической портфельной теории является строгое математическое доказательство того, что совокупный риск портфеля не равен простой средневзвешенной величине индивидуальных рисков составляющих его активов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156]</w:t>
      </w:r>
      <w:r w:rsidRPr="00B67275">
        <w:rPr>
          <w:rFonts w:ascii="Times New Roman" w:hAnsi="Times New Roman" w:cs="Times New Roman"/>
          <w:color w:val="000000" w:themeColor="text1"/>
          <w:sz w:val="28"/>
          <w:szCs w:val="28"/>
          <w:lang w:val="ru-RU"/>
        </w:rPr>
        <w:t xml:space="preserve">. </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Риск инвестиционного портфеля, </w:t>
      </w:r>
      <w:proofErr w:type="spellStart"/>
      <w:r w:rsidRPr="00B67275">
        <w:rPr>
          <w:rFonts w:ascii="Times New Roman" w:hAnsi="Times New Roman" w:cs="Times New Roman"/>
          <w:color w:val="000000" w:themeColor="text1"/>
          <w:sz w:val="28"/>
          <w:szCs w:val="28"/>
          <w:lang w:val="ru-RU"/>
        </w:rPr>
        <w:t>квантифицируемый</w:t>
      </w:r>
      <w:proofErr w:type="spellEnd"/>
      <w:r w:rsidRPr="00B67275">
        <w:rPr>
          <w:rFonts w:ascii="Times New Roman" w:hAnsi="Times New Roman" w:cs="Times New Roman"/>
          <w:color w:val="000000" w:themeColor="text1"/>
          <w:sz w:val="28"/>
          <w:szCs w:val="28"/>
          <w:lang w:val="ru-RU"/>
        </w:rPr>
        <w:t xml:space="preserve"> как дисперсия (</w:t>
      </w: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 xml:space="preserve">) </m:t>
        </m:r>
      </m:oMath>
      <w:r w:rsidRPr="00B67275">
        <w:rPr>
          <w:rFonts w:ascii="Times New Roman" w:hAnsi="Times New Roman" w:cs="Times New Roman"/>
          <w:color w:val="000000" w:themeColor="text1"/>
          <w:sz w:val="28"/>
          <w:szCs w:val="28"/>
          <w:lang w:val="ru-RU"/>
        </w:rPr>
        <w:t>или стандартное отклонение (</w:t>
      </w:r>
      <m:oMath>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en-US"/>
              </w:rPr>
              <m:t>p</m:t>
            </m:r>
          </m:sub>
        </m:sSub>
      </m:oMath>
      <w:r w:rsidRPr="00B67275">
        <w:rPr>
          <w:rFonts w:ascii="Times New Roman" w:hAnsi="Times New Roman" w:cs="Times New Roman"/>
          <w:color w:val="000000" w:themeColor="text1"/>
          <w:sz w:val="28"/>
          <w:szCs w:val="28"/>
          <w:lang w:val="ru-RU"/>
        </w:rPr>
        <w:t>), всецело и нелинейно зависит от степени статистической взаимосвязи между доходностями активов. Математически дисперсия портфеля выражается развернутой формулой</w:t>
      </w:r>
      <w:r w:rsidR="00B67275" w:rsidRPr="00B67275">
        <w:rPr>
          <w:rFonts w:ascii="Times New Roman" w:hAnsi="Times New Roman" w:cs="Times New Roman"/>
          <w:color w:val="000000" w:themeColor="text1"/>
          <w:sz w:val="28"/>
          <w:szCs w:val="28"/>
          <w:lang w:val="ru-RU"/>
        </w:rPr>
        <w:t xml:space="preserve"> (11)</w:t>
      </w:r>
      <w:r w:rsidRPr="00B67275">
        <w:rPr>
          <w:rFonts w:ascii="Times New Roman" w:hAnsi="Times New Roman" w:cs="Times New Roman"/>
          <w:color w:val="000000" w:themeColor="text1"/>
          <w:sz w:val="28"/>
          <w:szCs w:val="28"/>
          <w:lang w:val="ru-RU"/>
        </w:rPr>
        <w:t>:</w:t>
      </w:r>
    </w:p>
    <w:p w:rsidR="002C229C" w:rsidRPr="00B67275" w:rsidRDefault="00B67275" w:rsidP="002C229C">
      <w:pPr>
        <w:spacing w:line="360" w:lineRule="auto"/>
        <w:ind w:firstLine="709"/>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 xml:space="preserve"> σ</m:t>
            </m:r>
          </m:e>
          <m:sub>
            <m:r>
              <w:rPr>
                <w:rFonts w:ascii="Cambria Math" w:hAnsi="Cambria Math" w:cs="Times New Roman"/>
                <w:color w:val="000000" w:themeColor="text1"/>
                <w:sz w:val="28"/>
                <w:szCs w:val="28"/>
                <w:lang w:val="ru-RU"/>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 xml:space="preserve">= </m:t>
        </m:r>
        <m:nary>
          <m:naryPr>
            <m:chr m:val="∑"/>
            <m:ctrlPr>
              <w:rPr>
                <w:rFonts w:ascii="Cambria Math" w:hAnsi="Cambria Math" w:cs="Times New Roman"/>
                <w:i/>
                <w:color w:val="000000" w:themeColor="text1"/>
                <w:sz w:val="28"/>
                <w:szCs w:val="28"/>
                <w:lang w:val="ru-RU"/>
              </w:rPr>
            </m:ctrlPr>
          </m:naryPr>
          <m:sub>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i=1</m:t>
                </m:r>
              </m:e>
            </m:d>
          </m:sub>
          <m:sup>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n</m:t>
                </m:r>
              </m:e>
            </m:d>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i</m:t>
                </m:r>
              </m:sub>
              <m:sup>
                <m:r>
                  <w:rPr>
                    <w:rFonts w:ascii="Cambria Math" w:hAnsi="Cambria Math" w:cs="Times New Roman"/>
                    <w:color w:val="000000" w:themeColor="text1"/>
                    <w:sz w:val="28"/>
                    <w:szCs w:val="28"/>
                    <w:lang w:val="ru-RU"/>
                  </w:rPr>
                  <m:t>2</m:t>
                </m:r>
              </m:sup>
            </m:sSubSup>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up>
                <m:r>
                  <w:rPr>
                    <w:rFonts w:ascii="Cambria Math" w:hAnsi="Cambria Math" w:cs="Times New Roman"/>
                    <w:color w:val="000000" w:themeColor="text1"/>
                    <w:sz w:val="28"/>
                    <w:szCs w:val="28"/>
                    <w:lang w:val="ru-RU"/>
                  </w:rPr>
                  <m:t>2</m:t>
                </m:r>
              </m:sup>
            </m:sSubSup>
          </m:sup>
          <m:e/>
        </m:nary>
        <m:r>
          <w:rPr>
            <w:rFonts w:ascii="Cambria Math" w:hAnsi="Cambria Math" w:cs="Times New Roman"/>
            <w:color w:val="000000" w:themeColor="text1"/>
            <w:sz w:val="28"/>
            <w:szCs w:val="28"/>
            <w:lang w:val="ru-RU"/>
          </w:rPr>
          <m:t xml:space="preserve">+ </m:t>
        </m:r>
        <m:nary>
          <m:naryPr>
            <m:chr m:val="∑"/>
            <m:ctrlPr>
              <w:rPr>
                <w:rFonts w:ascii="Cambria Math" w:hAnsi="Cambria Math" w:cs="Times New Roman"/>
                <w:i/>
                <w:color w:val="000000" w:themeColor="text1"/>
                <w:sz w:val="28"/>
                <w:szCs w:val="28"/>
                <w:lang w:val="ru-RU"/>
              </w:rPr>
            </m:ctrlPr>
          </m:naryPr>
          <m:sub>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i=1</m:t>
                </m:r>
              </m:e>
            </m:d>
          </m:sub>
          <m:sup>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n</m:t>
                </m:r>
              </m:e>
            </m:d>
            <m:nary>
              <m:naryPr>
                <m:chr m:val="∑"/>
                <m:supHide m:val="1"/>
                <m:ctrlPr>
                  <w:rPr>
                    <w:rFonts w:ascii="Cambria Math" w:hAnsi="Cambria Math" w:cs="Times New Roman"/>
                    <w:i/>
                    <w:color w:val="000000" w:themeColor="text1"/>
                    <w:sz w:val="28"/>
                    <w:szCs w:val="28"/>
                    <w:lang w:val="ru-RU"/>
                  </w:rPr>
                </m:ctrlPr>
              </m:naryPr>
              <m:sub>
                <m:sSubSup>
                  <m:sSubSupPr>
                    <m:ctrlPr>
                      <w:rPr>
                        <w:rFonts w:ascii="Cambria Math" w:hAnsi="Cambria Math" w:cs="Times New Roman"/>
                        <w:i/>
                        <w:color w:val="000000" w:themeColor="text1"/>
                        <w:sz w:val="28"/>
                        <w:szCs w:val="28"/>
                        <w:lang w:val="ru-RU"/>
                      </w:rPr>
                    </m:ctrlPr>
                  </m:sSubSupPr>
                  <m:e>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j=1, j ≠i</m:t>
                        </m:r>
                      </m:e>
                    </m:d>
                  </m:e>
                  <m:sub>
                    <m:r>
                      <w:rPr>
                        <w:rFonts w:ascii="Cambria Math" w:hAnsi="Cambria Math" w:cs="Times New Roman"/>
                        <w:color w:val="000000" w:themeColor="text1"/>
                        <w:sz w:val="28"/>
                        <w:szCs w:val="28"/>
                        <w:lang w:val="ru-RU"/>
                      </w:rPr>
                      <m:t>i</m:t>
                    </m:r>
                  </m:sub>
                  <m:sup>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n</m:t>
                        </m:r>
                      </m:e>
                    </m:d>
                    <m:r>
                      <w:rPr>
                        <w:rFonts w:ascii="Cambria Math" w:hAnsi="Cambria Math" w:cs="Times New Roman"/>
                        <w:color w:val="000000" w:themeColor="text1"/>
                        <w:sz w:val="28"/>
                        <w:szCs w:val="28"/>
                        <w:lang w:val="ru-RU"/>
                      </w:rPr>
                      <m:t>w</m:t>
                    </m:r>
                  </m:sup>
                </m:sSubSup>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j</m:t>
                    </m:r>
                  </m:sub>
                </m:sSub>
              </m:sub>
              <m:sup/>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d>
                      <m:dPr>
                        <m:begChr m:val="{"/>
                        <m:endChr m:val="}"/>
                        <m:ctrlPr>
                          <w:rPr>
                            <w:rFonts w:ascii="Cambria Math" w:hAnsi="Cambria Math"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e>
            </m:nary>
          </m:sup>
          <m:e/>
        </m:nary>
      </m:oMath>
      <w:r>
        <w:rPr>
          <w:rFonts w:ascii="Times New Roman" w:hAnsi="Times New Roman" w:cs="Times New Roman"/>
          <w:color w:val="000000" w:themeColor="text1"/>
          <w:sz w:val="28"/>
          <w:szCs w:val="28"/>
          <w:lang w:val="ru-RU"/>
        </w:rPr>
        <w:t>,                 (11)</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rsidR="002C229C" w:rsidRPr="00B67275" w:rsidRDefault="00A35768"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дисперсия доходности инвестиционного портфеля;</w:t>
      </w:r>
    </w:p>
    <w:p w:rsidR="002C229C" w:rsidRPr="00B67275" w:rsidRDefault="00A35768"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w:t>
      </w:r>
      <w:r w:rsidR="00B67275">
        <w:rPr>
          <w:rFonts w:ascii="Times New Roman" w:hAnsi="Times New Roman" w:cs="Times New Roman"/>
          <w:color w:val="000000" w:themeColor="text1"/>
          <w:sz w:val="28"/>
          <w:szCs w:val="28"/>
          <w:lang w:val="ru-RU"/>
        </w:rPr>
        <w:t>исперсия доходности отдельного i</w:t>
      </w:r>
      <w:r w:rsidR="002C229C" w:rsidRPr="00B67275">
        <w:rPr>
          <w:rFonts w:ascii="Times New Roman" w:hAnsi="Times New Roman" w:cs="Times New Roman"/>
          <w:color w:val="000000" w:themeColor="text1"/>
          <w:sz w:val="28"/>
          <w:szCs w:val="28"/>
          <w:lang w:val="ru-RU"/>
        </w:rPr>
        <w:t>-го актива;</w:t>
      </w:r>
    </w:p>
    <w:p w:rsidR="002C229C" w:rsidRPr="00B67275" w:rsidRDefault="00A35768"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Sub>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j</m:t>
            </m:r>
          </m:sub>
        </m:sSub>
      </m:oMath>
      <w:r w:rsidR="002C229C" w:rsidRPr="00B67275">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 стандартные отклонения i-го и j</w:t>
      </w:r>
      <w:r w:rsidR="002C229C" w:rsidRPr="00B67275">
        <w:rPr>
          <w:rFonts w:ascii="Times New Roman" w:hAnsi="Times New Roman" w:cs="Times New Roman"/>
          <w:color w:val="000000" w:themeColor="text1"/>
          <w:sz w:val="28"/>
          <w:szCs w:val="28"/>
          <w:lang w:val="ru-RU"/>
        </w:rPr>
        <w:t>-го активов;</w:t>
      </w:r>
    </w:p>
    <w:p w:rsidR="002C229C" w:rsidRPr="00B67275" w:rsidRDefault="00A35768"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oMath>
      <w:r w:rsidR="002C229C" w:rsidRPr="00B67275">
        <w:rPr>
          <w:rFonts w:ascii="Times New Roman" w:hAnsi="Times New Roman" w:cs="Times New Roman"/>
          <w:color w:val="000000" w:themeColor="text1"/>
          <w:sz w:val="28"/>
          <w:szCs w:val="28"/>
          <w:lang w:val="ru-RU"/>
        </w:rPr>
        <w:t xml:space="preserve"> — коэффициент корреляции Пирсона между доходностями активов</w:t>
      </w:r>
      <m:oMath>
        <m:r>
          <w:rPr>
            <w:rFonts w:ascii="Cambria Math" w:hAnsi="Times New Roman" w:cs="Times New Roman"/>
            <w:color w:val="000000" w:themeColor="text1"/>
            <w:sz w:val="28"/>
            <w:szCs w:val="28"/>
            <w:lang w:val="ru-RU"/>
          </w:rPr>
          <m:t xml:space="preserve"> </m:t>
        </m:r>
        <m:r>
          <w:rPr>
            <w:rFonts w:ascii="Cambria Math" w:hAnsi="Cambria Math" w:cs="Times New Roman"/>
            <w:color w:val="000000" w:themeColor="text1"/>
            <w:sz w:val="28"/>
            <w:szCs w:val="28"/>
            <w:lang w:val="ru-RU"/>
          </w:rPr>
          <m:t>i</m:t>
        </m:r>
      </m:oMath>
      <w:r w:rsidR="002C229C" w:rsidRPr="00B67275">
        <w:rPr>
          <w:rFonts w:ascii="Times New Roman" w:hAnsi="Times New Roman" w:cs="Times New Roman"/>
          <w:color w:val="000000" w:themeColor="text1"/>
          <w:sz w:val="28"/>
          <w:szCs w:val="28"/>
          <w:lang w:val="ru-RU"/>
        </w:rPr>
        <w:t xml:space="preserve"> и </w:t>
      </w:r>
      <m:oMath>
        <m:r>
          <w:rPr>
            <w:rFonts w:ascii="Cambria Math" w:hAnsi="Cambria Math" w:cs="Times New Roman"/>
            <w:color w:val="000000" w:themeColor="text1"/>
            <w:sz w:val="28"/>
            <w:szCs w:val="28"/>
            <w:lang w:val="ru-RU"/>
          </w:rPr>
          <m:t>j</m:t>
        </m:r>
      </m:oMath>
      <w:r w:rsidR="002C229C" w:rsidRPr="00B67275">
        <w:rPr>
          <w:rFonts w:ascii="Times New Roman" w:hAnsi="Times New Roman" w:cs="Times New Roman"/>
          <w:color w:val="000000" w:themeColor="text1"/>
          <w:sz w:val="28"/>
          <w:szCs w:val="28"/>
          <w:lang w:val="ru-RU"/>
        </w:rPr>
        <w:t>.</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Второе слагаемое данного уравнения, представляющее собой сумму ковариаций всех пар активов, играет критическую роль в процессе оптимизации. В исходном состоянии инвестиционный портфель ОПИФ РФИ «ВИМ-Металлургия» является жестко концентрированным. С точки зрения математической статистики это означает, что значения коэффициента корреляции </w:t>
      </w:r>
      <m:oMath>
        <m:d>
          <m:dPr>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r</m:t>
            </m:r>
            <m:r>
              <w:rPr>
                <w:rFonts w:ascii="Times New Roman" w:hAnsi="Times New Roman" w:cs="Times New Roman"/>
                <w:color w:val="000000" w:themeColor="text1"/>
                <w:sz w:val="28"/>
                <w:szCs w:val="28"/>
                <w:lang w:val="ru-RU"/>
              </w:rPr>
              <m:t>h</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o</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e>
        </m:d>
      </m:oMath>
      <w:r w:rsidRPr="00B67275">
        <w:rPr>
          <w:rFonts w:ascii="Times New Roman" w:hAnsi="Times New Roman" w:cs="Times New Roman"/>
          <w:color w:val="000000" w:themeColor="text1"/>
          <w:sz w:val="28"/>
          <w:szCs w:val="28"/>
          <w:lang w:val="ru-RU"/>
        </w:rPr>
        <w:t>между активами фонда асимптотически стремятся к единице, поскольку предприятия одной узкой отрасли синхронно реагируют на фазы единого макроэкономического цикла. При значениях корреляции, близких к единице, эффект снижения риска за счет распределения капитала полностью обнуляется, а общая волатильность портфеля остается избыточно высокой, делая инвестиции неоправданно рискованными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[24, с. 781]</w:t>
      </w:r>
      <w:r w:rsidRPr="00B67275">
        <w:rPr>
          <w:rFonts w:ascii="Times New Roman" w:hAnsi="Times New Roman" w:cs="Times New Roman"/>
          <w:color w:val="000000" w:themeColor="text1"/>
          <w:sz w:val="28"/>
          <w:szCs w:val="28"/>
          <w:lang w:val="ru-RU"/>
        </w:rPr>
        <w:t>.</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Глубинный экономический и математический смысл предложенной в данной главе ребалансировки заключается в целенаправленном внедрении в портфель активов, обладающих математически доказанной слабой, нулевой или отрицательной корреляцией с базовым ядром черной и цветной металлургии. Введение акций золотодобывающего сегмента и производителей минеральных удобрений радикально трансформирует ковариационную матрицу портфеля. Поскольку рынки драгоценных металлов и агрохимии зависят от автономных глобальных циклов, коэффициент корреляции между новыми активами и металлургическими гигантами существенно снижается. Согласно приведенному выше уравнению дисперсии, снижение корреляционной зависимости ведет к резкому и масштабному уменьшению второго слагаемого. Это позволяет нелинейно</w:t>
      </w:r>
      <w:r w:rsidRPr="002C229C">
        <w:rPr>
          <w:rFonts w:ascii="Times New Roman" w:hAnsi="Times New Roman" w:cs="Times New Roman"/>
          <w:color w:val="000000" w:themeColor="text1"/>
          <w:sz w:val="28"/>
          <w:szCs w:val="28"/>
          <w:lang w:val="ru-RU"/>
        </w:rPr>
        <w:t xml:space="preserve"> </w:t>
      </w:r>
      <w:r w:rsidRPr="00B67275">
        <w:rPr>
          <w:rFonts w:ascii="Times New Roman" w:hAnsi="Times New Roman" w:cs="Times New Roman"/>
          <w:color w:val="000000" w:themeColor="text1"/>
          <w:sz w:val="28"/>
          <w:szCs w:val="28"/>
          <w:lang w:val="ru-RU"/>
        </w:rPr>
        <w:t xml:space="preserve">снизить общее стандартное </w:t>
      </w:r>
      <w:r w:rsidRPr="00B67275">
        <w:rPr>
          <w:rFonts w:ascii="Times New Roman" w:hAnsi="Times New Roman" w:cs="Times New Roman"/>
          <w:color w:val="000000" w:themeColor="text1"/>
          <w:sz w:val="28"/>
          <w:szCs w:val="28"/>
          <w:lang w:val="ru-RU"/>
        </w:rPr>
        <w:lastRenderedPageBreak/>
        <w:t>отклонение портфеля, нивелируя значительную долю несистематического риска без потери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115]</w:t>
      </w:r>
      <w:r w:rsidRPr="00B67275">
        <w:rPr>
          <w:rFonts w:ascii="Times New Roman" w:hAnsi="Times New Roman" w:cs="Times New Roman"/>
          <w:color w:val="000000" w:themeColor="text1"/>
          <w:sz w:val="28"/>
          <w:szCs w:val="28"/>
          <w:lang w:val="ru-RU"/>
        </w:rPr>
        <w:t>.</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Моделирование итоговых результатов ребалансировки базируется на алгоритме перераспределения удельных весов. В оптимизированной модели вес </w:t>
      </w:r>
      <w:proofErr w:type="spellStart"/>
      <w:r w:rsidRPr="00B67275">
        <w:rPr>
          <w:rFonts w:ascii="Times New Roman" w:hAnsi="Times New Roman" w:cs="Times New Roman"/>
          <w:color w:val="000000" w:themeColor="text1"/>
          <w:sz w:val="28"/>
          <w:szCs w:val="28"/>
          <w:lang w:val="ru-RU"/>
        </w:rPr>
        <w:t>высокорисковых</w:t>
      </w:r>
      <w:proofErr w:type="spellEnd"/>
      <w:r w:rsidRPr="00B67275">
        <w:rPr>
          <w:rFonts w:ascii="Times New Roman" w:hAnsi="Times New Roman" w:cs="Times New Roman"/>
          <w:color w:val="000000" w:themeColor="text1"/>
          <w:sz w:val="28"/>
          <w:szCs w:val="28"/>
          <w:lang w:val="ru-RU"/>
        </w:rPr>
        <w:t xml:space="preserve"> и </w:t>
      </w:r>
      <w:proofErr w:type="spellStart"/>
      <w:r w:rsidRPr="00B67275">
        <w:rPr>
          <w:rFonts w:ascii="Times New Roman" w:hAnsi="Times New Roman" w:cs="Times New Roman"/>
          <w:color w:val="000000" w:themeColor="text1"/>
          <w:sz w:val="28"/>
          <w:szCs w:val="28"/>
          <w:lang w:val="ru-RU"/>
        </w:rPr>
        <w:t>закредитованных</w:t>
      </w:r>
      <w:proofErr w:type="spellEnd"/>
      <w:r w:rsidRPr="00B67275">
        <w:rPr>
          <w:rFonts w:ascii="Times New Roman" w:hAnsi="Times New Roman" w:cs="Times New Roman"/>
          <w:color w:val="000000" w:themeColor="text1"/>
          <w:sz w:val="28"/>
          <w:szCs w:val="28"/>
          <w:lang w:val="ru-RU"/>
        </w:rPr>
        <w:t xml:space="preserve"> аутсайдеров директивно снижается. Высвобожденный капитал </w:t>
      </w:r>
      <w:proofErr w:type="spellStart"/>
      <w:r w:rsidRPr="00B67275">
        <w:rPr>
          <w:rFonts w:ascii="Times New Roman" w:hAnsi="Times New Roman" w:cs="Times New Roman"/>
          <w:color w:val="000000" w:themeColor="text1"/>
          <w:sz w:val="28"/>
          <w:szCs w:val="28"/>
          <w:lang w:val="ru-RU"/>
        </w:rPr>
        <w:t>аллоцируется</w:t>
      </w:r>
      <w:proofErr w:type="spellEnd"/>
      <w:r w:rsidRPr="00B67275">
        <w:rPr>
          <w:rFonts w:ascii="Times New Roman" w:hAnsi="Times New Roman" w:cs="Times New Roman"/>
          <w:color w:val="000000" w:themeColor="text1"/>
          <w:sz w:val="28"/>
          <w:szCs w:val="28"/>
          <w:lang w:val="ru-RU"/>
        </w:rPr>
        <w:t xml:space="preserve"> в бумаги фундаментально сильных эмитентов. Поскольку эти компании характеризуются высокой рентабельностью и стабильной генерацией свободного денежного потока, математическое ожидание их доходности стабильно превосходит показатели исключаемых корпораций. Таким образом, в уравнении ожидаемой доходности портфеля происходит математическое замещение неэффективных элементов на высокодоходные, что сохраняет или увеличивает совокупную доходность всей системы.</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Итоговым интегральным индикатором, безоговорочно и математически доказывающим эффективность предложенной структурной ребалансировки, выступает коэффициент Шарпа, оценивающий премию за риск на единицу совокупной волатильности:</w:t>
      </w:r>
    </w:p>
    <w:p w:rsidR="002C229C" w:rsidRPr="00B67275" w:rsidRDefault="00B67275" w:rsidP="00B67275">
      <w:pPr>
        <w:spacing w:line="360" w:lineRule="auto"/>
        <w:ind w:firstLine="709"/>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r>
          <w:rPr>
            <w:rFonts w:ascii="Cambria Math" w:hAnsi="Times New Roman" w:cs="Times New Roman"/>
            <w:color w:val="000000" w:themeColor="text1"/>
            <w:sz w:val="28"/>
            <w:szCs w:val="28"/>
            <w:lang w:val="ru-RU"/>
          </w:rPr>
          <m:t>= \</m:t>
        </m:r>
        <m:r>
          <w:rPr>
            <w:rFonts w:ascii="Cambria Math" w:hAnsi="Cambria Math" w:cs="Times New Roman"/>
            <w:color w:val="000000" w:themeColor="text1"/>
            <w:sz w:val="28"/>
            <w:szCs w:val="28"/>
            <w:lang w:val="ru-RU"/>
          </w:rPr>
          <m:t>frac</m:t>
        </m:r>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r>
              <w:rPr>
                <w:rFonts w:ascii="Times New Roman" w:hAnsi="Times New Roman" w:cs="Times New Roman"/>
                <w:color w:val="000000" w:themeColor="text1"/>
                <w:sz w:val="28"/>
                <w:szCs w:val="28"/>
                <w:lang w:val="ru-RU"/>
              </w:rPr>
              <m:t>-</m:t>
            </m:r>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e>
        </m:d>
        <m:d>
          <m:dPr>
            <m:begChr m:val="{"/>
            <m:endChr m:val="}"/>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e>
        </m:d>
      </m:oMath>
      <w:r>
        <w:rPr>
          <w:rFonts w:ascii="Times New Roman" w:hAnsi="Times New Roman" w:cs="Times New Roman"/>
          <w:color w:val="000000" w:themeColor="text1"/>
          <w:sz w:val="28"/>
          <w:szCs w:val="28"/>
          <w:lang w:val="ru-RU"/>
        </w:rPr>
        <w:t>,                             (12)</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rsidR="002C229C" w:rsidRPr="00B67275" w:rsidRDefault="00A35768"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oMath>
      <w:r w:rsidR="002C229C" w:rsidRPr="00B67275">
        <w:rPr>
          <w:rFonts w:ascii="Times New Roman" w:hAnsi="Times New Roman" w:cs="Times New Roman"/>
          <w:color w:val="000000" w:themeColor="text1"/>
          <w:sz w:val="28"/>
          <w:szCs w:val="28"/>
          <w:lang w:val="ru-RU"/>
        </w:rPr>
        <w:t xml:space="preserve"> — коэффициент Шарпа;</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портфеля;</w:t>
      </w:r>
    </w:p>
    <w:p w:rsidR="002C229C" w:rsidRPr="00B67275" w:rsidRDefault="00A35768"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oMath>
      <w:r w:rsidR="002C229C" w:rsidRPr="00B67275">
        <w:rPr>
          <w:rFonts w:ascii="Times New Roman" w:hAnsi="Times New Roman" w:cs="Times New Roman"/>
          <w:color w:val="000000" w:themeColor="text1"/>
          <w:sz w:val="28"/>
          <w:szCs w:val="28"/>
          <w:lang w:val="ru-RU"/>
        </w:rPr>
        <w:t xml:space="preserve"> — доходность безрискового актива;</w:t>
      </w:r>
    </w:p>
    <w:p w:rsidR="002C229C" w:rsidRPr="00B67275" w:rsidRDefault="00A35768"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oMath>
      <w:r w:rsidR="002C229C" w:rsidRPr="00B67275">
        <w:rPr>
          <w:rFonts w:ascii="Times New Roman" w:hAnsi="Times New Roman" w:cs="Times New Roman"/>
          <w:color w:val="000000" w:themeColor="text1"/>
          <w:sz w:val="28"/>
          <w:szCs w:val="28"/>
          <w:lang w:val="ru-RU"/>
        </w:rPr>
        <w:t xml:space="preserve"> — стандартное отклонение портфеля.</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В оптимизированном портфеле инициируется одновременное математическое улучшение обоих ключевых параметров данной дроби. За счет исключения обремененных долгами активов и добавления </w:t>
      </w:r>
      <w:r w:rsidRPr="00B67275">
        <w:rPr>
          <w:rFonts w:ascii="Times New Roman" w:hAnsi="Times New Roman" w:cs="Times New Roman"/>
          <w:color w:val="000000" w:themeColor="text1"/>
          <w:sz w:val="28"/>
          <w:szCs w:val="28"/>
          <w:lang w:val="ru-RU"/>
        </w:rPr>
        <w:lastRenderedPageBreak/>
        <w:t>высокомаржинальных компаний из смежных секторов увеличивается числитель уравнения — ожидаемая премия за риск. Параллельно с этим, благодаря интеграции инструментов с низкой ковариацией, резко уменьшается знаменатель уравнения — стандартное отклонение. С позиции математического анализа, одновременный рост числителя и уменьшение знаменателя приводят к взрывному, мультипликативному росту итогового значения целевой функции</w:t>
      </w:r>
      <w:r w:rsidR="0094314F">
        <w:rPr>
          <w:rFonts w:ascii="Times New Roman" w:hAnsi="Times New Roman" w:cs="Times New Roman"/>
          <w:color w:val="000000" w:themeColor="text1"/>
          <w:sz w:val="28"/>
          <w:szCs w:val="28"/>
          <w:lang w:val="ru-RU"/>
        </w:rPr>
        <w:t xml:space="preserve"> [25, с. 158</w:t>
      </w:r>
      <w:r w:rsidR="0094314F" w:rsidRPr="0094314F">
        <w:rPr>
          <w:rFonts w:ascii="Times New Roman" w:hAnsi="Times New Roman" w:cs="Times New Roman"/>
          <w:color w:val="000000" w:themeColor="text1"/>
          <w:sz w:val="28"/>
          <w:szCs w:val="28"/>
          <w:lang w:val="ru-RU"/>
        </w:rPr>
        <w:t>]</w:t>
      </w:r>
      <w:r w:rsidRPr="00B67275">
        <w:rPr>
          <w:rFonts w:ascii="Times New Roman" w:hAnsi="Times New Roman" w:cs="Times New Roman"/>
          <w:color w:val="000000" w:themeColor="text1"/>
          <w:sz w:val="28"/>
          <w:szCs w:val="28"/>
          <w:lang w:val="ru-RU"/>
        </w:rPr>
        <w:t>.</w:t>
      </w:r>
    </w:p>
    <w:p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Исходя из представленных расчетов, строго математически доказано, что оптимизированный портфель будет обладать коэффициентами качества, многократно превышающими исторические метрики исходного узкоотраслевого фонда. На классическом графике «риск-доходность» данная ребалансировка сдвинет координаты фонда строго вверх (в зону более высокой доходности) и влево (в зону меньшего риска), тем самым приблизив инвестиционный портфель к истинному эффективному фронту </w:t>
      </w:r>
      <w:proofErr w:type="spellStart"/>
      <w:r w:rsidRPr="00B67275">
        <w:rPr>
          <w:rFonts w:ascii="Times New Roman" w:hAnsi="Times New Roman" w:cs="Times New Roman"/>
          <w:color w:val="000000" w:themeColor="text1"/>
          <w:sz w:val="28"/>
          <w:szCs w:val="28"/>
          <w:lang w:val="ru-RU"/>
        </w:rPr>
        <w:t>Марковица</w:t>
      </w:r>
      <w:proofErr w:type="spellEnd"/>
      <w:r w:rsidRPr="00B67275">
        <w:rPr>
          <w:rFonts w:ascii="Times New Roman" w:hAnsi="Times New Roman" w:cs="Times New Roman"/>
          <w:color w:val="000000" w:themeColor="text1"/>
          <w:sz w:val="28"/>
          <w:szCs w:val="28"/>
          <w:lang w:val="ru-RU"/>
        </w:rPr>
        <w:t xml:space="preserve"> и обеспечив инвесторам максимальную экономическую компенсацию за принимаемый риск в условиях современной макроэкономической турбулентности.</w:t>
      </w:r>
    </w:p>
    <w:p w:rsidR="00793D47" w:rsidRPr="00B67275" w:rsidRDefault="00793D47" w:rsidP="00B67275">
      <w:pPr>
        <w:spacing w:line="360" w:lineRule="auto"/>
        <w:jc w:val="both"/>
        <w:rPr>
          <w:rFonts w:ascii="Times New Roman" w:hAnsi="Times New Roman" w:cs="Times New Roman"/>
          <w:b/>
          <w:color w:val="000000" w:themeColor="text1"/>
          <w:sz w:val="28"/>
          <w:szCs w:val="40"/>
          <w:lang w:val="ru-RU"/>
        </w:rPr>
      </w:pPr>
      <w:r w:rsidRPr="00B67275">
        <w:rPr>
          <w:rFonts w:ascii="Times New Roman" w:hAnsi="Times New Roman" w:cs="Times New Roman"/>
          <w:lang w:val="ru-RU"/>
        </w:rPr>
        <w:br w:type="page"/>
      </w:r>
    </w:p>
    <w:p w:rsidR="0007704C" w:rsidRDefault="0007704C" w:rsidP="00B67275">
      <w:pPr>
        <w:pStyle w:val="1"/>
        <w:spacing w:before="0" w:after="0" w:line="360" w:lineRule="auto"/>
        <w:rPr>
          <w:lang w:val="ru-RU"/>
        </w:rPr>
      </w:pPr>
      <w:bookmarkStart w:id="13" w:name="_Toc230938592"/>
      <w:r w:rsidRPr="0007704C">
        <w:rPr>
          <w:lang w:val="ru-RU"/>
        </w:rPr>
        <w:lastRenderedPageBreak/>
        <w:t>Заключение</w:t>
      </w:r>
      <w:bookmarkEnd w:id="13"/>
    </w:p>
    <w:p w:rsidR="0007704C" w:rsidRPr="0007704C" w:rsidRDefault="0007704C" w:rsidP="00B67275">
      <w:pPr>
        <w:spacing w:line="360" w:lineRule="auto"/>
        <w:ind w:firstLine="709"/>
        <w:jc w:val="both"/>
        <w:rPr>
          <w:rFonts w:ascii="Times New Roman" w:hAnsi="Times New Roman" w:cs="Times New Roman"/>
          <w:sz w:val="28"/>
          <w:szCs w:val="28"/>
          <w:lang w:val="ru-RU"/>
        </w:rPr>
      </w:pP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Подводя итоги первой главы, следует констатировать, что проведенное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xml:space="preserve">, </w:t>
      </w:r>
      <w:proofErr w:type="spellStart"/>
      <w:r w:rsidRPr="0007704C">
        <w:rPr>
          <w:rFonts w:ascii="Times New Roman" w:hAnsi="Times New Roman" w:cs="Times New Roman"/>
          <w:sz w:val="28"/>
          <w:szCs w:val="28"/>
          <w:lang w:val="ru-RU"/>
        </w:rPr>
        <w:t>Трейнора</w:t>
      </w:r>
      <w:proofErr w:type="spellEnd"/>
      <w:r w:rsidRPr="0007704C">
        <w:rPr>
          <w:rFonts w:ascii="Times New Roman" w:hAnsi="Times New Roman" w:cs="Times New Roman"/>
          <w:sz w:val="28"/>
          <w:szCs w:val="28"/>
          <w:lang w:val="ru-RU"/>
        </w:rPr>
        <w:t>), носит сугубо ретроспективный характер. Данные показатели отражают лишь историческую волатильность ценовых котировок, но не способны предсказать будущие изменения стоимости активов в условиях смены макроэкономических циклов. Была теоретически обоснована и доказана острая необходимость применения фундаментального и финансового анализа (оценки показателей ликвидности, рентабельности активов и капитала, деловой активности, а также моделей прогнозирования риска банкротства) для достоверной оценки реального инвестиционного качества самих объектов инвестирования — предприятий-эмитентов.</w:t>
      </w: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Во второй главе работы результаты данного интегрированного подхода были применены для оценки реального качества инвестиционного портфеля ОПИФ РФИ «ВИМ-Металлургия». Анализ показал, что рассматриваемый </w:t>
      </w:r>
      <w:r w:rsidRPr="0007704C">
        <w:rPr>
          <w:rFonts w:ascii="Times New Roman" w:hAnsi="Times New Roman" w:cs="Times New Roman"/>
          <w:sz w:val="28"/>
          <w:szCs w:val="28"/>
          <w:lang w:val="ru-RU"/>
        </w:rPr>
        <w:lastRenderedPageBreak/>
        <w:t xml:space="preserve">фонд является экстремально концентрированным: более 93% активов жестко </w:t>
      </w:r>
      <w:proofErr w:type="spellStart"/>
      <w:r w:rsidRPr="0007704C">
        <w:rPr>
          <w:rFonts w:ascii="Times New Roman" w:hAnsi="Times New Roman" w:cs="Times New Roman"/>
          <w:sz w:val="28"/>
          <w:szCs w:val="28"/>
          <w:lang w:val="ru-RU"/>
        </w:rPr>
        <w:t>аллоцировано</w:t>
      </w:r>
      <w:proofErr w:type="spellEnd"/>
      <w:r w:rsidRPr="0007704C">
        <w:rPr>
          <w:rFonts w:ascii="Times New Roman" w:hAnsi="Times New Roman" w:cs="Times New Roman"/>
          <w:sz w:val="28"/>
          <w:szCs w:val="28"/>
          <w:lang w:val="ru-RU"/>
        </w:rPr>
        <w:t xml:space="preserve"> в одном секторе — «Сырье и материалы». Подобная узкоотраслевая структура блокирует эффекты межотраслевой диверсификации, генерирует избыточную дисперсию и ставит стоимость чистых активов в критическую зависимость от колебаний глобального сырьевого рынка. Детальный фундаментальный анализ пяти крупнейших базовых активов фонда </w:t>
      </w:r>
      <w:r w:rsidR="002C229C" w:rsidRPr="0007704C">
        <w:rPr>
          <w:rFonts w:ascii="Times New Roman" w:hAnsi="Times New Roman" w:cs="Times New Roman"/>
          <w:sz w:val="28"/>
          <w:szCs w:val="28"/>
          <w:lang w:val="ru-RU"/>
        </w:rPr>
        <w:t>продемонстрировал</w:t>
      </w:r>
      <w:r w:rsidRPr="0007704C">
        <w:rPr>
          <w:rFonts w:ascii="Times New Roman" w:hAnsi="Times New Roman" w:cs="Times New Roman"/>
          <w:sz w:val="28"/>
          <w:szCs w:val="28"/>
          <w:lang w:val="ru-RU"/>
        </w:rPr>
        <w:t xml:space="preserve"> их глубокую структурную неоднородность. Было выявлено, что сверхнадежные активы с отрицательной долговой нагрузкой, выдающимися показателями рентабельности и безупречной ликвидностью (ПАО «Северсталь», ПАО «ММК», ПАО «Корпорация ВСМПО-АВИСМА») в структуре фонда соседствуют с компаниями, испытывающими серьезное долговое давление, дефицит свободных денежных потоков и циклическое снижение рентабельности (МКПАО «ЭН+ ГРУП», ПАО «ГМК «Норильский никель»). Наличие подобных фундаментально ослабленных активов существенно ухудшает общие риск-метрики портфеля.</w:t>
      </w: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 основе выявленных структурных дисбалансов, в третьей главе были разработаны научно обоснованные практические рекомендации, направленные на повышение доходности и снижение совокупных рисков портфеля. В качестве первоочередной меры предложена тактическая ребалансировка: замена высокорисковых и обремененных долгами активов на ценные бумаги предприятий золотодобывающего сектора (ПАО «Полюс», ПАО «ЮГК» или ПАО «</w:t>
      </w:r>
      <w:proofErr w:type="spellStart"/>
      <w:r w:rsidRPr="0007704C">
        <w:rPr>
          <w:rFonts w:ascii="Times New Roman" w:hAnsi="Times New Roman" w:cs="Times New Roman"/>
          <w:sz w:val="28"/>
          <w:szCs w:val="28"/>
          <w:lang w:val="ru-RU"/>
        </w:rPr>
        <w:t>Селигдар</w:t>
      </w:r>
      <w:proofErr w:type="spellEnd"/>
      <w:r w:rsidRPr="0007704C">
        <w:rPr>
          <w:rFonts w:ascii="Times New Roman" w:hAnsi="Times New Roman" w:cs="Times New Roman"/>
          <w:sz w:val="28"/>
          <w:szCs w:val="28"/>
          <w:lang w:val="ru-RU"/>
        </w:rPr>
        <w:t xml:space="preserve">»). Золотодобыча в текущих макроэкономических условиях выступает мощным «защитным» активом с исторически высокой маржинальностью, способным стабилизировать доходность фонда при волатильности цен на промышленные металлы. Кроме того, для купирования концентрационных рисков предложена </w:t>
      </w:r>
      <w:r w:rsidRPr="0007704C">
        <w:rPr>
          <w:rFonts w:ascii="Times New Roman" w:hAnsi="Times New Roman" w:cs="Times New Roman"/>
          <w:sz w:val="28"/>
          <w:szCs w:val="28"/>
          <w:lang w:val="ru-RU"/>
        </w:rPr>
        <w:lastRenderedPageBreak/>
        <w:t xml:space="preserve">диверсификация портфеля за счет включения первоклассных эмитентов из смежных отраслей — химической промышленности (ПАО «ФосАгро»), транспортной логистики (ПАО «Совкомфлот») и электроэнергетики (ПАО «Интер РАО»). Данные компании исторически демонстрируют корреляцию с общим индустриальным циклом, однако подвержены совершенно иным отраслевым факторам риска. Имплементация данных мер позволит математически снизить максимальную просадку портфеля, улучшить показатели риск-скорректированной доходности (коэффициенты Шарпа и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и обеспечить устойчивый прирост стоимости чистых активов фонда.</w:t>
      </w:r>
    </w:p>
    <w:p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Главный вывод настоящей выпускной квалификационной работы заключается в том, что выдвинутая гипотеза была полностью подтверждена: только комплексный анализ, подразумевающий органичное совмещение портфельных метрик математической статистики и глубокого фундаментального анализа базовых активов, дает наиболее точную, объективную и прогностически ценную оценку качества инвестиционного портфеля. Опора исключительно на внешнюю ценовую статистику скрывает угрозы платежеспособности эмитентов, в то время как синтез классической портфельной теории с корпоративным финансовым анализом позволяет управляющему фондом своевременно диагностировать внутренние риски бизнеса, проводить обоснованную ребалансировку и выстраивать инвестиционную стратегию, максимизирующую благосостояние пайщиков.</w:t>
      </w:r>
    </w:p>
    <w:p w:rsidR="0007704C" w:rsidRPr="0007704C" w:rsidRDefault="0007704C" w:rsidP="00B67275">
      <w:pPr>
        <w:spacing w:line="360" w:lineRule="auto"/>
        <w:ind w:firstLine="709"/>
        <w:jc w:val="both"/>
        <w:rPr>
          <w:rFonts w:ascii="Times New Roman" w:hAnsi="Times New Roman" w:cs="Times New Roman"/>
          <w:sz w:val="28"/>
          <w:szCs w:val="28"/>
          <w:lang w:val="ru-RU"/>
        </w:rPr>
      </w:pPr>
    </w:p>
    <w:p w:rsidR="0007704C" w:rsidRPr="0007704C" w:rsidRDefault="0007704C" w:rsidP="0007704C">
      <w:pPr>
        <w:spacing w:line="360" w:lineRule="auto"/>
        <w:ind w:firstLine="709"/>
        <w:jc w:val="both"/>
        <w:rPr>
          <w:rFonts w:ascii="Times New Roman" w:hAnsi="Times New Roman" w:cs="Times New Roman"/>
          <w:sz w:val="28"/>
          <w:szCs w:val="28"/>
          <w:lang w:val="ru-RU"/>
        </w:rPr>
      </w:pPr>
    </w:p>
    <w:p w:rsidR="00FE64C3" w:rsidRPr="00FE64C3" w:rsidRDefault="00FE64C3" w:rsidP="00FE64C3">
      <w:pPr>
        <w:ind w:firstLine="709"/>
        <w:jc w:val="both"/>
        <w:rPr>
          <w:rFonts w:ascii="Times New Roman" w:hAnsi="Times New Roman" w:cs="Times New Roman"/>
          <w:sz w:val="28"/>
          <w:szCs w:val="28"/>
          <w:lang w:val="ru-RU"/>
        </w:rPr>
      </w:pPr>
    </w:p>
    <w:p w:rsidR="0097563D" w:rsidRPr="00B67275" w:rsidRDefault="0097563D" w:rsidP="00B67275">
      <w:pPr>
        <w:pStyle w:val="1"/>
        <w:spacing w:before="0" w:after="0" w:line="360" w:lineRule="auto"/>
        <w:ind w:firstLine="709"/>
        <w:rPr>
          <w:rFonts w:eastAsia="Times New Roman" w:cs="Times New Roman"/>
          <w:bCs/>
          <w:szCs w:val="28"/>
          <w:lang w:val="ru-RU"/>
        </w:rPr>
      </w:pPr>
      <w:r>
        <w:rPr>
          <w:rFonts w:eastAsia="Times New Roman" w:cs="Times New Roman"/>
          <w:bCs/>
          <w:szCs w:val="28"/>
          <w:lang w:val="ru-RU"/>
        </w:rPr>
        <w:br w:type="column"/>
      </w:r>
      <w:bookmarkStart w:id="14" w:name="_Toc230938593"/>
      <w:r w:rsidRPr="00B67275">
        <w:rPr>
          <w:rFonts w:eastAsia="Times New Roman" w:cs="Times New Roman"/>
          <w:bCs/>
          <w:szCs w:val="28"/>
          <w:lang w:val="ru-RU"/>
        </w:rPr>
        <w:lastRenderedPageBreak/>
        <w:t>С</w:t>
      </w:r>
      <w:r w:rsidR="00F834A7" w:rsidRPr="00B67275">
        <w:rPr>
          <w:rFonts w:eastAsia="Times New Roman" w:cs="Times New Roman"/>
          <w:bCs/>
          <w:szCs w:val="28"/>
          <w:lang w:val="ru-RU"/>
        </w:rPr>
        <w:t>писок использованных источников</w:t>
      </w:r>
      <w:bookmarkEnd w:id="14"/>
    </w:p>
    <w:p w:rsidR="00B67275" w:rsidRPr="00B67275" w:rsidRDefault="00B67275" w:rsidP="00B67275">
      <w:pPr>
        <w:spacing w:line="360" w:lineRule="auto"/>
        <w:ind w:firstLine="709"/>
        <w:jc w:val="both"/>
        <w:rPr>
          <w:rFonts w:ascii="Times New Roman" w:hAnsi="Times New Roman" w:cs="Times New Roman"/>
          <w:sz w:val="28"/>
          <w:szCs w:val="28"/>
          <w:lang w:val="ru-RU"/>
        </w:rPr>
      </w:pP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w:t>
      </w:r>
      <w:r w:rsidRPr="00B67275">
        <w:rPr>
          <w:rFonts w:ascii="Times New Roman" w:eastAsia="Times New Roman" w:hAnsi="Times New Roman" w:cs="Times New Roman"/>
          <w:b/>
          <w:bCs/>
          <w:sz w:val="28"/>
          <w:szCs w:val="28"/>
          <w:lang w:val="ru-RU"/>
        </w:rPr>
        <w:t>. Нормативно-правовые акты</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 Гражданский кодекс Российской Федерации (часть первая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30.11.1994 № 51-ФЗ (ред. от 11.03.2024).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 Налоговый кодекс Российской Федерации (часть вторая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05.08.2000 № 117-ФЗ (ред. от 26.02.2024).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 О рынке ценных </w:t>
      </w:r>
      <w:proofErr w:type="gramStart"/>
      <w:r w:rsidRPr="00B67275">
        <w:rPr>
          <w:rFonts w:ascii="Times New Roman" w:eastAsia="Times New Roman" w:hAnsi="Times New Roman" w:cs="Times New Roman"/>
          <w:sz w:val="28"/>
          <w:szCs w:val="28"/>
          <w:lang w:val="ru-RU"/>
        </w:rPr>
        <w:t>бумаг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22.04.1996 № 39-ФЗ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 Об инвестиционных </w:t>
      </w:r>
      <w:proofErr w:type="gramStart"/>
      <w:r w:rsidRPr="00B67275">
        <w:rPr>
          <w:rFonts w:ascii="Times New Roman" w:eastAsia="Times New Roman" w:hAnsi="Times New Roman" w:cs="Times New Roman"/>
          <w:sz w:val="28"/>
          <w:szCs w:val="28"/>
          <w:lang w:val="ru-RU"/>
        </w:rPr>
        <w:t>фондах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29.11.2001 № 156-ФЗ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5. О несостоятельности (банкротстве</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26.10.2002 № 127-ФЗ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6. Об утверждении Положения по бухгалтерскому учёту «Бухгалтерская отчётность организации» ПБУ 4/</w:t>
      </w:r>
      <w:proofErr w:type="gramStart"/>
      <w:r w:rsidRPr="00B67275">
        <w:rPr>
          <w:rFonts w:ascii="Times New Roman" w:eastAsia="Times New Roman" w:hAnsi="Times New Roman" w:cs="Times New Roman"/>
          <w:sz w:val="28"/>
          <w:szCs w:val="28"/>
          <w:lang w:val="ru-RU"/>
        </w:rPr>
        <w:t>99 :</w:t>
      </w:r>
      <w:proofErr w:type="gramEnd"/>
      <w:r w:rsidRPr="00B67275">
        <w:rPr>
          <w:rFonts w:ascii="Times New Roman" w:eastAsia="Times New Roman" w:hAnsi="Times New Roman" w:cs="Times New Roman"/>
          <w:sz w:val="28"/>
          <w:szCs w:val="28"/>
          <w:lang w:val="ru-RU"/>
        </w:rPr>
        <w:t xml:space="preserve"> приказ Министерства финансов Российской Федерации от 06.07.1999 № 43н (ред. от 08.11.2010).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w:t>
      </w:r>
      <w:r w:rsidRPr="00B67275">
        <w:rPr>
          <w:rFonts w:ascii="Times New Roman" w:eastAsia="Times New Roman" w:hAnsi="Times New Roman" w:cs="Times New Roman"/>
          <w:b/>
          <w:bCs/>
          <w:sz w:val="28"/>
          <w:szCs w:val="28"/>
          <w:lang w:val="ru-RU"/>
        </w:rPr>
        <w:t>. Учебники, монографии и учебные пособия</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7.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М.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для бакалавров / В. М.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Ф. Максимова.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422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8. Батаева, Б. С. Корпоративное </w:t>
      </w:r>
      <w:proofErr w:type="gramStart"/>
      <w:r w:rsidRPr="00B67275">
        <w:rPr>
          <w:rFonts w:ascii="Times New Roman" w:eastAsia="Times New Roman" w:hAnsi="Times New Roman" w:cs="Times New Roman"/>
          <w:sz w:val="28"/>
          <w:szCs w:val="28"/>
          <w:lang w:val="ru-RU"/>
        </w:rPr>
        <w:t>управление :</w:t>
      </w:r>
      <w:proofErr w:type="gramEnd"/>
      <w:r w:rsidRPr="00B67275">
        <w:rPr>
          <w:rFonts w:ascii="Times New Roman" w:eastAsia="Times New Roman" w:hAnsi="Times New Roman" w:cs="Times New Roman"/>
          <w:sz w:val="28"/>
          <w:szCs w:val="28"/>
          <w:lang w:val="ru-RU"/>
        </w:rPr>
        <w:t xml:space="preserve"> учебное пособие / Б. С. Батаева.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КНОРУС, 2021. — 184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9. Бланк, И. А. Управление финансовой безопасностью предприятия / И. А. Бланк. — 2-е изд., стер.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Омега-Л, 2021. — 784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10.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xml:space="preserve">, Р. Принципы корпоративных финансов / Р.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xml:space="preserve">, С. </w:t>
      </w:r>
      <w:proofErr w:type="gramStart"/>
      <w:r w:rsidRPr="00B67275">
        <w:rPr>
          <w:rFonts w:ascii="Times New Roman" w:eastAsia="Times New Roman" w:hAnsi="Times New Roman" w:cs="Times New Roman"/>
          <w:sz w:val="28"/>
          <w:szCs w:val="28"/>
          <w:lang w:val="ru-RU"/>
        </w:rPr>
        <w:t>Майерс ;</w:t>
      </w:r>
      <w:proofErr w:type="gramEnd"/>
      <w:r w:rsidRPr="00B67275">
        <w:rPr>
          <w:rFonts w:ascii="Times New Roman" w:eastAsia="Times New Roman" w:hAnsi="Times New Roman" w:cs="Times New Roman"/>
          <w:sz w:val="28"/>
          <w:szCs w:val="28"/>
          <w:lang w:val="ru-RU"/>
        </w:rPr>
        <w:t xml:space="preserve"> пер. с англ. — Москва : Олимп-Бизнес, 2012. — 1120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11. Григорьева, Т. И. Финансовый анализ для менеджеров: оценка, </w:t>
      </w:r>
      <w:proofErr w:type="gramStart"/>
      <w:r w:rsidRPr="00B67275">
        <w:rPr>
          <w:rFonts w:ascii="Times New Roman" w:eastAsia="Times New Roman" w:hAnsi="Times New Roman" w:cs="Times New Roman"/>
          <w:sz w:val="28"/>
          <w:szCs w:val="28"/>
          <w:lang w:val="ru-RU"/>
        </w:rPr>
        <w:t>прогноз :</w:t>
      </w:r>
      <w:proofErr w:type="gramEnd"/>
      <w:r w:rsidRPr="00B67275">
        <w:rPr>
          <w:rFonts w:ascii="Times New Roman" w:eastAsia="Times New Roman" w:hAnsi="Times New Roman" w:cs="Times New Roman"/>
          <w:sz w:val="28"/>
          <w:szCs w:val="28"/>
          <w:lang w:val="ru-RU"/>
        </w:rPr>
        <w:t xml:space="preserve"> учебник / Т. И. Григорьева.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462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12. Грэхем, Б. Анализ ценных бумаг / Б. Грэхем, Д. </w:t>
      </w:r>
      <w:proofErr w:type="gramStart"/>
      <w:r w:rsidRPr="00B67275">
        <w:rPr>
          <w:rFonts w:ascii="Times New Roman" w:eastAsia="Times New Roman" w:hAnsi="Times New Roman" w:cs="Times New Roman"/>
          <w:sz w:val="28"/>
          <w:szCs w:val="28"/>
          <w:lang w:val="ru-RU"/>
        </w:rPr>
        <w:t>Додд ;</w:t>
      </w:r>
      <w:proofErr w:type="gramEnd"/>
      <w:r w:rsidRPr="00B67275">
        <w:rPr>
          <w:rFonts w:ascii="Times New Roman" w:eastAsia="Times New Roman" w:hAnsi="Times New Roman" w:cs="Times New Roman"/>
          <w:sz w:val="28"/>
          <w:szCs w:val="28"/>
          <w:lang w:val="ru-RU"/>
        </w:rPr>
        <w:t xml:space="preserve"> пер. с англ. — 3-е изд. — Москва : Вильямс, 2016. — 878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13. </w:t>
      </w:r>
      <w:proofErr w:type="spell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proofErr w:type="gram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w:t>
      </w:r>
      <w:proofErr w:type="gramEnd"/>
      <w:r w:rsidRPr="00B67275">
        <w:rPr>
          <w:rFonts w:ascii="Times New Roman" w:eastAsia="Times New Roman" w:hAnsi="Times New Roman" w:cs="Times New Roman"/>
          <w:sz w:val="28"/>
          <w:szCs w:val="28"/>
          <w:lang w:val="ru-RU"/>
        </w:rPr>
        <w:t xml:space="preserve"> пер. с англ. — Москва : Альпина Паблишер, 2016. — 1316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14. Екимова, К. В.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для прикладного бакалавриата / К. В. Екимова, И. П. Савельева, К. В. </w:t>
      </w:r>
      <w:proofErr w:type="spellStart"/>
      <w:r w:rsidRPr="00B67275">
        <w:rPr>
          <w:rFonts w:ascii="Times New Roman" w:eastAsia="Times New Roman" w:hAnsi="Times New Roman" w:cs="Times New Roman"/>
          <w:sz w:val="28"/>
          <w:szCs w:val="28"/>
          <w:lang w:val="ru-RU"/>
        </w:rPr>
        <w:t>Кардапольцев</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381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15. Ковалев, В. В. Введение в финансовый менеджмент / В. В. Ковалев.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Финансы и статистика, 2004. — 767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16.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В. Г. Экономический </w:t>
      </w:r>
      <w:proofErr w:type="gramStart"/>
      <w:r w:rsidRPr="00B67275">
        <w:rPr>
          <w:rFonts w:ascii="Times New Roman" w:eastAsia="Times New Roman" w:hAnsi="Times New Roman" w:cs="Times New Roman"/>
          <w:sz w:val="28"/>
          <w:szCs w:val="28"/>
          <w:lang w:val="ru-RU"/>
        </w:rPr>
        <w:t>анализ :</w:t>
      </w:r>
      <w:proofErr w:type="gramEnd"/>
      <w:r w:rsidRPr="00B67275">
        <w:rPr>
          <w:rFonts w:ascii="Times New Roman" w:eastAsia="Times New Roman" w:hAnsi="Times New Roman" w:cs="Times New Roman"/>
          <w:sz w:val="28"/>
          <w:szCs w:val="28"/>
          <w:lang w:val="ru-RU"/>
        </w:rPr>
        <w:t xml:space="preserve"> учебное пособие / В. Г.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и доп. — Москва : ЮНИТИ-ДАНА, 2019. — 392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17.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М. А. Корпоративный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учебно-практическое пособие / М. А.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В. П. Паламарчук, Е. Н. Лобанова.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2024. — 990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18. Лисицына, Е. В.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 Е. В. Лисицына, Т. В. Ващенко, М. В. Забродина ; под науч. ред. К. В. Екимовой.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и доп. — Москва : ИНФРА-М, 2023. — 185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19.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И. Я.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 И. Я.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Вузовский учебник : ИНФРА-М, 2024. — 413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20. Никитина, Т. В. Основы портфельного </w:t>
      </w:r>
      <w:proofErr w:type="gramStart"/>
      <w:r w:rsidRPr="00B67275">
        <w:rPr>
          <w:rFonts w:ascii="Times New Roman" w:eastAsia="Times New Roman" w:hAnsi="Times New Roman" w:cs="Times New Roman"/>
          <w:sz w:val="28"/>
          <w:szCs w:val="28"/>
          <w:lang w:val="ru-RU"/>
        </w:rPr>
        <w:t>инвестирования :</w:t>
      </w:r>
      <w:proofErr w:type="gramEnd"/>
      <w:r w:rsidRPr="00B67275">
        <w:rPr>
          <w:rFonts w:ascii="Times New Roman" w:eastAsia="Times New Roman" w:hAnsi="Times New Roman" w:cs="Times New Roman"/>
          <w:sz w:val="28"/>
          <w:szCs w:val="28"/>
          <w:lang w:val="ru-RU"/>
        </w:rPr>
        <w:t xml:space="preserve"> учебник для бакалавриата и магистратуры / Т. В. Никитина, А. В. </w:t>
      </w:r>
      <w:proofErr w:type="spellStart"/>
      <w:r w:rsidRPr="00B67275">
        <w:rPr>
          <w:rFonts w:ascii="Times New Roman" w:eastAsia="Times New Roman" w:hAnsi="Times New Roman" w:cs="Times New Roman"/>
          <w:sz w:val="28"/>
          <w:szCs w:val="28"/>
          <w:lang w:val="ru-RU"/>
        </w:rPr>
        <w:t>Репета</w:t>
      </w:r>
      <w:proofErr w:type="spellEnd"/>
      <w:r w:rsidRPr="00B67275">
        <w:rPr>
          <w:rFonts w:ascii="Times New Roman" w:eastAsia="Times New Roman" w:hAnsi="Times New Roman" w:cs="Times New Roman"/>
          <w:sz w:val="28"/>
          <w:szCs w:val="28"/>
          <w:lang w:val="ru-RU"/>
        </w:rPr>
        <w:t xml:space="preserve">-Турсунова, М. </w:t>
      </w:r>
      <w:proofErr w:type="spellStart"/>
      <w:r w:rsidRPr="00B67275">
        <w:rPr>
          <w:rFonts w:ascii="Times New Roman" w:eastAsia="Times New Roman" w:hAnsi="Times New Roman" w:cs="Times New Roman"/>
          <w:sz w:val="28"/>
          <w:szCs w:val="28"/>
          <w:lang w:val="ru-RU"/>
        </w:rPr>
        <w:t>Фрёммель</w:t>
      </w:r>
      <w:proofErr w:type="spellEnd"/>
      <w:r w:rsidRPr="00B67275">
        <w:rPr>
          <w:rFonts w:ascii="Times New Roman" w:eastAsia="Times New Roman" w:hAnsi="Times New Roman" w:cs="Times New Roman"/>
          <w:sz w:val="28"/>
          <w:szCs w:val="28"/>
          <w:lang w:val="ru-RU"/>
        </w:rPr>
        <w:t xml:space="preserve">, А. В. Ядрин.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195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21. Румянцева, Е. Е.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и практикум для бакалавриата и магистратуры / Е. Е. Румянцева.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360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22. Савицкая, Г. В. Анализ хозяйственной деятельности </w:t>
      </w:r>
      <w:proofErr w:type="gramStart"/>
      <w:r w:rsidRPr="00B67275">
        <w:rPr>
          <w:rFonts w:ascii="Times New Roman" w:eastAsia="Times New Roman" w:hAnsi="Times New Roman" w:cs="Times New Roman"/>
          <w:sz w:val="28"/>
          <w:szCs w:val="28"/>
          <w:lang w:val="ru-RU"/>
        </w:rPr>
        <w:t>предприятия :</w:t>
      </w:r>
      <w:proofErr w:type="gramEnd"/>
      <w:r w:rsidRPr="00B67275">
        <w:rPr>
          <w:rFonts w:ascii="Times New Roman" w:eastAsia="Times New Roman" w:hAnsi="Times New Roman" w:cs="Times New Roman"/>
          <w:sz w:val="28"/>
          <w:szCs w:val="28"/>
          <w:lang w:val="ru-RU"/>
        </w:rPr>
        <w:t xml:space="preserve"> учебник / Г. В. Савицкая. — 6-е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и доп. — Москва : ИНФРА-М, 2024. — 378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23. Сергеев, И. В.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и практикум для прикладного бакалавриата / И. В. Сергеев, И. И. Веретенникова, В. В. Шеховцов.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2020. — 314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24. Теплова, Т. В.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и практикум для вузов / Т. В. Теплова. — 2-е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2026. — 781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25. Шарп, У. Ф. Инвестиции / У. Ф. Шарп, Г. Дж. Александер, Д. В. </w:t>
      </w:r>
      <w:proofErr w:type="gramStart"/>
      <w:r w:rsidRPr="00B67275">
        <w:rPr>
          <w:rFonts w:ascii="Times New Roman" w:eastAsia="Times New Roman" w:hAnsi="Times New Roman" w:cs="Times New Roman"/>
          <w:sz w:val="28"/>
          <w:szCs w:val="28"/>
          <w:lang w:val="ru-RU"/>
        </w:rPr>
        <w:t>Бэйли ;</w:t>
      </w:r>
      <w:proofErr w:type="gramEnd"/>
      <w:r w:rsidRPr="00B67275">
        <w:rPr>
          <w:rFonts w:ascii="Times New Roman" w:eastAsia="Times New Roman" w:hAnsi="Times New Roman" w:cs="Times New Roman"/>
          <w:sz w:val="28"/>
          <w:szCs w:val="28"/>
          <w:lang w:val="ru-RU"/>
        </w:rPr>
        <w:t xml:space="preserve"> пер. с англ. — Москва : ИНФРА-М, 2001. — 1027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26.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Л. И.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для вузов /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Е. Г. Князева, Е. А. Разумовская [и др.] ; под ред.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Екатеринбург :</w:t>
      </w:r>
      <w:proofErr w:type="gramEnd"/>
      <w:r w:rsidRPr="00B67275">
        <w:rPr>
          <w:rFonts w:ascii="Times New Roman" w:eastAsia="Times New Roman" w:hAnsi="Times New Roman" w:cs="Times New Roman"/>
          <w:sz w:val="28"/>
          <w:szCs w:val="28"/>
          <w:lang w:val="ru-RU"/>
        </w:rPr>
        <w:t xml:space="preserve"> Изд-во Урал. ун-та ; Москва : ФЛИНТА, 2020. — 612 с.</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III</w:t>
      </w:r>
      <w:r w:rsidRPr="00B67275">
        <w:rPr>
          <w:rFonts w:ascii="Times New Roman" w:eastAsia="Times New Roman" w:hAnsi="Times New Roman" w:cs="Times New Roman"/>
          <w:b/>
          <w:bCs/>
          <w:sz w:val="28"/>
          <w:szCs w:val="28"/>
          <w:lang w:val="ru-RU"/>
        </w:rPr>
        <w:t>. Периодические издания и научные статьи</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27. Батаева, Б. С. Влияние раскрытия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-показателей на финансовые результаты российских публичных компаний / Б. С. Батаева, А. Д. Кокурина // Экономика. Налоги. Право. — 2021. — № 4. — С. 62–71.</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28. Гайфуллина, М. М. Корреляционно-регрессионный анализ инвестиционной привлекательности отрасли / М. М. Гайфуллина, Г. З. Низамова // Управление. — 2021. — Т. 9, № 3. — С. 27–38.</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29. Колесниченко, Д. М. Оценка влияния диверсификации на эффективность инвестиционного портфеля, сформированного на основе модели </w:t>
      </w:r>
      <w:proofErr w:type="spellStart"/>
      <w:r w:rsidRPr="00B67275">
        <w:rPr>
          <w:rFonts w:ascii="Times New Roman" w:eastAsia="Times New Roman" w:hAnsi="Times New Roman" w:cs="Times New Roman"/>
          <w:sz w:val="28"/>
          <w:szCs w:val="28"/>
          <w:lang w:val="ru-RU"/>
        </w:rPr>
        <w:t>Марковица</w:t>
      </w:r>
      <w:proofErr w:type="spellEnd"/>
      <w:r w:rsidRPr="00B67275">
        <w:rPr>
          <w:rFonts w:ascii="Times New Roman" w:eastAsia="Times New Roman" w:hAnsi="Times New Roman" w:cs="Times New Roman"/>
          <w:sz w:val="28"/>
          <w:szCs w:val="28"/>
          <w:lang w:val="ru-RU"/>
        </w:rPr>
        <w:t xml:space="preserve"> / Д. М. Колесниченко // Вестник экономического научного общества студентов и аспирантов. — 2021. — № 2. — С. 14–22.</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30.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В. С. Проблемы и перспективы развития российской металлургии в рамках ЕАЭС / В. С.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 Экономические отношения. — 2024. — Т. 14, № 3. — С. 18–29.</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31.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Н. П.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 xml:space="preserve">-инвестиции и их влияние на развитие финансового рынка / Н. П.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 Наука и образование в условиях цифровой трансформации экономики и общества. — Санкт-</w:t>
      </w:r>
      <w:proofErr w:type="gramStart"/>
      <w:r w:rsidRPr="00B67275">
        <w:rPr>
          <w:rFonts w:ascii="Times New Roman" w:eastAsia="Times New Roman" w:hAnsi="Times New Roman" w:cs="Times New Roman"/>
          <w:sz w:val="28"/>
          <w:szCs w:val="28"/>
          <w:lang w:val="ru-RU"/>
        </w:rPr>
        <w:t>Петербург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СПбГЭУ</w:t>
      </w:r>
      <w:proofErr w:type="spellEnd"/>
      <w:r w:rsidRPr="00B67275">
        <w:rPr>
          <w:rFonts w:ascii="Times New Roman" w:eastAsia="Times New Roman" w:hAnsi="Times New Roman" w:cs="Times New Roman"/>
          <w:sz w:val="28"/>
          <w:szCs w:val="28"/>
          <w:lang w:val="ru-RU"/>
        </w:rPr>
        <w:t>, 2021. — С. 182–187.</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32.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П. Ю. Стратегическое управление стоимостью компании: учёт факторов корпоративного управления / П. Ю.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 Управление корпоративными финансами. — 2005. — № 2. — С. 12–21.</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33. Чупина, И. П. Анализ состояния металлургической промышленности России / И. П. Чупина, А. В. </w:t>
      </w:r>
      <w:proofErr w:type="spellStart"/>
      <w:r w:rsidRPr="00B67275">
        <w:rPr>
          <w:rFonts w:ascii="Times New Roman" w:eastAsia="Times New Roman" w:hAnsi="Times New Roman" w:cs="Times New Roman"/>
          <w:sz w:val="28"/>
          <w:szCs w:val="28"/>
          <w:lang w:val="ru-RU"/>
        </w:rPr>
        <w:t>Тарабардина</w:t>
      </w:r>
      <w:proofErr w:type="spellEnd"/>
      <w:r w:rsidRPr="00B67275">
        <w:rPr>
          <w:rFonts w:ascii="Times New Roman" w:eastAsia="Times New Roman" w:hAnsi="Times New Roman" w:cs="Times New Roman"/>
          <w:sz w:val="28"/>
          <w:szCs w:val="28"/>
          <w:lang w:val="ru-RU"/>
        </w:rPr>
        <w:t xml:space="preserve"> // Вектор экономики. — 2024. — № 3. — С. 11–19.</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b/>
          <w:bCs/>
          <w:sz w:val="28"/>
          <w:szCs w:val="28"/>
          <w:lang w:val="en-US"/>
        </w:rPr>
        <w:t xml:space="preserve">IV. </w:t>
      </w:r>
      <w:proofErr w:type="spellStart"/>
      <w:r w:rsidRPr="00B67275">
        <w:rPr>
          <w:rFonts w:ascii="Times New Roman" w:eastAsia="Times New Roman" w:hAnsi="Times New Roman" w:cs="Times New Roman"/>
          <w:b/>
          <w:bCs/>
          <w:sz w:val="28"/>
          <w:szCs w:val="28"/>
        </w:rPr>
        <w:t>Литература</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на</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иностранных</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языках</w:t>
      </w:r>
      <w:proofErr w:type="spellEnd"/>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34. Fama, E. F. Choosing factors / E. F. Fama, K. R. French // Journal of Financial Economics. — 2018. — Vol. 128, no. 2. — P. 234–252.</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35. Fama, E. F. The Capital Asset Pricing Model: Theory and Evidence / E. F. Fama, K. R. French // Journal of Economic Perspectives. — 2004. — Vol. 18, no. 3. — P. 25–46.</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lastRenderedPageBreak/>
        <w:t xml:space="preserve">36. Markowitz, H. M. Portfolio Selection: Efficient Diversification of Investments / H. M. Markowitz. — New </w:t>
      </w:r>
      <w:proofErr w:type="gramStart"/>
      <w:r w:rsidRPr="00B67275">
        <w:rPr>
          <w:rFonts w:ascii="Times New Roman" w:eastAsia="Times New Roman" w:hAnsi="Times New Roman" w:cs="Times New Roman"/>
          <w:sz w:val="28"/>
          <w:szCs w:val="28"/>
          <w:lang w:val="en-US"/>
        </w:rPr>
        <w:t>York :</w:t>
      </w:r>
      <w:proofErr w:type="gramEnd"/>
      <w:r w:rsidRPr="00B67275">
        <w:rPr>
          <w:rFonts w:ascii="Times New Roman" w:eastAsia="Times New Roman" w:hAnsi="Times New Roman" w:cs="Times New Roman"/>
          <w:sz w:val="28"/>
          <w:szCs w:val="28"/>
          <w:lang w:val="en-US"/>
        </w:rPr>
        <w:t xml:space="preserve"> Wiley, 1959. — 344 p.</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37. Markowitz, H. M. Portfolio Selection / H. M. Markowitz // </w:t>
      </w:r>
      <w:proofErr w:type="gramStart"/>
      <w:r w:rsidRPr="00B67275">
        <w:rPr>
          <w:rFonts w:ascii="Times New Roman" w:eastAsia="Times New Roman" w:hAnsi="Times New Roman" w:cs="Times New Roman"/>
          <w:sz w:val="28"/>
          <w:szCs w:val="28"/>
          <w:lang w:val="en-US"/>
        </w:rPr>
        <w:t>The</w:t>
      </w:r>
      <w:proofErr w:type="gramEnd"/>
      <w:r w:rsidRPr="00B67275">
        <w:rPr>
          <w:rFonts w:ascii="Times New Roman" w:eastAsia="Times New Roman" w:hAnsi="Times New Roman" w:cs="Times New Roman"/>
          <w:sz w:val="28"/>
          <w:szCs w:val="28"/>
          <w:lang w:val="en-US"/>
        </w:rPr>
        <w:t xml:space="preserve"> Journal of Finance. — 1952. — Vol. 7, no. 1. — P. 77–91.</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38. Sharpe, W. F. Capital asset prices: a theory of market equilibrium under conditions of risk / W. F. Sharpe // The Journal of Finance. — 1964. — Vol. 19, no. 3. — P. 425–442.</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39. Sharpe, W. F. Mutual Fund Performance / W. F. Sharpe // </w:t>
      </w:r>
      <w:proofErr w:type="gramStart"/>
      <w:r w:rsidRPr="00B67275">
        <w:rPr>
          <w:rFonts w:ascii="Times New Roman" w:eastAsia="Times New Roman" w:hAnsi="Times New Roman" w:cs="Times New Roman"/>
          <w:sz w:val="28"/>
          <w:szCs w:val="28"/>
          <w:lang w:val="en-US"/>
        </w:rPr>
        <w:t>The</w:t>
      </w:r>
      <w:proofErr w:type="gramEnd"/>
      <w:r w:rsidRPr="00B67275">
        <w:rPr>
          <w:rFonts w:ascii="Times New Roman" w:eastAsia="Times New Roman" w:hAnsi="Times New Roman" w:cs="Times New Roman"/>
          <w:sz w:val="28"/>
          <w:szCs w:val="28"/>
          <w:lang w:val="en-US"/>
        </w:rPr>
        <w:t xml:space="preserve"> Journal of Business. — 1966. — Vol. 39, no. 1. — P. 119–138.</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40. Sortino, F. A. Performance Measurement in a Downside Risk Framework / F. A. Sortino, R. Van Der Meer // </w:t>
      </w:r>
      <w:proofErr w:type="gramStart"/>
      <w:r w:rsidRPr="00B67275">
        <w:rPr>
          <w:rFonts w:ascii="Times New Roman" w:eastAsia="Times New Roman" w:hAnsi="Times New Roman" w:cs="Times New Roman"/>
          <w:sz w:val="28"/>
          <w:szCs w:val="28"/>
          <w:lang w:val="en-US"/>
        </w:rPr>
        <w:t>The</w:t>
      </w:r>
      <w:proofErr w:type="gramEnd"/>
      <w:r w:rsidRPr="00B67275">
        <w:rPr>
          <w:rFonts w:ascii="Times New Roman" w:eastAsia="Times New Roman" w:hAnsi="Times New Roman" w:cs="Times New Roman"/>
          <w:sz w:val="28"/>
          <w:szCs w:val="28"/>
          <w:lang w:val="en-US"/>
        </w:rPr>
        <w:t xml:space="preserve"> Journal of Portfolio Management. — 1991. — Vol. 18, no. 1. — P. 27–31.</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41. Treynor, J. L. How to Rate Management of Investment Funds / J. L. Treynor // Harvard Business Review. — 1965. — Vol. 43, no. 1. — P. 63–75.</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42. Jensen, M. C. The Performance of Mutual Funds in the Period 1945–1964 / M. C. Jensen // </w:t>
      </w:r>
      <w:proofErr w:type="gramStart"/>
      <w:r w:rsidRPr="00B67275">
        <w:rPr>
          <w:rFonts w:ascii="Times New Roman" w:eastAsia="Times New Roman" w:hAnsi="Times New Roman" w:cs="Times New Roman"/>
          <w:sz w:val="28"/>
          <w:szCs w:val="28"/>
          <w:lang w:val="en-US"/>
        </w:rPr>
        <w:t>The</w:t>
      </w:r>
      <w:proofErr w:type="gramEnd"/>
      <w:r w:rsidRPr="00B67275">
        <w:rPr>
          <w:rFonts w:ascii="Times New Roman" w:eastAsia="Times New Roman" w:hAnsi="Times New Roman" w:cs="Times New Roman"/>
          <w:sz w:val="28"/>
          <w:szCs w:val="28"/>
          <w:lang w:val="en-US"/>
        </w:rPr>
        <w:t xml:space="preserve"> Journal of Finance. — 1968. — Vol. 23, no. 2. — P. 389–416.</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43. Altman, E. I. Predicting Financial Distress of Companies: Revisiting the Z-Score and ZETA Models / E. I. Altman // Stern School of Business Working Paper. — 2000. — 54 p.</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44. Black, F. The Pricing of Options and Corporate Liabilities / F. Black, M. Scholes // Journal of Political Economy. — 1973. — Vol. 81, no. 3. — P. 637–654.</w:t>
      </w:r>
    </w:p>
    <w:p w:rsidR="0097563D" w:rsidRPr="00B67275" w:rsidRDefault="0097563D" w:rsidP="00B67275">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45. Damodaran, A. Investment Philosophies: Successful Strategies and the Investors Who Made Them Work / A. Damodaran. — 2nd ed. — </w:t>
      </w:r>
      <w:proofErr w:type="gramStart"/>
      <w:r w:rsidRPr="00B67275">
        <w:rPr>
          <w:rFonts w:ascii="Times New Roman" w:eastAsia="Times New Roman" w:hAnsi="Times New Roman" w:cs="Times New Roman"/>
          <w:sz w:val="28"/>
          <w:szCs w:val="28"/>
          <w:lang w:val="en-US"/>
        </w:rPr>
        <w:t>Hoboken :</w:t>
      </w:r>
      <w:proofErr w:type="gramEnd"/>
      <w:r w:rsidRPr="00B67275">
        <w:rPr>
          <w:rFonts w:ascii="Times New Roman" w:eastAsia="Times New Roman" w:hAnsi="Times New Roman" w:cs="Times New Roman"/>
          <w:sz w:val="28"/>
          <w:szCs w:val="28"/>
          <w:lang w:val="en-US"/>
        </w:rPr>
        <w:t xml:space="preserve"> Wiley, 2012. — 614 p.</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V</w:t>
      </w:r>
      <w:r w:rsidRPr="00B67275">
        <w:rPr>
          <w:rFonts w:ascii="Times New Roman" w:eastAsia="Times New Roman" w:hAnsi="Times New Roman" w:cs="Times New Roman"/>
          <w:b/>
          <w:bCs/>
          <w:sz w:val="28"/>
          <w:szCs w:val="28"/>
          <w:lang w:val="ru-RU"/>
        </w:rPr>
        <w:t>. Интернет-ресурсы и корпоративная финансовая отчётность</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46. Банк России (Центральный банк Российской Федерации</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cbr</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07.05.2026).</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47. Московская </w:t>
      </w:r>
      <w:proofErr w:type="gramStart"/>
      <w:r w:rsidRPr="00B67275">
        <w:rPr>
          <w:rFonts w:ascii="Times New Roman" w:eastAsia="Times New Roman" w:hAnsi="Times New Roman" w:cs="Times New Roman"/>
          <w:sz w:val="28"/>
          <w:szCs w:val="28"/>
          <w:lang w:val="ru-RU"/>
        </w:rPr>
        <w:t>Биржа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moex</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07.05.2026).</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48. ПАО «Северсталь</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2023 год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severstal</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06.05.2026).</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49. Федеральная служба государственной статистики (Росстат</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rosstat</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gov</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rsidR="0097563D" w:rsidRPr="00B67275" w:rsidRDefault="0097563D" w:rsidP="00B67275">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50. Центр раскрытия корпоративной информации «Интерфакс»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e</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disclosure</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rsidR="00FE64C3" w:rsidRPr="00B67275" w:rsidRDefault="00FE64C3" w:rsidP="00B67275">
      <w:pPr>
        <w:spacing w:line="360" w:lineRule="auto"/>
        <w:ind w:firstLine="709"/>
        <w:jc w:val="both"/>
        <w:rPr>
          <w:rFonts w:ascii="Times New Roman" w:hAnsi="Times New Roman" w:cs="Times New Roman"/>
          <w:sz w:val="28"/>
          <w:szCs w:val="28"/>
          <w:lang w:val="ru-RU"/>
        </w:rPr>
      </w:pPr>
    </w:p>
    <w:p w:rsidR="00793D47" w:rsidRPr="00B67275" w:rsidRDefault="00793D47" w:rsidP="00B67275">
      <w:pPr>
        <w:spacing w:line="360" w:lineRule="auto"/>
        <w:ind w:firstLine="709"/>
        <w:jc w:val="both"/>
        <w:rPr>
          <w:rFonts w:ascii="Times New Roman" w:hAnsi="Times New Roman" w:cs="Times New Roman"/>
          <w:sz w:val="28"/>
          <w:szCs w:val="28"/>
          <w:lang w:val="ru-RU"/>
        </w:rPr>
      </w:pPr>
    </w:p>
    <w:p w:rsidR="00793D47" w:rsidRPr="00B67275" w:rsidRDefault="00793D47" w:rsidP="00B67275">
      <w:pPr>
        <w:spacing w:line="360" w:lineRule="auto"/>
        <w:ind w:firstLine="709"/>
        <w:jc w:val="both"/>
        <w:rPr>
          <w:rFonts w:ascii="Times New Roman" w:hAnsi="Times New Roman" w:cs="Times New Roman"/>
          <w:b/>
          <w:bCs/>
          <w:sz w:val="28"/>
          <w:szCs w:val="28"/>
          <w:lang w:val="ru-RU"/>
        </w:rPr>
      </w:pPr>
    </w:p>
    <w:p w:rsidR="00793D47" w:rsidRDefault="00793D47" w:rsidP="00793D47">
      <w:pPr>
        <w:ind w:firstLine="709"/>
        <w:jc w:val="both"/>
        <w:rPr>
          <w:rFonts w:ascii="Times New Roman" w:hAnsi="Times New Roman" w:cs="Times New Roman"/>
          <w:b/>
          <w:bCs/>
          <w:sz w:val="28"/>
          <w:szCs w:val="28"/>
          <w:lang w:val="ru-RU"/>
        </w:rPr>
      </w:pPr>
    </w:p>
    <w:p w:rsidR="00793D47" w:rsidRDefault="00793D47" w:rsidP="00793D47">
      <w:pPr>
        <w:ind w:firstLine="709"/>
        <w:jc w:val="both"/>
        <w:rPr>
          <w:rFonts w:ascii="Times New Roman" w:hAnsi="Times New Roman" w:cs="Times New Roman"/>
          <w:b/>
          <w:bCs/>
          <w:sz w:val="28"/>
          <w:szCs w:val="28"/>
          <w:lang w:val="ru-RU"/>
        </w:rPr>
      </w:pPr>
    </w:p>
    <w:p w:rsidR="00793D47" w:rsidRDefault="00793D47" w:rsidP="00793D47">
      <w:pPr>
        <w:ind w:firstLine="709"/>
        <w:jc w:val="both"/>
        <w:rPr>
          <w:rFonts w:ascii="Times New Roman" w:hAnsi="Times New Roman" w:cs="Times New Roman"/>
          <w:b/>
          <w:bCs/>
          <w:sz w:val="28"/>
          <w:szCs w:val="28"/>
          <w:lang w:val="ru-RU"/>
        </w:rPr>
      </w:pPr>
    </w:p>
    <w:p w:rsidR="00793D47" w:rsidRPr="00E64932" w:rsidRDefault="00793D47" w:rsidP="00612FCD">
      <w:pPr>
        <w:jc w:val="both"/>
        <w:rPr>
          <w:rFonts w:ascii="Times New Roman" w:hAnsi="Times New Roman" w:cs="Times New Roman"/>
          <w:sz w:val="28"/>
          <w:szCs w:val="28"/>
          <w:lang w:val="ru-RU"/>
        </w:rPr>
      </w:pPr>
    </w:p>
    <w:sectPr w:rsidR="00793D47" w:rsidRPr="00E64932" w:rsidSect="00F834A7">
      <w:footerReference w:type="default" r:id="rId9"/>
      <w:type w:val="oddPage"/>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768" w:rsidRDefault="00A35768" w:rsidP="002C229C">
      <w:pPr>
        <w:spacing w:line="240" w:lineRule="auto"/>
      </w:pPr>
      <w:r>
        <w:separator/>
      </w:r>
    </w:p>
  </w:endnote>
  <w:endnote w:type="continuationSeparator" w:id="0">
    <w:p w:rsidR="00A35768" w:rsidRDefault="00A35768"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DF26F621-2188-4E20-A672-11C44D064B82}"/>
  </w:font>
  <w:font w:name="Tahoma">
    <w:panose1 w:val="020B0604030504040204"/>
    <w:charset w:val="00"/>
    <w:family w:val="auto"/>
    <w:pitch w:val="default"/>
    <w:embedRegular r:id="rId2" w:fontKey="{47767C40-A5E6-4FA7-85D1-FCBAAC567E14}"/>
  </w:font>
  <w:font w:name="Cambria Math">
    <w:panose1 w:val="02040503050406030204"/>
    <w:charset w:val="CC"/>
    <w:family w:val="roman"/>
    <w:pitch w:val="variable"/>
    <w:sig w:usb0="E00002FF" w:usb1="420024FF" w:usb2="00000000" w:usb3="00000000" w:csb0="0000019F" w:csb1="00000000"/>
    <w:embedRegular r:id="rId3" w:fontKey="{BAEDD9F5-CBD4-499B-B994-9B1BA96792CF}"/>
    <w:embedItalic r:id="rId4" w:fontKey="{564869A1-4FF2-412E-B120-83ED5C61E356}"/>
  </w:font>
  <w:font w:name="Cambria">
    <w:panose1 w:val="02040503050406030204"/>
    <w:charset w:val="00"/>
    <w:family w:val="auto"/>
    <w:pitch w:val="default"/>
    <w:embedRegular r:id="rId5" w:fontKey="{57689167-1C8C-4AB6-9192-92DEBF80914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5940354"/>
      <w:docPartObj>
        <w:docPartGallery w:val="Page Numbers (Bottom of Page)"/>
        <w:docPartUnique/>
      </w:docPartObj>
    </w:sdtPr>
    <w:sdtEndPr>
      <w:rPr>
        <w:rFonts w:ascii="Times New Roman" w:hAnsi="Times New Roman" w:cs="Times New Roman"/>
        <w:sz w:val="28"/>
        <w:szCs w:val="28"/>
      </w:rPr>
    </w:sdtEndPr>
    <w:sdtContent>
      <w:p w:rsidR="00677407" w:rsidRPr="00CD1CF2" w:rsidRDefault="00677407">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8F5DD0" w:rsidRPr="008F5DD0">
          <w:rPr>
            <w:rFonts w:ascii="Times New Roman" w:hAnsi="Times New Roman" w:cs="Times New Roman"/>
            <w:noProof/>
            <w:sz w:val="28"/>
            <w:szCs w:val="28"/>
            <w:lang w:val="ru-RU"/>
          </w:rPr>
          <w:t>21</w:t>
        </w:r>
        <w:r w:rsidRPr="00CD1CF2">
          <w:rPr>
            <w:rFonts w:ascii="Times New Roman" w:hAnsi="Times New Roman" w:cs="Times New Roman"/>
            <w:sz w:val="28"/>
            <w:szCs w:val="28"/>
          </w:rPr>
          <w:fldChar w:fldCharType="end"/>
        </w:r>
      </w:p>
    </w:sdtContent>
  </w:sdt>
  <w:p w:rsidR="00677407" w:rsidRDefault="0067740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768" w:rsidRDefault="00A35768" w:rsidP="002C229C">
      <w:pPr>
        <w:spacing w:line="240" w:lineRule="auto"/>
      </w:pPr>
      <w:r>
        <w:separator/>
      </w:r>
    </w:p>
  </w:footnote>
  <w:footnote w:type="continuationSeparator" w:id="0">
    <w:p w:rsidR="00A35768" w:rsidRDefault="00A35768"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9"/>
  </w:num>
  <w:num w:numId="3">
    <w:abstractNumId w:val="7"/>
  </w:num>
  <w:num w:numId="4">
    <w:abstractNumId w:val="20"/>
  </w:num>
  <w:num w:numId="5">
    <w:abstractNumId w:val="16"/>
  </w:num>
  <w:num w:numId="6">
    <w:abstractNumId w:val="15"/>
  </w:num>
  <w:num w:numId="7">
    <w:abstractNumId w:val="9"/>
  </w:num>
  <w:num w:numId="8">
    <w:abstractNumId w:val="12"/>
  </w:num>
  <w:num w:numId="9">
    <w:abstractNumId w:val="2"/>
  </w:num>
  <w:num w:numId="10">
    <w:abstractNumId w:val="18"/>
  </w:num>
  <w:num w:numId="11">
    <w:abstractNumId w:val="14"/>
  </w:num>
  <w:num w:numId="12">
    <w:abstractNumId w:val="8"/>
  </w:num>
  <w:num w:numId="13">
    <w:abstractNumId w:val="3"/>
  </w:num>
  <w:num w:numId="14">
    <w:abstractNumId w:val="13"/>
  </w:num>
  <w:num w:numId="15">
    <w:abstractNumId w:val="17"/>
  </w:num>
  <w:num w:numId="16">
    <w:abstractNumId w:val="0"/>
  </w:num>
  <w:num w:numId="17">
    <w:abstractNumId w:val="4"/>
  </w:num>
  <w:num w:numId="18">
    <w:abstractNumId w:val="6"/>
  </w:num>
  <w:num w:numId="19">
    <w:abstractNumId w:val="5"/>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7F4"/>
    <w:rsid w:val="00041F4F"/>
    <w:rsid w:val="0007704C"/>
    <w:rsid w:val="00097DFD"/>
    <w:rsid w:val="000C0B11"/>
    <w:rsid w:val="00205FD5"/>
    <w:rsid w:val="00220139"/>
    <w:rsid w:val="002B401D"/>
    <w:rsid w:val="002C229C"/>
    <w:rsid w:val="004167DF"/>
    <w:rsid w:val="004605F7"/>
    <w:rsid w:val="0057476F"/>
    <w:rsid w:val="005F2182"/>
    <w:rsid w:val="00612FCD"/>
    <w:rsid w:val="00631EF4"/>
    <w:rsid w:val="00653A71"/>
    <w:rsid w:val="00675B6A"/>
    <w:rsid w:val="00677407"/>
    <w:rsid w:val="006D6572"/>
    <w:rsid w:val="00710322"/>
    <w:rsid w:val="00793D47"/>
    <w:rsid w:val="007C0ED7"/>
    <w:rsid w:val="007D27F4"/>
    <w:rsid w:val="00876867"/>
    <w:rsid w:val="00884363"/>
    <w:rsid w:val="008F5DD0"/>
    <w:rsid w:val="0094314F"/>
    <w:rsid w:val="0097563D"/>
    <w:rsid w:val="00A30BC7"/>
    <w:rsid w:val="00A30C68"/>
    <w:rsid w:val="00A35768"/>
    <w:rsid w:val="00AC43B0"/>
    <w:rsid w:val="00B50D38"/>
    <w:rsid w:val="00B67275"/>
    <w:rsid w:val="00C76864"/>
    <w:rsid w:val="00CD1CF2"/>
    <w:rsid w:val="00DD5FC9"/>
    <w:rsid w:val="00DE18F0"/>
    <w:rsid w:val="00E2290B"/>
    <w:rsid w:val="00E64932"/>
    <w:rsid w:val="00EC4086"/>
    <w:rsid w:val="00F74D7F"/>
    <w:rsid w:val="00F834A7"/>
    <w:rsid w:val="00FB4C04"/>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1EE76"/>
  <w15:docId w15:val="{D6DFE454-D992-4335-AFEC-09DB1093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5FC9"/>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BA8BD-EDA3-4441-B16E-5D4A771F7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71</Pages>
  <Words>16853</Words>
  <Characters>96068</Characters>
  <Application>Microsoft Office Word</Application>
  <DocSecurity>0</DocSecurity>
  <Lines>800</Lines>
  <Paragraphs>225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Alexeyes1</dc:creator>
  <cp:lastModifiedBy>Колпаков Александр Павлович</cp:lastModifiedBy>
  <cp:revision>4</cp:revision>
  <dcterms:created xsi:type="dcterms:W3CDTF">2026-05-21T02:24:00Z</dcterms:created>
  <dcterms:modified xsi:type="dcterms:W3CDTF">2026-05-29T06:17:00Z</dcterms:modified>
</cp:coreProperties>
</file>