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8" w:space="0" w:color="auto"/>
        </w:tblBorders>
        <w:tblLook w:val="04A0" w:firstRow="1" w:lastRow="0" w:firstColumn="1" w:lastColumn="0" w:noHBand="0" w:noVBand="1"/>
      </w:tblPr>
      <w:tblGrid>
        <w:gridCol w:w="9322"/>
      </w:tblGrid>
      <w:tr w:rsidR="00CD1CF2" w:rsidRPr="00FF1FEF" w14:paraId="644FA773" w14:textId="77777777" w:rsidTr="004605F7">
        <w:trPr>
          <w:trHeight w:val="1361"/>
        </w:trPr>
        <w:tc>
          <w:tcPr>
            <w:tcW w:w="9322" w:type="dxa"/>
            <w:tcBorders>
              <w:bottom w:val="single" w:sz="12" w:space="0" w:color="auto"/>
            </w:tcBorders>
            <w:vAlign w:val="center"/>
          </w:tcPr>
          <w:p w14:paraId="333DAF94"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noProof/>
                <w:sz w:val="24"/>
                <w:szCs w:val="24"/>
                <w:lang w:val="ru-RU"/>
              </w:rPr>
              <w:drawing>
                <wp:anchor distT="0" distB="0" distL="114300" distR="114300" simplePos="0" relativeHeight="251659264" behindDoc="1" locked="0" layoutInCell="1" allowOverlap="1" wp14:anchorId="251913A3" wp14:editId="65C33599">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anchor>
              </w:drawing>
            </w:r>
            <w:r w:rsidRPr="00CD1CF2">
              <w:rPr>
                <w:rFonts w:ascii="Times New Roman" w:eastAsia="Times New Roman" w:hAnsi="Times New Roman" w:cs="Times New Roman"/>
                <w:b/>
                <w:sz w:val="24"/>
                <w:szCs w:val="24"/>
                <w:lang w:val="ru-RU"/>
              </w:rPr>
              <w:t>МИНОБРНАУКИ РОССИИ</w:t>
            </w:r>
          </w:p>
          <w:p w14:paraId="60859668" w14:textId="77777777" w:rsidR="00CD1CF2" w:rsidRPr="00CD1CF2" w:rsidRDefault="00CD1CF2" w:rsidP="004605F7">
            <w:pPr>
              <w:widowControl w:val="0"/>
              <w:spacing w:line="240" w:lineRule="auto"/>
              <w:jc w:val="center"/>
              <w:rPr>
                <w:rFonts w:ascii="Times New Roman" w:eastAsia="Times New Roman" w:hAnsi="Times New Roman" w:cs="Times New Roman"/>
                <w:bCs/>
                <w:sz w:val="24"/>
                <w:szCs w:val="24"/>
                <w:lang w:val="ru-RU"/>
              </w:rPr>
            </w:pPr>
            <w:r w:rsidRPr="00CD1CF2">
              <w:rPr>
                <w:rFonts w:ascii="Times New Roman" w:eastAsia="Times New Roman" w:hAnsi="Times New Roman" w:cs="Times New Roman"/>
                <w:bCs/>
                <w:sz w:val="24"/>
                <w:szCs w:val="24"/>
                <w:lang w:val="ru-RU"/>
              </w:rPr>
              <w:t>федеральное государственное бюджетное образовательное</w:t>
            </w:r>
          </w:p>
          <w:p w14:paraId="7FE80538" w14:textId="77777777" w:rsidR="00CD1CF2" w:rsidRPr="00CD1CF2" w:rsidRDefault="00CD1CF2" w:rsidP="004605F7">
            <w:pPr>
              <w:spacing w:line="240" w:lineRule="auto"/>
              <w:jc w:val="center"/>
              <w:rPr>
                <w:rFonts w:ascii="Times New Roman" w:eastAsia="Times New Roman" w:hAnsi="Times New Roman" w:cs="Times New Roman"/>
                <w:sz w:val="24"/>
                <w:szCs w:val="24"/>
                <w:lang w:val="ru-RU"/>
              </w:rPr>
            </w:pPr>
            <w:r w:rsidRPr="00CD1CF2">
              <w:rPr>
                <w:rFonts w:ascii="Times New Roman" w:eastAsia="Times New Roman" w:hAnsi="Times New Roman" w:cs="Times New Roman"/>
                <w:sz w:val="24"/>
                <w:szCs w:val="24"/>
                <w:lang w:val="ru-RU"/>
              </w:rPr>
              <w:t>учреждение высшего образования</w:t>
            </w:r>
          </w:p>
          <w:p w14:paraId="031D35B3"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r w:rsidRPr="00CD1CF2">
              <w:rPr>
                <w:rFonts w:ascii="Times New Roman" w:eastAsia="Times New Roman" w:hAnsi="Times New Roman" w:cs="Times New Roman"/>
                <w:b/>
                <w:sz w:val="24"/>
                <w:szCs w:val="24"/>
                <w:lang w:val="ru-RU"/>
              </w:rPr>
              <w:t>«Национальный исследовательский университет «МЭИ»</w:t>
            </w:r>
          </w:p>
          <w:p w14:paraId="12A1CD5A" w14:textId="77777777" w:rsidR="00CD1CF2" w:rsidRPr="00CD1CF2" w:rsidRDefault="00CD1CF2" w:rsidP="004605F7">
            <w:pPr>
              <w:widowControl w:val="0"/>
              <w:spacing w:line="240" w:lineRule="auto"/>
              <w:jc w:val="center"/>
              <w:rPr>
                <w:rFonts w:ascii="Times New Roman" w:eastAsia="Times New Roman" w:hAnsi="Times New Roman" w:cs="Times New Roman"/>
                <w:b/>
                <w:sz w:val="24"/>
                <w:szCs w:val="24"/>
                <w:lang w:val="ru-RU"/>
              </w:rPr>
            </w:pPr>
          </w:p>
        </w:tc>
      </w:tr>
    </w:tbl>
    <w:p w14:paraId="5ED7C8A2" w14:textId="77777777" w:rsidR="00CD1CF2" w:rsidRPr="00CD1CF2" w:rsidRDefault="00CD1CF2" w:rsidP="00CD1CF2">
      <w:pPr>
        <w:spacing w:line="240" w:lineRule="auto"/>
        <w:jc w:val="center"/>
        <w:rPr>
          <w:rFonts w:ascii="Times New Roman" w:eastAsia="Times New Roman" w:hAnsi="Times New Roman" w:cs="Times New Roman"/>
          <w:sz w:val="20"/>
          <w:szCs w:val="20"/>
          <w:lang w:val="ru-RU"/>
        </w:rPr>
      </w:pPr>
    </w:p>
    <w:tbl>
      <w:tblPr>
        <w:tblW w:w="9322" w:type="dxa"/>
        <w:tblLook w:val="04A0" w:firstRow="1" w:lastRow="0" w:firstColumn="1" w:lastColumn="0" w:noHBand="0" w:noVBand="1"/>
      </w:tblPr>
      <w:tblGrid>
        <w:gridCol w:w="6180"/>
        <w:gridCol w:w="3142"/>
      </w:tblGrid>
      <w:tr w:rsidR="00CD1CF2" w:rsidRPr="00CD1CF2" w14:paraId="49FEF462" w14:textId="77777777" w:rsidTr="004605F7">
        <w:trPr>
          <w:trHeight w:val="371"/>
        </w:trPr>
        <w:tc>
          <w:tcPr>
            <w:tcW w:w="6180" w:type="dxa"/>
          </w:tcPr>
          <w:p w14:paraId="1738D13C" w14:textId="77777777" w:rsidR="00CD1CF2" w:rsidRPr="00CD1CF2" w:rsidRDefault="00CD1CF2" w:rsidP="004605F7">
            <w:pPr>
              <w:spacing w:line="240" w:lineRule="auto"/>
              <w:ind w:left="4820"/>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Институт</w:t>
            </w:r>
          </w:p>
        </w:tc>
        <w:tc>
          <w:tcPr>
            <w:tcW w:w="3142" w:type="dxa"/>
            <w:tcBorders>
              <w:bottom w:val="single" w:sz="4" w:space="0" w:color="auto"/>
            </w:tcBorders>
          </w:tcPr>
          <w:p w14:paraId="79BFB13A"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ИнЭИ</w:t>
            </w:r>
          </w:p>
        </w:tc>
      </w:tr>
      <w:tr w:rsidR="00CD1CF2" w:rsidRPr="00CD1CF2" w14:paraId="156DF219" w14:textId="77777777" w:rsidTr="004605F7">
        <w:trPr>
          <w:trHeight w:val="303"/>
        </w:trPr>
        <w:tc>
          <w:tcPr>
            <w:tcW w:w="6180" w:type="dxa"/>
          </w:tcPr>
          <w:p w14:paraId="54F2263F" w14:textId="77777777" w:rsidR="00CD1CF2" w:rsidRPr="00CD1CF2" w:rsidRDefault="00CD1CF2" w:rsidP="004605F7">
            <w:pPr>
              <w:spacing w:line="240" w:lineRule="auto"/>
              <w:ind w:left="4820"/>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Кафедра</w:t>
            </w:r>
          </w:p>
        </w:tc>
        <w:tc>
          <w:tcPr>
            <w:tcW w:w="3142" w:type="dxa"/>
            <w:tcBorders>
              <w:top w:val="single" w:sz="4" w:space="0" w:color="auto"/>
              <w:bottom w:val="single" w:sz="4" w:space="0" w:color="auto"/>
            </w:tcBorders>
          </w:tcPr>
          <w:p w14:paraId="68B22623"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sz w:val="26"/>
                <w:szCs w:val="26"/>
              </w:rPr>
              <w:t>ЭЭП</w:t>
            </w:r>
          </w:p>
        </w:tc>
      </w:tr>
    </w:tbl>
    <w:p w14:paraId="35ED5358"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p>
    <w:p w14:paraId="6CA31B87" w14:textId="77777777" w:rsidR="00CD1CF2" w:rsidRPr="00CD1CF2" w:rsidRDefault="00CD1CF2" w:rsidP="00CD1CF2">
      <w:pPr>
        <w:spacing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ВЫПУСКНАЯ КВАЛИФИКАЦИОННАЯ РАБОТА</w:t>
      </w:r>
    </w:p>
    <w:p w14:paraId="4863EB99" w14:textId="77777777" w:rsidR="00CD1CF2" w:rsidRPr="00CD1CF2" w:rsidRDefault="00CD1CF2" w:rsidP="00CD1CF2">
      <w:pPr>
        <w:spacing w:after="120" w:line="240" w:lineRule="auto"/>
        <w:jc w:val="center"/>
        <w:rPr>
          <w:rFonts w:ascii="Times New Roman" w:eastAsia="Times New Roman" w:hAnsi="Times New Roman" w:cs="Times New Roman"/>
          <w:b/>
          <w:caps/>
          <w:sz w:val="26"/>
          <w:szCs w:val="26"/>
        </w:rPr>
      </w:pPr>
      <w:r w:rsidRPr="00CD1CF2">
        <w:rPr>
          <w:rFonts w:ascii="Times New Roman" w:eastAsia="Times New Roman" w:hAnsi="Times New Roman" w:cs="Times New Roman"/>
          <w:b/>
          <w:caps/>
          <w:sz w:val="26"/>
          <w:szCs w:val="26"/>
        </w:rPr>
        <w:t>(бакалаврская работа)</w:t>
      </w: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00CD1CF2" w:rsidRPr="00CD1CF2" w14:paraId="65B057AE" w14:textId="77777777" w:rsidTr="004605F7">
        <w:trPr>
          <w:trHeight w:val="292"/>
        </w:trPr>
        <w:tc>
          <w:tcPr>
            <w:tcW w:w="1943" w:type="dxa"/>
            <w:gridSpan w:val="4"/>
            <w:tcBorders>
              <w:bottom w:val="single" w:sz="4" w:space="0" w:color="auto"/>
            </w:tcBorders>
            <w:vAlign w:val="bottom"/>
          </w:tcPr>
          <w:p w14:paraId="3C52399A"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Направление</w:t>
            </w:r>
          </w:p>
        </w:tc>
        <w:tc>
          <w:tcPr>
            <w:tcW w:w="7426" w:type="dxa"/>
            <w:gridSpan w:val="12"/>
            <w:tcBorders>
              <w:bottom w:val="single" w:sz="4" w:space="0" w:color="auto"/>
            </w:tcBorders>
            <w:vAlign w:val="bottom"/>
          </w:tcPr>
          <w:p w14:paraId="3978ADCD" w14:textId="77777777" w:rsidR="00CD1CF2" w:rsidRPr="00CD1CF2" w:rsidRDefault="00CD1CF2" w:rsidP="004605F7">
            <w:pPr>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noProof/>
                <w:sz w:val="26"/>
                <w:szCs w:val="26"/>
              </w:rPr>
              <w:t>38.03.01 Экономика</w:t>
            </w:r>
          </w:p>
        </w:tc>
      </w:tr>
      <w:tr w:rsidR="00CD1CF2" w:rsidRPr="0048431F" w14:paraId="794BBF09" w14:textId="77777777" w:rsidTr="004605F7">
        <w:trPr>
          <w:trHeight w:val="283"/>
        </w:trPr>
        <w:tc>
          <w:tcPr>
            <w:tcW w:w="1972" w:type="dxa"/>
            <w:gridSpan w:val="5"/>
            <w:tcBorders>
              <w:top w:val="single" w:sz="4" w:space="0" w:color="auto"/>
            </w:tcBorders>
            <w:vAlign w:val="bottom"/>
          </w:tcPr>
          <w:p w14:paraId="39208F9E" w14:textId="77777777" w:rsidR="00CD1CF2" w:rsidRPr="0048431F" w:rsidRDefault="00CD1CF2" w:rsidP="004605F7">
            <w:pPr>
              <w:spacing w:line="240" w:lineRule="auto"/>
              <w:rPr>
                <w:rFonts w:ascii="Times New Roman" w:eastAsia="Times New Roman" w:hAnsi="Times New Roman" w:cs="Times New Roman"/>
                <w:strike/>
                <w:sz w:val="20"/>
                <w:szCs w:val="20"/>
              </w:rPr>
            </w:pPr>
          </w:p>
        </w:tc>
        <w:tc>
          <w:tcPr>
            <w:tcW w:w="7397" w:type="dxa"/>
            <w:gridSpan w:val="11"/>
            <w:tcBorders>
              <w:top w:val="single" w:sz="4" w:space="0" w:color="auto"/>
            </w:tcBorders>
          </w:tcPr>
          <w:p w14:paraId="31327F55" w14:textId="77777777" w:rsidR="00CD1CF2" w:rsidRPr="0048431F" w:rsidRDefault="00CD1CF2" w:rsidP="004605F7">
            <w:pPr>
              <w:spacing w:line="240" w:lineRule="auto"/>
              <w:jc w:val="center"/>
              <w:rPr>
                <w:rFonts w:ascii="Times New Roman" w:eastAsia="Times New Roman" w:hAnsi="Times New Roman" w:cs="Times New Roman"/>
                <w:strike/>
                <w:sz w:val="20"/>
                <w:szCs w:val="20"/>
              </w:rPr>
            </w:pPr>
            <w:r w:rsidRPr="0048431F">
              <w:rPr>
                <w:rFonts w:ascii="Times New Roman" w:eastAsia="Times New Roman" w:hAnsi="Times New Roman" w:cs="Times New Roman"/>
                <w:sz w:val="20"/>
                <w:szCs w:val="20"/>
              </w:rPr>
              <w:t>(код и наименование)</w:t>
            </w:r>
          </w:p>
        </w:tc>
      </w:tr>
      <w:tr w:rsidR="00CD1CF2" w:rsidRPr="0048431F" w14:paraId="7A94BA75" w14:textId="77777777" w:rsidTr="004605F7">
        <w:trPr>
          <w:trHeight w:val="331"/>
        </w:trPr>
        <w:tc>
          <w:tcPr>
            <w:tcW w:w="3404" w:type="dxa"/>
            <w:gridSpan w:val="10"/>
            <w:tcBorders>
              <w:bottom w:val="single" w:sz="4" w:space="0" w:color="auto"/>
            </w:tcBorders>
            <w:vAlign w:val="bottom"/>
          </w:tcPr>
          <w:p w14:paraId="69ECB055"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Образовательная программа</w:t>
            </w:r>
          </w:p>
        </w:tc>
        <w:tc>
          <w:tcPr>
            <w:tcW w:w="5965" w:type="dxa"/>
            <w:gridSpan w:val="6"/>
            <w:tcBorders>
              <w:bottom w:val="single" w:sz="4" w:space="0" w:color="auto"/>
            </w:tcBorders>
            <w:vAlign w:val="bottom"/>
          </w:tcPr>
          <w:p w14:paraId="383594A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Корпоративные финансы</w:t>
            </w:r>
          </w:p>
        </w:tc>
      </w:tr>
      <w:tr w:rsidR="00CD1CF2" w:rsidRPr="0048431F" w14:paraId="511AAD6B" w14:textId="77777777" w:rsidTr="004605F7">
        <w:trPr>
          <w:trHeight w:val="510"/>
        </w:trPr>
        <w:tc>
          <w:tcPr>
            <w:tcW w:w="2397" w:type="dxa"/>
            <w:gridSpan w:val="9"/>
            <w:tcBorders>
              <w:top w:val="single" w:sz="4" w:space="0" w:color="auto"/>
              <w:bottom w:val="single" w:sz="4" w:space="0" w:color="auto"/>
            </w:tcBorders>
            <w:vAlign w:val="bottom"/>
          </w:tcPr>
          <w:p w14:paraId="36C21B02"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Форма обучения</w:t>
            </w:r>
          </w:p>
        </w:tc>
        <w:tc>
          <w:tcPr>
            <w:tcW w:w="6972" w:type="dxa"/>
            <w:gridSpan w:val="7"/>
            <w:tcBorders>
              <w:top w:val="single" w:sz="4" w:space="0" w:color="auto"/>
              <w:bottom w:val="single" w:sz="4" w:space="0" w:color="auto"/>
            </w:tcBorders>
            <w:vAlign w:val="bottom"/>
          </w:tcPr>
          <w:p w14:paraId="4F92E2FC" w14:textId="77777777" w:rsidR="00CD1CF2" w:rsidRPr="00CD1CF2" w:rsidRDefault="00CD1CF2" w:rsidP="004605F7">
            <w:pPr>
              <w:spacing w:line="240" w:lineRule="auto"/>
              <w:jc w:val="center"/>
              <w:rPr>
                <w:rFonts w:ascii="Times New Roman" w:eastAsia="Times New Roman" w:hAnsi="Times New Roman" w:cs="Times New Roman"/>
                <w:b/>
                <w:sz w:val="26"/>
                <w:szCs w:val="26"/>
              </w:rPr>
            </w:pPr>
            <w:r w:rsidRPr="00CD1CF2">
              <w:rPr>
                <w:rFonts w:ascii="Times New Roman" w:eastAsia="Times New Roman" w:hAnsi="Times New Roman" w:cs="Times New Roman"/>
                <w:noProof/>
                <w:sz w:val="26"/>
                <w:szCs w:val="26"/>
              </w:rPr>
              <w:t>очная</w:t>
            </w:r>
          </w:p>
        </w:tc>
      </w:tr>
      <w:tr w:rsidR="00CD1CF2" w:rsidRPr="0048431F" w14:paraId="5EEB7D90" w14:textId="77777777" w:rsidTr="004605F7">
        <w:trPr>
          <w:trHeight w:val="283"/>
        </w:trPr>
        <w:tc>
          <w:tcPr>
            <w:tcW w:w="2397" w:type="dxa"/>
            <w:gridSpan w:val="9"/>
            <w:tcBorders>
              <w:top w:val="single" w:sz="4" w:space="0" w:color="auto"/>
            </w:tcBorders>
          </w:tcPr>
          <w:p w14:paraId="077BD3D7" w14:textId="77777777" w:rsidR="00CD1CF2" w:rsidRPr="0048431F" w:rsidRDefault="00CD1CF2" w:rsidP="004605F7">
            <w:pPr>
              <w:spacing w:line="240" w:lineRule="auto"/>
              <w:rPr>
                <w:rFonts w:ascii="Times New Roman" w:eastAsia="Times New Roman" w:hAnsi="Times New Roman" w:cs="Times New Roman"/>
                <w:b/>
                <w:sz w:val="28"/>
                <w:szCs w:val="28"/>
              </w:rPr>
            </w:pPr>
          </w:p>
        </w:tc>
        <w:tc>
          <w:tcPr>
            <w:tcW w:w="6972" w:type="dxa"/>
            <w:gridSpan w:val="7"/>
            <w:tcBorders>
              <w:top w:val="single" w:sz="4" w:space="0" w:color="auto"/>
            </w:tcBorders>
          </w:tcPr>
          <w:p w14:paraId="347A9D2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(очная</w:t>
            </w:r>
            <w:r w:rsidRPr="0048431F">
              <w:rPr>
                <w:rFonts w:ascii="Times New Roman" w:eastAsia="Times New Roman" w:hAnsi="Times New Roman" w:cs="Times New Roman"/>
                <w:sz w:val="20"/>
                <w:szCs w:val="20"/>
                <w:lang w:val="en-US"/>
              </w:rPr>
              <w:t>/</w:t>
            </w:r>
            <w:r w:rsidRPr="0048431F">
              <w:rPr>
                <w:rFonts w:ascii="Times New Roman" w:eastAsia="Times New Roman" w:hAnsi="Times New Roman" w:cs="Times New Roman"/>
                <w:sz w:val="20"/>
                <w:szCs w:val="20"/>
              </w:rPr>
              <w:t>очно-заочная</w:t>
            </w:r>
            <w:r w:rsidRPr="0048431F">
              <w:rPr>
                <w:rFonts w:ascii="Times New Roman" w:eastAsia="Times New Roman" w:hAnsi="Times New Roman" w:cs="Times New Roman"/>
                <w:sz w:val="20"/>
                <w:szCs w:val="20"/>
                <w:lang w:val="en-US"/>
              </w:rPr>
              <w:t>/</w:t>
            </w:r>
            <w:r w:rsidRPr="0048431F">
              <w:rPr>
                <w:rFonts w:ascii="Times New Roman" w:eastAsia="Times New Roman" w:hAnsi="Times New Roman" w:cs="Times New Roman"/>
                <w:sz w:val="20"/>
                <w:szCs w:val="20"/>
              </w:rPr>
              <w:t>заочная)</w:t>
            </w:r>
          </w:p>
        </w:tc>
      </w:tr>
      <w:tr w:rsidR="00CD1CF2" w:rsidRPr="00FF1FEF" w14:paraId="05168C60" w14:textId="77777777" w:rsidTr="004605F7">
        <w:trPr>
          <w:trHeight w:val="283"/>
        </w:trPr>
        <w:tc>
          <w:tcPr>
            <w:tcW w:w="984" w:type="dxa"/>
            <w:tcBorders>
              <w:bottom w:val="single" w:sz="4" w:space="0" w:color="auto"/>
            </w:tcBorders>
            <w:vAlign w:val="bottom"/>
          </w:tcPr>
          <w:p w14:paraId="0B3CF773"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Тема:</w:t>
            </w:r>
          </w:p>
        </w:tc>
        <w:tc>
          <w:tcPr>
            <w:tcW w:w="8385" w:type="dxa"/>
            <w:gridSpan w:val="15"/>
            <w:tcBorders>
              <w:bottom w:val="single" w:sz="4" w:space="0" w:color="auto"/>
            </w:tcBorders>
            <w:vAlign w:val="bottom"/>
          </w:tcPr>
          <w:p w14:paraId="3CEDAD1A"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noProof/>
                <w:sz w:val="26"/>
                <w:szCs w:val="26"/>
                <w:lang w:val="ru-RU"/>
              </w:rPr>
              <w:t>Оценка состава инвестиционного портфеля ОПИФ РФИ "ВИМ - Металлургия" и разработка рекомендаций по его оптимизации</w:t>
            </w:r>
          </w:p>
        </w:tc>
      </w:tr>
      <w:tr w:rsidR="00CD1CF2" w:rsidRPr="0048431F" w14:paraId="3E36FE77" w14:textId="77777777" w:rsidTr="004605F7">
        <w:trPr>
          <w:trHeight w:val="624"/>
        </w:trPr>
        <w:tc>
          <w:tcPr>
            <w:tcW w:w="1293" w:type="dxa"/>
            <w:gridSpan w:val="3"/>
            <w:tcBorders>
              <w:top w:val="single" w:sz="4" w:space="0" w:color="auto"/>
              <w:bottom w:val="single" w:sz="4" w:space="0" w:color="auto"/>
            </w:tcBorders>
            <w:vAlign w:val="bottom"/>
          </w:tcPr>
          <w:p w14:paraId="4D13EEC1"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Студент</w:t>
            </w:r>
          </w:p>
        </w:tc>
        <w:tc>
          <w:tcPr>
            <w:tcW w:w="2238" w:type="dxa"/>
            <w:gridSpan w:val="8"/>
            <w:tcBorders>
              <w:top w:val="single" w:sz="4" w:space="0" w:color="auto"/>
              <w:bottom w:val="single" w:sz="4" w:space="0" w:color="auto"/>
            </w:tcBorders>
            <w:vAlign w:val="bottom"/>
          </w:tcPr>
          <w:p w14:paraId="10BB3E94"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p>
        </w:tc>
        <w:tc>
          <w:tcPr>
            <w:tcW w:w="2140" w:type="dxa"/>
            <w:gridSpan w:val="3"/>
            <w:tcBorders>
              <w:top w:val="single" w:sz="4" w:space="0" w:color="auto"/>
              <w:bottom w:val="single" w:sz="4" w:space="0" w:color="auto"/>
            </w:tcBorders>
            <w:vAlign w:val="bottom"/>
          </w:tcPr>
          <w:p w14:paraId="7A5C6CC8" w14:textId="77777777" w:rsidR="00CD1CF2" w:rsidRPr="00CD1CF2" w:rsidRDefault="00CD1CF2" w:rsidP="004605F7">
            <w:pPr>
              <w:spacing w:line="240" w:lineRule="auto"/>
              <w:jc w:val="center"/>
              <w:rPr>
                <w:rFonts w:ascii="Times New Roman" w:eastAsia="Times New Roman" w:hAnsi="Times New Roman" w:cs="Times New Roman"/>
                <w:b/>
                <w:sz w:val="26"/>
                <w:szCs w:val="26"/>
              </w:rPr>
            </w:pPr>
          </w:p>
        </w:tc>
        <w:tc>
          <w:tcPr>
            <w:tcW w:w="3698" w:type="dxa"/>
            <w:gridSpan w:val="2"/>
            <w:tcBorders>
              <w:top w:val="single" w:sz="4" w:space="0" w:color="auto"/>
              <w:bottom w:val="single" w:sz="4" w:space="0" w:color="auto"/>
            </w:tcBorders>
            <w:vAlign w:val="bottom"/>
          </w:tcPr>
          <w:p w14:paraId="46C63DA0" w14:textId="77777777" w:rsidR="00CD1CF2" w:rsidRPr="00CD1CF2" w:rsidRDefault="00CD1CF2" w:rsidP="004605F7">
            <w:pPr>
              <w:spacing w:line="240" w:lineRule="auto"/>
              <w:jc w:val="center"/>
              <w:rPr>
                <w:rFonts w:ascii="Times New Roman" w:eastAsia="Times New Roman" w:hAnsi="Times New Roman" w:cs="Times New Roman"/>
                <w:sz w:val="26"/>
                <w:szCs w:val="26"/>
                <w:lang w:val="ru-RU"/>
              </w:rPr>
            </w:pPr>
          </w:p>
        </w:tc>
      </w:tr>
      <w:tr w:rsidR="00CD1CF2" w:rsidRPr="0048431F" w14:paraId="26E8C3CE" w14:textId="77777777" w:rsidTr="004605F7">
        <w:trPr>
          <w:trHeight w:val="283"/>
        </w:trPr>
        <w:tc>
          <w:tcPr>
            <w:tcW w:w="1263" w:type="dxa"/>
            <w:gridSpan w:val="2"/>
            <w:tcBorders>
              <w:top w:val="single" w:sz="4" w:space="0" w:color="auto"/>
            </w:tcBorders>
          </w:tcPr>
          <w:p w14:paraId="5ECCDED0"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2268" w:type="dxa"/>
            <w:gridSpan w:val="9"/>
            <w:tcBorders>
              <w:top w:val="single" w:sz="4" w:space="0" w:color="auto"/>
            </w:tcBorders>
          </w:tcPr>
          <w:p w14:paraId="748CCB9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группа</w:t>
            </w:r>
          </w:p>
        </w:tc>
        <w:tc>
          <w:tcPr>
            <w:tcW w:w="2140" w:type="dxa"/>
            <w:gridSpan w:val="3"/>
            <w:tcBorders>
              <w:top w:val="single" w:sz="4" w:space="0" w:color="auto"/>
            </w:tcBorders>
          </w:tcPr>
          <w:p w14:paraId="586C687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подпись</w:t>
            </w:r>
          </w:p>
        </w:tc>
        <w:tc>
          <w:tcPr>
            <w:tcW w:w="3698" w:type="dxa"/>
            <w:gridSpan w:val="2"/>
            <w:tcBorders>
              <w:top w:val="single" w:sz="4" w:space="0" w:color="auto"/>
            </w:tcBorders>
          </w:tcPr>
          <w:p w14:paraId="51F108B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фамилия и инициалы</w:t>
            </w:r>
          </w:p>
        </w:tc>
      </w:tr>
      <w:tr w:rsidR="00CD1CF2" w:rsidRPr="0048431F" w14:paraId="3171A266" w14:textId="77777777" w:rsidTr="004605F7">
        <w:trPr>
          <w:trHeight w:val="624"/>
        </w:trPr>
        <w:tc>
          <w:tcPr>
            <w:tcW w:w="2125" w:type="dxa"/>
            <w:gridSpan w:val="8"/>
            <w:tcBorders>
              <w:bottom w:val="single" w:sz="4" w:space="0" w:color="auto"/>
            </w:tcBorders>
            <w:vAlign w:val="bottom"/>
          </w:tcPr>
          <w:p w14:paraId="4AAC6F75"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Руководитель ВКР</w:t>
            </w:r>
          </w:p>
        </w:tc>
        <w:tc>
          <w:tcPr>
            <w:tcW w:w="1279" w:type="dxa"/>
            <w:gridSpan w:val="2"/>
            <w:tcBorders>
              <w:bottom w:val="single" w:sz="4" w:space="0" w:color="auto"/>
            </w:tcBorders>
            <w:vAlign w:val="bottom"/>
          </w:tcPr>
          <w:p w14:paraId="543CA921"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267" w:type="dxa"/>
            <w:gridSpan w:val="4"/>
            <w:tcBorders>
              <w:bottom w:val="single" w:sz="4" w:space="0" w:color="auto"/>
            </w:tcBorders>
            <w:vAlign w:val="bottom"/>
          </w:tcPr>
          <w:p w14:paraId="363137B9"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r w:rsidRPr="00FF1FEF">
              <w:rPr>
                <w:rFonts w:ascii="Times New Roman" w:eastAsia="Times New Roman" w:hAnsi="Times New Roman" w:cs="Times New Roman"/>
                <w:noProof/>
                <w:color w:val="FF0000"/>
                <w:sz w:val="26"/>
                <w:szCs w:val="26"/>
              </w:rPr>
              <w:t>старший преподаватель</w:t>
            </w:r>
          </w:p>
        </w:tc>
        <w:tc>
          <w:tcPr>
            <w:tcW w:w="1134" w:type="dxa"/>
            <w:tcBorders>
              <w:bottom w:val="single" w:sz="4" w:space="0" w:color="auto"/>
            </w:tcBorders>
            <w:vAlign w:val="bottom"/>
          </w:tcPr>
          <w:p w14:paraId="19337ACB" w14:textId="77777777" w:rsidR="00CD1CF2" w:rsidRPr="00CD1CF2" w:rsidRDefault="00CD1CF2" w:rsidP="004605F7">
            <w:pPr>
              <w:spacing w:line="240" w:lineRule="auto"/>
              <w:jc w:val="center"/>
              <w:rPr>
                <w:rFonts w:ascii="Times New Roman" w:eastAsia="Times New Roman" w:hAnsi="Times New Roman" w:cs="Times New Roman"/>
                <w:noProof/>
                <w:sz w:val="26"/>
                <w:szCs w:val="26"/>
              </w:rPr>
            </w:pPr>
          </w:p>
        </w:tc>
        <w:tc>
          <w:tcPr>
            <w:tcW w:w="2564" w:type="dxa"/>
            <w:tcBorders>
              <w:bottom w:val="single" w:sz="4" w:space="0" w:color="auto"/>
            </w:tcBorders>
            <w:vAlign w:val="bottom"/>
          </w:tcPr>
          <w:p w14:paraId="66FA7544"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ru-RU"/>
              </w:rPr>
            </w:pPr>
          </w:p>
        </w:tc>
      </w:tr>
      <w:tr w:rsidR="00CD1CF2" w:rsidRPr="0048431F" w14:paraId="2ED8E814" w14:textId="77777777" w:rsidTr="004605F7">
        <w:trPr>
          <w:trHeight w:val="283"/>
        </w:trPr>
        <w:tc>
          <w:tcPr>
            <w:tcW w:w="2125" w:type="dxa"/>
            <w:gridSpan w:val="8"/>
            <w:tcBorders>
              <w:top w:val="single" w:sz="4" w:space="0" w:color="auto"/>
            </w:tcBorders>
          </w:tcPr>
          <w:p w14:paraId="6F6FDDB9"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79" w:type="dxa"/>
            <w:gridSpan w:val="2"/>
            <w:tcBorders>
              <w:top w:val="single" w:sz="4" w:space="0" w:color="auto"/>
            </w:tcBorders>
          </w:tcPr>
          <w:p w14:paraId="3199E4AA"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77E61B4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должность</w:t>
            </w:r>
          </w:p>
        </w:tc>
        <w:tc>
          <w:tcPr>
            <w:tcW w:w="1134" w:type="dxa"/>
            <w:tcBorders>
              <w:top w:val="single" w:sz="4" w:space="0" w:color="auto"/>
            </w:tcBorders>
          </w:tcPr>
          <w:p w14:paraId="51B27F7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подпись</w:t>
            </w:r>
          </w:p>
        </w:tc>
        <w:tc>
          <w:tcPr>
            <w:tcW w:w="2564" w:type="dxa"/>
            <w:tcBorders>
              <w:top w:val="single" w:sz="4" w:space="0" w:color="auto"/>
            </w:tcBorders>
          </w:tcPr>
          <w:p w14:paraId="47D0C315"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фамилия и инициалы</w:t>
            </w:r>
          </w:p>
        </w:tc>
      </w:tr>
      <w:tr w:rsidR="00CD1CF2" w:rsidRPr="0048431F" w14:paraId="75A5DE55" w14:textId="77777777" w:rsidTr="004605F7">
        <w:trPr>
          <w:trHeight w:val="624"/>
        </w:trPr>
        <w:tc>
          <w:tcPr>
            <w:tcW w:w="2118" w:type="dxa"/>
            <w:gridSpan w:val="7"/>
            <w:tcBorders>
              <w:bottom w:val="single" w:sz="4" w:space="0" w:color="auto"/>
            </w:tcBorders>
            <w:vAlign w:val="bottom"/>
          </w:tcPr>
          <w:p w14:paraId="524C0CE0" w14:textId="77777777" w:rsidR="00CD1CF2" w:rsidRPr="00CD1CF2" w:rsidRDefault="00CD1CF2" w:rsidP="004605F7">
            <w:pPr>
              <w:spacing w:line="240" w:lineRule="auto"/>
              <w:rPr>
                <w:rFonts w:ascii="Times New Roman" w:eastAsia="Times New Roman" w:hAnsi="Times New Roman" w:cs="Times New Roman"/>
                <w:sz w:val="26"/>
                <w:szCs w:val="26"/>
              </w:rPr>
            </w:pPr>
            <w:r w:rsidRPr="00CD1CF2">
              <w:rPr>
                <w:rFonts w:ascii="Times New Roman" w:eastAsia="Times New Roman" w:hAnsi="Times New Roman" w:cs="Times New Roman"/>
                <w:b/>
                <w:sz w:val="26"/>
                <w:szCs w:val="26"/>
              </w:rPr>
              <w:t>Консультант</w:t>
            </w:r>
          </w:p>
        </w:tc>
        <w:tc>
          <w:tcPr>
            <w:tcW w:w="1286" w:type="dxa"/>
            <w:gridSpan w:val="3"/>
            <w:tcBorders>
              <w:bottom w:val="single" w:sz="4" w:space="0" w:color="auto"/>
            </w:tcBorders>
            <w:vAlign w:val="bottom"/>
          </w:tcPr>
          <w:p w14:paraId="4A96BD66"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13ECCB99"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7E4B626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2D0A0D1D"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1C56B9F3" w14:textId="77777777" w:rsidTr="004605F7">
        <w:trPr>
          <w:trHeight w:val="283"/>
        </w:trPr>
        <w:tc>
          <w:tcPr>
            <w:tcW w:w="2118" w:type="dxa"/>
            <w:gridSpan w:val="7"/>
            <w:tcBorders>
              <w:top w:val="single" w:sz="4" w:space="0" w:color="auto"/>
            </w:tcBorders>
          </w:tcPr>
          <w:p w14:paraId="774F6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1286" w:type="dxa"/>
            <w:gridSpan w:val="3"/>
            <w:tcBorders>
              <w:top w:val="single" w:sz="4" w:space="0" w:color="auto"/>
            </w:tcBorders>
          </w:tcPr>
          <w:p w14:paraId="3CA4424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048F5146"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должность</w:t>
            </w:r>
          </w:p>
        </w:tc>
        <w:tc>
          <w:tcPr>
            <w:tcW w:w="1134" w:type="dxa"/>
            <w:tcBorders>
              <w:top w:val="single" w:sz="4" w:space="0" w:color="auto"/>
            </w:tcBorders>
          </w:tcPr>
          <w:p w14:paraId="092D95B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подпись</w:t>
            </w:r>
          </w:p>
        </w:tc>
        <w:tc>
          <w:tcPr>
            <w:tcW w:w="2564" w:type="dxa"/>
            <w:tcBorders>
              <w:top w:val="single" w:sz="4" w:space="0" w:color="auto"/>
            </w:tcBorders>
          </w:tcPr>
          <w:p w14:paraId="34D64D0D"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фамилия и инициалы</w:t>
            </w:r>
          </w:p>
        </w:tc>
      </w:tr>
      <w:tr w:rsidR="00CD1CF2" w:rsidRPr="0048431F" w14:paraId="4F10FB5E" w14:textId="77777777" w:rsidTr="004605F7">
        <w:trPr>
          <w:trHeight w:val="624"/>
        </w:trPr>
        <w:tc>
          <w:tcPr>
            <w:tcW w:w="2118" w:type="dxa"/>
            <w:gridSpan w:val="7"/>
            <w:tcBorders>
              <w:bottom w:val="single" w:sz="4" w:space="0" w:color="auto"/>
            </w:tcBorders>
            <w:vAlign w:val="bottom"/>
          </w:tcPr>
          <w:p w14:paraId="46286B08"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Внешний консультант</w:t>
            </w:r>
          </w:p>
        </w:tc>
        <w:tc>
          <w:tcPr>
            <w:tcW w:w="1286" w:type="dxa"/>
            <w:gridSpan w:val="3"/>
            <w:tcBorders>
              <w:bottom w:val="single" w:sz="4" w:space="0" w:color="auto"/>
            </w:tcBorders>
            <w:vAlign w:val="bottom"/>
          </w:tcPr>
          <w:p w14:paraId="179EDDE3"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267" w:type="dxa"/>
            <w:gridSpan w:val="4"/>
            <w:tcBorders>
              <w:bottom w:val="single" w:sz="4" w:space="0" w:color="auto"/>
            </w:tcBorders>
            <w:vAlign w:val="bottom"/>
          </w:tcPr>
          <w:p w14:paraId="44B307FC"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1134" w:type="dxa"/>
            <w:tcBorders>
              <w:bottom w:val="single" w:sz="4" w:space="0" w:color="auto"/>
            </w:tcBorders>
            <w:vAlign w:val="bottom"/>
          </w:tcPr>
          <w:p w14:paraId="2346231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c>
          <w:tcPr>
            <w:tcW w:w="2564" w:type="dxa"/>
            <w:tcBorders>
              <w:bottom w:val="single" w:sz="4" w:space="0" w:color="auto"/>
            </w:tcBorders>
            <w:vAlign w:val="bottom"/>
          </w:tcPr>
          <w:p w14:paraId="54BC18D1" w14:textId="77777777" w:rsidR="00CD1CF2" w:rsidRPr="0048431F" w:rsidRDefault="00CD1CF2" w:rsidP="004605F7">
            <w:pPr>
              <w:spacing w:line="240" w:lineRule="auto"/>
              <w:jc w:val="center"/>
              <w:rPr>
                <w:rFonts w:ascii="Times New Roman" w:eastAsia="Times New Roman" w:hAnsi="Times New Roman" w:cs="Times New Roman"/>
                <w:noProof/>
                <w:sz w:val="28"/>
                <w:szCs w:val="28"/>
              </w:rPr>
            </w:pPr>
          </w:p>
        </w:tc>
      </w:tr>
      <w:tr w:rsidR="00CD1CF2" w:rsidRPr="0048431F" w14:paraId="2EE61F43" w14:textId="77777777" w:rsidTr="004605F7">
        <w:trPr>
          <w:trHeight w:val="283"/>
        </w:trPr>
        <w:tc>
          <w:tcPr>
            <w:tcW w:w="2118" w:type="dxa"/>
            <w:gridSpan w:val="7"/>
            <w:tcBorders>
              <w:top w:val="single" w:sz="4" w:space="0" w:color="auto"/>
            </w:tcBorders>
          </w:tcPr>
          <w:p w14:paraId="59881F2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p w14:paraId="561F6153" w14:textId="77777777" w:rsidR="00CD1CF2" w:rsidRPr="0048431F" w:rsidRDefault="00CD1CF2" w:rsidP="004605F7">
            <w:pPr>
              <w:spacing w:line="240" w:lineRule="auto"/>
              <w:jc w:val="center"/>
              <w:rPr>
                <w:rFonts w:ascii="Times New Roman" w:eastAsia="Times New Roman" w:hAnsi="Times New Roman" w:cs="Times New Roman"/>
                <w:sz w:val="20"/>
                <w:szCs w:val="20"/>
              </w:rPr>
            </w:pPr>
          </w:p>
        </w:tc>
        <w:tc>
          <w:tcPr>
            <w:tcW w:w="1286" w:type="dxa"/>
            <w:gridSpan w:val="3"/>
            <w:tcBorders>
              <w:top w:val="single" w:sz="4" w:space="0" w:color="auto"/>
            </w:tcBorders>
          </w:tcPr>
          <w:p w14:paraId="0CE57E4E"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уч. степень</w:t>
            </w:r>
          </w:p>
        </w:tc>
        <w:tc>
          <w:tcPr>
            <w:tcW w:w="2267" w:type="dxa"/>
            <w:gridSpan w:val="4"/>
            <w:tcBorders>
              <w:top w:val="single" w:sz="4" w:space="0" w:color="auto"/>
            </w:tcBorders>
          </w:tcPr>
          <w:p w14:paraId="5B2B1EF2"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должность</w:t>
            </w:r>
          </w:p>
        </w:tc>
        <w:tc>
          <w:tcPr>
            <w:tcW w:w="1134" w:type="dxa"/>
            <w:tcBorders>
              <w:top w:val="single" w:sz="4" w:space="0" w:color="auto"/>
            </w:tcBorders>
          </w:tcPr>
          <w:p w14:paraId="204F14FD"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подпись</w:t>
            </w:r>
          </w:p>
        </w:tc>
        <w:tc>
          <w:tcPr>
            <w:tcW w:w="2564" w:type="dxa"/>
            <w:tcBorders>
              <w:top w:val="single" w:sz="4" w:space="0" w:color="auto"/>
            </w:tcBorders>
          </w:tcPr>
          <w:p w14:paraId="14E4F70B" w14:textId="77777777" w:rsidR="00CD1CF2" w:rsidRPr="0048431F" w:rsidRDefault="00CD1CF2" w:rsidP="004605F7">
            <w:pPr>
              <w:spacing w:line="240" w:lineRule="auto"/>
              <w:jc w:val="center"/>
              <w:rPr>
                <w:rFonts w:ascii="Times New Roman" w:eastAsia="Times New Roman" w:hAnsi="Times New Roman" w:cs="Times New Roman"/>
                <w:sz w:val="20"/>
                <w:szCs w:val="20"/>
              </w:rPr>
            </w:pPr>
            <w:r w:rsidRPr="0048431F">
              <w:rPr>
                <w:rFonts w:ascii="Times New Roman" w:eastAsia="Times New Roman" w:hAnsi="Times New Roman" w:cs="Times New Roman"/>
                <w:sz w:val="20"/>
                <w:szCs w:val="20"/>
              </w:rPr>
              <w:t>фамилия и инициалы</w:t>
            </w:r>
          </w:p>
        </w:tc>
      </w:tr>
      <w:tr w:rsidR="00CD1CF2" w:rsidRPr="0048431F" w14:paraId="307A8522" w14:textId="77777777" w:rsidTr="004605F7">
        <w:trPr>
          <w:trHeight w:val="80"/>
        </w:trPr>
        <w:tc>
          <w:tcPr>
            <w:tcW w:w="9369" w:type="dxa"/>
            <w:gridSpan w:val="16"/>
            <w:tcBorders>
              <w:bottom w:val="single" w:sz="4" w:space="0" w:color="auto"/>
            </w:tcBorders>
            <w:vAlign w:val="bottom"/>
          </w:tcPr>
          <w:p w14:paraId="4D4A2501"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p>
        </w:tc>
      </w:tr>
      <w:tr w:rsidR="00CD1CF2" w:rsidRPr="0048431F" w14:paraId="5A80D99E" w14:textId="77777777" w:rsidTr="004605F7">
        <w:trPr>
          <w:trHeight w:val="283"/>
        </w:trPr>
        <w:tc>
          <w:tcPr>
            <w:tcW w:w="9369" w:type="dxa"/>
            <w:gridSpan w:val="16"/>
            <w:tcBorders>
              <w:top w:val="single" w:sz="4" w:space="0" w:color="auto"/>
            </w:tcBorders>
            <w:vAlign w:val="center"/>
          </w:tcPr>
          <w:p w14:paraId="67524729" w14:textId="77777777" w:rsidR="00CD1CF2" w:rsidRPr="0048431F" w:rsidRDefault="00CD1CF2" w:rsidP="004605F7">
            <w:pPr>
              <w:spacing w:line="240" w:lineRule="auto"/>
              <w:jc w:val="center"/>
              <w:rPr>
                <w:rFonts w:ascii="Times New Roman" w:eastAsia="Times New Roman" w:hAnsi="Times New Roman" w:cs="Times New Roman"/>
                <w:noProof/>
                <w:sz w:val="28"/>
                <w:szCs w:val="28"/>
                <w:lang w:val="en-US"/>
              </w:rPr>
            </w:pPr>
            <w:r w:rsidRPr="0048431F">
              <w:rPr>
                <w:rFonts w:ascii="Times New Roman" w:eastAsia="Times New Roman" w:hAnsi="Times New Roman" w:cs="Times New Roman"/>
                <w:sz w:val="20"/>
                <w:szCs w:val="20"/>
              </w:rPr>
              <w:t>организация</w:t>
            </w:r>
          </w:p>
        </w:tc>
      </w:tr>
      <w:tr w:rsidR="00CD1CF2" w:rsidRPr="0048431F" w14:paraId="7B766E4D" w14:textId="77777777" w:rsidTr="004605F7">
        <w:trPr>
          <w:trHeight w:val="340"/>
        </w:trPr>
        <w:tc>
          <w:tcPr>
            <w:tcW w:w="9369" w:type="dxa"/>
            <w:gridSpan w:val="16"/>
            <w:tcBorders>
              <w:bottom w:val="single" w:sz="4" w:space="0" w:color="auto"/>
            </w:tcBorders>
            <w:vAlign w:val="bottom"/>
          </w:tcPr>
          <w:p w14:paraId="1C29678E" w14:textId="77777777" w:rsidR="00CD1CF2" w:rsidRPr="00CD1CF2" w:rsidRDefault="00CD1CF2" w:rsidP="004605F7">
            <w:pPr>
              <w:spacing w:line="240" w:lineRule="auto"/>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b/>
                <w:sz w:val="26"/>
                <w:szCs w:val="26"/>
              </w:rPr>
              <w:t>«Работа допущена к защите»</w:t>
            </w:r>
          </w:p>
        </w:tc>
      </w:tr>
      <w:tr w:rsidR="00CD1CF2" w:rsidRPr="0048431F" w14:paraId="168A90CD" w14:textId="77777777" w:rsidTr="004605F7">
        <w:trPr>
          <w:trHeight w:val="624"/>
        </w:trPr>
        <w:tc>
          <w:tcPr>
            <w:tcW w:w="1972" w:type="dxa"/>
            <w:gridSpan w:val="5"/>
            <w:tcBorders>
              <w:bottom w:val="single" w:sz="4" w:space="0" w:color="auto"/>
            </w:tcBorders>
            <w:vAlign w:val="bottom"/>
          </w:tcPr>
          <w:p w14:paraId="09727743" w14:textId="77777777" w:rsidR="00CD1CF2" w:rsidRPr="00CD1CF2" w:rsidRDefault="00CD1CF2" w:rsidP="004605F7">
            <w:pPr>
              <w:spacing w:line="240" w:lineRule="auto"/>
              <w:rPr>
                <w:rFonts w:ascii="Times New Roman" w:eastAsia="Times New Roman" w:hAnsi="Times New Roman" w:cs="Times New Roman"/>
                <w:b/>
                <w:sz w:val="26"/>
                <w:szCs w:val="26"/>
              </w:rPr>
            </w:pPr>
            <w:r w:rsidRPr="00CD1CF2">
              <w:rPr>
                <w:rFonts w:ascii="Times New Roman" w:eastAsia="Times New Roman" w:hAnsi="Times New Roman" w:cs="Times New Roman"/>
                <w:b/>
                <w:sz w:val="26"/>
                <w:szCs w:val="26"/>
              </w:rPr>
              <w:t>Заведующий кафедрой</w:t>
            </w:r>
          </w:p>
        </w:tc>
        <w:tc>
          <w:tcPr>
            <w:tcW w:w="1701" w:type="dxa"/>
            <w:gridSpan w:val="7"/>
            <w:tcBorders>
              <w:bottom w:val="single" w:sz="4" w:space="0" w:color="auto"/>
            </w:tcBorders>
            <w:vAlign w:val="bottom"/>
          </w:tcPr>
          <w:p w14:paraId="0755FF6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к.э.н.</w:t>
            </w:r>
          </w:p>
        </w:tc>
        <w:tc>
          <w:tcPr>
            <w:tcW w:w="1415" w:type="dxa"/>
            <w:tcBorders>
              <w:bottom w:val="single" w:sz="4" w:space="0" w:color="auto"/>
            </w:tcBorders>
            <w:vAlign w:val="bottom"/>
          </w:tcPr>
          <w:p w14:paraId="09343038"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доцент</w:t>
            </w:r>
          </w:p>
        </w:tc>
        <w:tc>
          <w:tcPr>
            <w:tcW w:w="1717" w:type="dxa"/>
            <w:gridSpan w:val="2"/>
            <w:tcBorders>
              <w:bottom w:val="single" w:sz="4" w:space="0" w:color="auto"/>
            </w:tcBorders>
            <w:vAlign w:val="bottom"/>
          </w:tcPr>
          <w:p w14:paraId="322A9C5A"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p>
        </w:tc>
        <w:tc>
          <w:tcPr>
            <w:tcW w:w="2564" w:type="dxa"/>
            <w:tcBorders>
              <w:bottom w:val="single" w:sz="4" w:space="0" w:color="auto"/>
            </w:tcBorders>
            <w:vAlign w:val="bottom"/>
          </w:tcPr>
          <w:p w14:paraId="27BCF187" w14:textId="77777777" w:rsidR="00CD1CF2" w:rsidRPr="00CD1CF2" w:rsidRDefault="00CD1CF2" w:rsidP="004605F7">
            <w:pPr>
              <w:spacing w:line="240" w:lineRule="auto"/>
              <w:jc w:val="center"/>
              <w:rPr>
                <w:rFonts w:ascii="Times New Roman" w:eastAsia="Times New Roman" w:hAnsi="Times New Roman" w:cs="Times New Roman"/>
                <w:noProof/>
                <w:sz w:val="26"/>
                <w:szCs w:val="26"/>
                <w:lang w:val="en-US"/>
              </w:rPr>
            </w:pPr>
            <w:r w:rsidRPr="00CD1CF2">
              <w:rPr>
                <w:rFonts w:ascii="Times New Roman" w:eastAsia="Times New Roman" w:hAnsi="Times New Roman" w:cs="Times New Roman"/>
                <w:noProof/>
                <w:sz w:val="26"/>
                <w:szCs w:val="26"/>
                <w:lang w:val="en-US"/>
              </w:rPr>
              <w:t>Крыленко Е.Е.</w:t>
            </w:r>
          </w:p>
        </w:tc>
      </w:tr>
      <w:tr w:rsidR="00CD1CF2" w:rsidRPr="0048431F" w14:paraId="16D3541A" w14:textId="77777777" w:rsidTr="004605F7">
        <w:trPr>
          <w:trHeight w:val="354"/>
        </w:trPr>
        <w:tc>
          <w:tcPr>
            <w:tcW w:w="1972" w:type="dxa"/>
            <w:gridSpan w:val="5"/>
            <w:tcBorders>
              <w:top w:val="single" w:sz="4" w:space="0" w:color="auto"/>
            </w:tcBorders>
          </w:tcPr>
          <w:p w14:paraId="5CE1CA42" w14:textId="77777777" w:rsidR="00CD1CF2" w:rsidRPr="0048431F" w:rsidRDefault="00CD1CF2" w:rsidP="004605F7">
            <w:pPr>
              <w:rPr>
                <w:rFonts w:ascii="Times New Roman" w:eastAsia="Times New Roman" w:hAnsi="Times New Roman" w:cs="Times New Roman"/>
                <w:b/>
                <w:sz w:val="28"/>
                <w:szCs w:val="28"/>
                <w:lang w:val="en-US"/>
              </w:rPr>
            </w:pPr>
          </w:p>
        </w:tc>
        <w:tc>
          <w:tcPr>
            <w:tcW w:w="1701" w:type="dxa"/>
            <w:gridSpan w:val="7"/>
            <w:tcBorders>
              <w:top w:val="single" w:sz="4" w:space="0" w:color="auto"/>
            </w:tcBorders>
          </w:tcPr>
          <w:p w14:paraId="5D19323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sidRPr="0048431F">
              <w:rPr>
                <w:rFonts w:ascii="Times New Roman" w:eastAsia="Times New Roman" w:hAnsi="Times New Roman" w:cs="Times New Roman"/>
                <w:sz w:val="20"/>
                <w:szCs w:val="20"/>
              </w:rPr>
              <w:t>уч. степень</w:t>
            </w:r>
          </w:p>
        </w:tc>
        <w:tc>
          <w:tcPr>
            <w:tcW w:w="1415" w:type="dxa"/>
            <w:tcBorders>
              <w:top w:val="single" w:sz="4" w:space="0" w:color="auto"/>
            </w:tcBorders>
          </w:tcPr>
          <w:p w14:paraId="2AA986C9"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sidRPr="0048431F">
              <w:rPr>
                <w:rFonts w:ascii="Times New Roman" w:eastAsia="Times New Roman" w:hAnsi="Times New Roman" w:cs="Times New Roman"/>
                <w:sz w:val="20"/>
                <w:szCs w:val="20"/>
              </w:rPr>
              <w:t>звание</w:t>
            </w:r>
          </w:p>
        </w:tc>
        <w:tc>
          <w:tcPr>
            <w:tcW w:w="1717" w:type="dxa"/>
            <w:gridSpan w:val="2"/>
            <w:tcBorders>
              <w:top w:val="single" w:sz="4" w:space="0" w:color="auto"/>
            </w:tcBorders>
          </w:tcPr>
          <w:p w14:paraId="44A49613"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sidRPr="0048431F">
              <w:rPr>
                <w:rFonts w:ascii="Times New Roman" w:eastAsia="Times New Roman" w:hAnsi="Times New Roman" w:cs="Times New Roman"/>
                <w:sz w:val="20"/>
                <w:szCs w:val="20"/>
              </w:rPr>
              <w:t>подпись</w:t>
            </w:r>
          </w:p>
        </w:tc>
        <w:tc>
          <w:tcPr>
            <w:tcW w:w="2564" w:type="dxa"/>
            <w:tcBorders>
              <w:top w:val="single" w:sz="4" w:space="0" w:color="auto"/>
            </w:tcBorders>
          </w:tcPr>
          <w:p w14:paraId="791E348F" w14:textId="77777777" w:rsidR="00CD1CF2" w:rsidRPr="0048431F" w:rsidRDefault="00CD1CF2" w:rsidP="004605F7">
            <w:pPr>
              <w:tabs>
                <w:tab w:val="left" w:pos="990"/>
              </w:tabs>
              <w:spacing w:line="240" w:lineRule="auto"/>
              <w:jc w:val="center"/>
              <w:rPr>
                <w:rFonts w:ascii="Times New Roman" w:eastAsia="Times New Roman" w:hAnsi="Times New Roman" w:cs="Times New Roman"/>
                <w:b/>
                <w:sz w:val="28"/>
                <w:szCs w:val="28"/>
              </w:rPr>
            </w:pPr>
            <w:r w:rsidRPr="0048431F">
              <w:rPr>
                <w:rFonts w:ascii="Times New Roman" w:eastAsia="Times New Roman" w:hAnsi="Times New Roman" w:cs="Times New Roman"/>
                <w:sz w:val="20"/>
                <w:szCs w:val="20"/>
              </w:rPr>
              <w:t>фамилия и инициалы</w:t>
            </w:r>
          </w:p>
        </w:tc>
      </w:tr>
      <w:tr w:rsidR="00CD1CF2" w:rsidRPr="0048431F" w14:paraId="78EA4155" w14:textId="77777777" w:rsidTr="004605F7">
        <w:trPr>
          <w:trHeight w:val="427"/>
        </w:trPr>
        <w:tc>
          <w:tcPr>
            <w:tcW w:w="5088" w:type="dxa"/>
            <w:gridSpan w:val="13"/>
          </w:tcPr>
          <w:p w14:paraId="444E308D"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c>
          <w:tcPr>
            <w:tcW w:w="1717" w:type="dxa"/>
            <w:gridSpan w:val="2"/>
            <w:tcBorders>
              <w:bottom w:val="single" w:sz="4" w:space="0" w:color="auto"/>
            </w:tcBorders>
            <w:vAlign w:val="bottom"/>
          </w:tcPr>
          <w:p w14:paraId="06A97987" w14:textId="77777777" w:rsidR="00CD1CF2" w:rsidRPr="00CD1CF2" w:rsidRDefault="00CD1CF2" w:rsidP="004605F7">
            <w:pPr>
              <w:tabs>
                <w:tab w:val="left" w:pos="990"/>
              </w:tabs>
              <w:spacing w:line="240" w:lineRule="auto"/>
              <w:jc w:val="center"/>
              <w:rPr>
                <w:rFonts w:ascii="Times New Roman" w:eastAsia="Times New Roman" w:hAnsi="Times New Roman" w:cs="Times New Roman"/>
                <w:sz w:val="26"/>
                <w:szCs w:val="26"/>
              </w:rPr>
            </w:pPr>
            <w:r w:rsidRPr="00CD1CF2">
              <w:rPr>
                <w:rFonts w:ascii="Times New Roman" w:eastAsia="Times New Roman" w:hAnsi="Times New Roman" w:cs="Times New Roman"/>
                <w:b/>
                <w:sz w:val="26"/>
                <w:szCs w:val="26"/>
              </w:rPr>
              <w:t>Дата</w:t>
            </w:r>
          </w:p>
        </w:tc>
        <w:tc>
          <w:tcPr>
            <w:tcW w:w="2564" w:type="dxa"/>
            <w:tcBorders>
              <w:bottom w:val="single" w:sz="4" w:space="0" w:color="auto"/>
            </w:tcBorders>
          </w:tcPr>
          <w:p w14:paraId="2EA7DD87" w14:textId="77777777" w:rsidR="00CD1CF2" w:rsidRPr="0048431F" w:rsidRDefault="00CD1CF2" w:rsidP="004605F7">
            <w:pPr>
              <w:tabs>
                <w:tab w:val="left" w:pos="990"/>
              </w:tabs>
              <w:spacing w:line="240" w:lineRule="auto"/>
              <w:jc w:val="center"/>
              <w:rPr>
                <w:rFonts w:ascii="Times New Roman" w:eastAsia="Times New Roman" w:hAnsi="Times New Roman" w:cs="Times New Roman"/>
                <w:sz w:val="20"/>
                <w:szCs w:val="20"/>
              </w:rPr>
            </w:pPr>
          </w:p>
        </w:tc>
      </w:tr>
      <w:tr w:rsidR="00CD1CF2" w:rsidRPr="0048431F" w14:paraId="1196C483" w14:textId="77777777" w:rsidTr="004605F7">
        <w:trPr>
          <w:trHeight w:val="579"/>
        </w:trPr>
        <w:tc>
          <w:tcPr>
            <w:tcW w:w="1981" w:type="dxa"/>
            <w:gridSpan w:val="6"/>
            <w:vAlign w:val="bottom"/>
          </w:tcPr>
          <w:p w14:paraId="4DD94A0C"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c>
          <w:tcPr>
            <w:tcW w:w="4824" w:type="dxa"/>
            <w:gridSpan w:val="9"/>
            <w:vAlign w:val="bottom"/>
          </w:tcPr>
          <w:p w14:paraId="23FA850E" w14:textId="77777777" w:rsidR="00CD1CF2" w:rsidRPr="00CD1CF2" w:rsidRDefault="00CD1CF2" w:rsidP="004605F7">
            <w:pPr>
              <w:spacing w:line="240" w:lineRule="auto"/>
              <w:jc w:val="center"/>
              <w:rPr>
                <w:rFonts w:ascii="Times New Roman" w:eastAsia="Times New Roman" w:hAnsi="Times New Roman" w:cs="Times New Roman"/>
                <w:b/>
                <w:sz w:val="26"/>
                <w:szCs w:val="26"/>
                <w:lang w:val="ru-RU"/>
              </w:rPr>
            </w:pPr>
            <w:r w:rsidRPr="00CD1CF2">
              <w:rPr>
                <w:rFonts w:ascii="Times New Roman" w:eastAsia="Times New Roman" w:hAnsi="Times New Roman" w:cs="Times New Roman"/>
                <w:b/>
                <w:sz w:val="26"/>
                <w:szCs w:val="26"/>
              </w:rPr>
              <w:t>Москва, 202</w:t>
            </w:r>
            <w:r>
              <w:rPr>
                <w:rFonts w:ascii="Times New Roman" w:eastAsia="Times New Roman" w:hAnsi="Times New Roman" w:cs="Times New Roman"/>
                <w:b/>
                <w:sz w:val="26"/>
                <w:szCs w:val="26"/>
                <w:lang w:val="ru-RU"/>
              </w:rPr>
              <w:t>6</w:t>
            </w:r>
          </w:p>
        </w:tc>
        <w:tc>
          <w:tcPr>
            <w:tcW w:w="2564" w:type="dxa"/>
            <w:vAlign w:val="bottom"/>
          </w:tcPr>
          <w:p w14:paraId="5CCF23A1" w14:textId="77777777" w:rsidR="00CD1CF2" w:rsidRPr="0048431F" w:rsidRDefault="00CD1CF2" w:rsidP="004605F7">
            <w:pPr>
              <w:spacing w:line="240" w:lineRule="auto"/>
              <w:jc w:val="center"/>
              <w:rPr>
                <w:rFonts w:ascii="Times New Roman" w:eastAsia="Times New Roman" w:hAnsi="Times New Roman" w:cs="Times New Roman"/>
                <w:b/>
                <w:sz w:val="28"/>
                <w:szCs w:val="28"/>
              </w:rPr>
            </w:pPr>
          </w:p>
        </w:tc>
      </w:tr>
    </w:tbl>
    <w:sdt>
      <w:sdtPr>
        <w:rPr>
          <w:rFonts w:ascii="Arial" w:eastAsia="Arial" w:hAnsi="Arial" w:cs="Arial"/>
          <w:color w:val="auto"/>
          <w:sz w:val="22"/>
          <w:szCs w:val="22"/>
          <w:lang w:val="en-CA"/>
        </w:rPr>
        <w:id w:val="1404256440"/>
        <w:docPartObj>
          <w:docPartGallery w:val="Table of Contents"/>
          <w:docPartUnique/>
        </w:docPartObj>
      </w:sdtPr>
      <w:sdtEndPr>
        <w:rPr>
          <w:b/>
          <w:bCs/>
        </w:rPr>
      </w:sdtEndPr>
      <w:sdtContent>
        <w:p w14:paraId="5FFD9414" w14:textId="77777777" w:rsidR="00F834A7" w:rsidRPr="00BA0E02" w:rsidRDefault="00F834A7" w:rsidP="00C76864">
          <w:pPr>
            <w:pStyle w:val="ab"/>
            <w:spacing w:before="0" w:line="360" w:lineRule="auto"/>
            <w:jc w:val="center"/>
            <w:rPr>
              <w:rFonts w:ascii="Times New Roman" w:hAnsi="Times New Roman" w:cs="Times New Roman"/>
              <w:b/>
              <w:bCs/>
              <w:color w:val="000000" w:themeColor="text1"/>
              <w:sz w:val="28"/>
              <w:szCs w:val="28"/>
            </w:rPr>
          </w:pPr>
          <w:r w:rsidRPr="00BA0E02">
            <w:rPr>
              <w:rFonts w:ascii="Times New Roman" w:hAnsi="Times New Roman" w:cs="Times New Roman"/>
              <w:b/>
              <w:bCs/>
              <w:color w:val="000000" w:themeColor="text1"/>
              <w:sz w:val="28"/>
              <w:szCs w:val="28"/>
            </w:rPr>
            <w:t>Содержание</w:t>
          </w:r>
        </w:p>
        <w:p w14:paraId="1E26AFD7" w14:textId="77777777" w:rsidR="00CD1CF2" w:rsidRPr="00BA0E02" w:rsidRDefault="00CD1CF2" w:rsidP="00C76864">
          <w:pPr>
            <w:spacing w:line="360" w:lineRule="auto"/>
            <w:jc w:val="both"/>
            <w:rPr>
              <w:rFonts w:ascii="Times New Roman" w:hAnsi="Times New Roman" w:cs="Times New Roman"/>
              <w:sz w:val="28"/>
              <w:szCs w:val="28"/>
              <w:lang w:val="ru-RU"/>
            </w:rPr>
          </w:pPr>
        </w:p>
        <w:p w14:paraId="1F196E10" w14:textId="42E028FC" w:rsidR="00BA0E02" w:rsidRPr="00BA0E02" w:rsidRDefault="00F74D7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r w:rsidRPr="00BA0E02">
            <w:rPr>
              <w:rFonts w:ascii="Times New Roman" w:hAnsi="Times New Roman" w:cs="Times New Roman"/>
              <w:sz w:val="28"/>
              <w:szCs w:val="28"/>
            </w:rPr>
            <w:fldChar w:fldCharType="begin"/>
          </w:r>
          <w:r w:rsidR="00F834A7" w:rsidRPr="00BA0E02">
            <w:rPr>
              <w:rFonts w:ascii="Times New Roman" w:hAnsi="Times New Roman" w:cs="Times New Roman"/>
              <w:sz w:val="28"/>
              <w:szCs w:val="28"/>
            </w:rPr>
            <w:instrText xml:space="preserve"> TOC \o "1-3" \h \z \u </w:instrText>
          </w:r>
          <w:r w:rsidRPr="00BA0E02">
            <w:rPr>
              <w:rFonts w:ascii="Times New Roman" w:hAnsi="Times New Roman" w:cs="Times New Roman"/>
              <w:sz w:val="28"/>
              <w:szCs w:val="28"/>
            </w:rPr>
            <w:fldChar w:fldCharType="separate"/>
          </w:r>
          <w:hyperlink w:anchor="_Toc232337634" w:history="1">
            <w:r w:rsidR="00BA0E02" w:rsidRPr="00BA0E02">
              <w:rPr>
                <w:rStyle w:val="ac"/>
                <w:rFonts w:ascii="Times New Roman" w:hAnsi="Times New Roman" w:cs="Times New Roman"/>
                <w:bCs/>
                <w:noProof/>
                <w:sz w:val="28"/>
                <w:szCs w:val="28"/>
                <w:lang w:val="ru-RU"/>
              </w:rPr>
              <w:t>Введение</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_Toc232337634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3</w:t>
            </w:r>
            <w:r w:rsidR="00BA0E02" w:rsidRPr="00BA0E02">
              <w:rPr>
                <w:rFonts w:ascii="Times New Roman" w:hAnsi="Times New Roman" w:cs="Times New Roman"/>
                <w:noProof/>
                <w:webHidden/>
                <w:sz w:val="28"/>
                <w:szCs w:val="28"/>
              </w:rPr>
              <w:fldChar w:fldCharType="end"/>
            </w:r>
          </w:hyperlink>
        </w:p>
        <w:p w14:paraId="2DA00EC4" w14:textId="5506D326" w:rsidR="00BA0E02" w:rsidRPr="00BA0E02" w:rsidRDefault="00FF1FE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5" w:history="1">
            <w:r w:rsidR="00BA0E02" w:rsidRPr="00BA0E02">
              <w:rPr>
                <w:rStyle w:val="ac"/>
                <w:rFonts w:ascii="Times New Roman" w:hAnsi="Times New Roman" w:cs="Times New Roman"/>
                <w:noProof/>
                <w:sz w:val="28"/>
                <w:szCs w:val="28"/>
                <w:lang w:val="ru-RU"/>
              </w:rPr>
              <w:t>Глава 1. Состав инвестиционного портфеля и методы определения его качества</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_Toc232337635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6</w:t>
            </w:r>
            <w:r w:rsidR="00BA0E02" w:rsidRPr="00BA0E02">
              <w:rPr>
                <w:rFonts w:ascii="Times New Roman" w:hAnsi="Times New Roman" w:cs="Times New Roman"/>
                <w:noProof/>
                <w:webHidden/>
                <w:sz w:val="28"/>
                <w:szCs w:val="28"/>
              </w:rPr>
              <w:fldChar w:fldCharType="end"/>
            </w:r>
          </w:hyperlink>
        </w:p>
        <w:p w14:paraId="70633C75" w14:textId="6AB514F7" w:rsidR="00BA0E02" w:rsidRPr="00BA0E02" w:rsidRDefault="00FF1FEF">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6" w:history="1">
            <w:r w:rsidR="00BA0E02" w:rsidRPr="00BA0E02">
              <w:rPr>
                <w:rStyle w:val="ac"/>
                <w:rFonts w:ascii="Times New Roman" w:hAnsi="Times New Roman" w:cs="Times New Roman"/>
                <w:noProof/>
                <w:sz w:val="28"/>
                <w:szCs w:val="28"/>
                <w:lang w:val="ru-RU"/>
              </w:rPr>
              <w:t>1.1.</w:t>
            </w:r>
            <w:r w:rsidR="00BA0E02" w:rsidRPr="00BA0E02">
              <w:rPr>
                <w:rFonts w:ascii="Times New Roman" w:eastAsiaTheme="minorEastAsia" w:hAnsi="Times New Roman" w:cs="Times New Roman"/>
                <w:noProof/>
                <w:kern w:val="2"/>
                <w:sz w:val="28"/>
                <w:szCs w:val="28"/>
                <w:lang w:val="ru-RU"/>
                <w14:ligatures w14:val="standardContextual"/>
              </w:rPr>
              <w:tab/>
            </w:r>
            <w:r w:rsidR="00BA0E02" w:rsidRPr="00BA0E02">
              <w:rPr>
                <w:rStyle w:val="ac"/>
                <w:rFonts w:ascii="Times New Roman" w:hAnsi="Times New Roman" w:cs="Times New Roman"/>
                <w:noProof/>
                <w:sz w:val="28"/>
                <w:szCs w:val="28"/>
                <w:lang w:val="ru-RU"/>
              </w:rPr>
              <w:t>Сущность и значение качества инвестиционного портфеля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_Toc232337636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6</w:t>
            </w:r>
            <w:r w:rsidR="00BA0E02" w:rsidRPr="00BA0E02">
              <w:rPr>
                <w:rFonts w:ascii="Times New Roman" w:hAnsi="Times New Roman" w:cs="Times New Roman"/>
                <w:noProof/>
                <w:webHidden/>
                <w:sz w:val="28"/>
                <w:szCs w:val="28"/>
              </w:rPr>
              <w:fldChar w:fldCharType="end"/>
            </w:r>
          </w:hyperlink>
        </w:p>
        <w:p w14:paraId="2A134ABE" w14:textId="4996C8D7" w:rsidR="00BA0E02" w:rsidRPr="00BA0E02" w:rsidRDefault="00FF1FEF">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7" w:history="1">
            <w:r w:rsidR="00BA0E02" w:rsidRPr="00BA0E02">
              <w:rPr>
                <w:rStyle w:val="ac"/>
                <w:rFonts w:ascii="Times New Roman" w:hAnsi="Times New Roman" w:cs="Times New Roman"/>
                <w:noProof/>
                <w:sz w:val="28"/>
                <w:szCs w:val="28"/>
                <w:lang w:val="ru-RU"/>
              </w:rPr>
              <w:t>1.2.</w:t>
            </w:r>
            <w:r w:rsidR="00BA0E02" w:rsidRPr="00BA0E02">
              <w:rPr>
                <w:rFonts w:ascii="Times New Roman" w:eastAsiaTheme="minorEastAsia" w:hAnsi="Times New Roman" w:cs="Times New Roman"/>
                <w:noProof/>
                <w:kern w:val="2"/>
                <w:sz w:val="28"/>
                <w:szCs w:val="28"/>
                <w:lang w:val="ru-RU"/>
                <w14:ligatures w14:val="standardContextual"/>
              </w:rPr>
              <w:tab/>
            </w:r>
            <w:r w:rsidR="00BA0E02" w:rsidRPr="00BA0E02">
              <w:rPr>
                <w:rStyle w:val="ac"/>
                <w:rFonts w:ascii="Times New Roman" w:hAnsi="Times New Roman" w:cs="Times New Roman"/>
                <w:noProof/>
                <w:sz w:val="28"/>
                <w:szCs w:val="28"/>
                <w:lang w:val="ru-RU"/>
              </w:rPr>
              <w:t>Факторы, определяющие качество инвестиционного портфеля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_Toc232337637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10</w:t>
            </w:r>
            <w:r w:rsidR="00BA0E02" w:rsidRPr="00BA0E02">
              <w:rPr>
                <w:rFonts w:ascii="Times New Roman" w:hAnsi="Times New Roman" w:cs="Times New Roman"/>
                <w:noProof/>
                <w:webHidden/>
                <w:sz w:val="28"/>
                <w:szCs w:val="28"/>
              </w:rPr>
              <w:fldChar w:fldCharType="end"/>
            </w:r>
          </w:hyperlink>
        </w:p>
        <w:p w14:paraId="412726C7" w14:textId="7BC54EB9" w:rsidR="00BA0E02" w:rsidRPr="00BA0E02" w:rsidRDefault="00FF1FEF">
          <w:pPr>
            <w:pStyle w:val="20"/>
            <w:tabs>
              <w:tab w:val="left" w:pos="960"/>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8" w:history="1">
            <w:r w:rsidR="00BA0E02" w:rsidRPr="00BA0E02">
              <w:rPr>
                <w:rStyle w:val="ac"/>
                <w:rFonts w:ascii="Times New Roman" w:hAnsi="Times New Roman" w:cs="Times New Roman"/>
                <w:noProof/>
                <w:sz w:val="28"/>
                <w:szCs w:val="28"/>
                <w:lang w:val="ru-RU"/>
              </w:rPr>
              <w:t>1.3.</w:t>
            </w:r>
            <w:r w:rsidR="00BA0E02" w:rsidRPr="00BA0E02">
              <w:rPr>
                <w:rFonts w:ascii="Times New Roman" w:eastAsiaTheme="minorEastAsia" w:hAnsi="Times New Roman" w:cs="Times New Roman"/>
                <w:noProof/>
                <w:kern w:val="2"/>
                <w:sz w:val="28"/>
                <w:szCs w:val="28"/>
                <w:lang w:val="ru-RU"/>
                <w14:ligatures w14:val="standardContextual"/>
              </w:rPr>
              <w:tab/>
            </w:r>
            <w:r w:rsidR="00BA0E02" w:rsidRPr="00BA0E02">
              <w:rPr>
                <w:rStyle w:val="ac"/>
                <w:rFonts w:ascii="Times New Roman" w:hAnsi="Times New Roman" w:cs="Times New Roman"/>
                <w:noProof/>
                <w:sz w:val="28"/>
                <w:szCs w:val="28"/>
                <w:lang w:val="ru-RU"/>
              </w:rPr>
              <w:t>Инвестиционная привлекательность предприятия как фактор качества инвестиционного портфеля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_Toc232337638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13</w:t>
            </w:r>
            <w:r w:rsidR="00BA0E02" w:rsidRPr="00BA0E02">
              <w:rPr>
                <w:rFonts w:ascii="Times New Roman" w:hAnsi="Times New Roman" w:cs="Times New Roman"/>
                <w:noProof/>
                <w:webHidden/>
                <w:sz w:val="28"/>
                <w:szCs w:val="28"/>
              </w:rPr>
              <w:fldChar w:fldCharType="end"/>
            </w:r>
          </w:hyperlink>
        </w:p>
        <w:p w14:paraId="16076C46" w14:textId="0B90E6EB"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39" w:history="1">
            <w:r w:rsidR="00BA0E02" w:rsidRPr="00BA0E02">
              <w:rPr>
                <w:rStyle w:val="ac"/>
                <w:rFonts w:ascii="Times New Roman" w:hAnsi="Times New Roman" w:cs="Times New Roman"/>
                <w:noProof/>
                <w:sz w:val="28"/>
                <w:szCs w:val="28"/>
                <w:lang w:val="ru-RU"/>
              </w:rPr>
              <w:t>1.4. Методы определения инвестиционной привлекательности предприятия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_Toc232337639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17</w:t>
            </w:r>
            <w:r w:rsidR="00BA0E02" w:rsidRPr="00BA0E02">
              <w:rPr>
                <w:rFonts w:ascii="Times New Roman" w:hAnsi="Times New Roman" w:cs="Times New Roman"/>
                <w:noProof/>
                <w:webHidden/>
                <w:sz w:val="28"/>
                <w:szCs w:val="28"/>
              </w:rPr>
              <w:fldChar w:fldCharType="end"/>
            </w:r>
          </w:hyperlink>
        </w:p>
        <w:p w14:paraId="35D173F3" w14:textId="3F76DEEE" w:rsidR="00BA0E02" w:rsidRPr="00BA0E02" w:rsidRDefault="00FF1FE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0" w:history="1">
            <w:r w:rsidR="00BA0E02" w:rsidRPr="00BA0E02">
              <w:rPr>
                <w:rStyle w:val="ac"/>
                <w:rFonts w:ascii="Times New Roman" w:hAnsi="Times New Roman" w:cs="Times New Roman"/>
                <w:noProof/>
                <w:sz w:val="28"/>
                <w:szCs w:val="28"/>
                <w:lang w:val="ru-RU"/>
              </w:rPr>
              <w:t>Глава 2. Анализ качества инвестиционного портфеля ОПИФ РФИ «ВИМ-Металлургия»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_Toc232337640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23</w:t>
            </w:r>
            <w:r w:rsidR="00BA0E02" w:rsidRPr="00BA0E02">
              <w:rPr>
                <w:rFonts w:ascii="Times New Roman" w:hAnsi="Times New Roman" w:cs="Times New Roman"/>
                <w:noProof/>
                <w:webHidden/>
                <w:sz w:val="28"/>
                <w:szCs w:val="28"/>
              </w:rPr>
              <w:fldChar w:fldCharType="end"/>
            </w:r>
          </w:hyperlink>
        </w:p>
        <w:p w14:paraId="3F5A05CC" w14:textId="656B5616"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1" w:history="1">
            <w:r w:rsidR="00BA0E02" w:rsidRPr="00BA0E02">
              <w:rPr>
                <w:rStyle w:val="ac"/>
                <w:rFonts w:ascii="Times New Roman" w:hAnsi="Times New Roman" w:cs="Times New Roman"/>
                <w:noProof/>
                <w:sz w:val="28"/>
                <w:szCs w:val="28"/>
                <w:lang w:val="ru-RU"/>
              </w:rPr>
              <w:t>2.1. Финансово-экономическая характеристика ОПИФ РФИ «ВИМ-Металлургия»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_Toc232337641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23</w:t>
            </w:r>
            <w:r w:rsidR="00BA0E02" w:rsidRPr="00BA0E02">
              <w:rPr>
                <w:rFonts w:ascii="Times New Roman" w:hAnsi="Times New Roman" w:cs="Times New Roman"/>
                <w:noProof/>
                <w:webHidden/>
                <w:sz w:val="28"/>
                <w:szCs w:val="28"/>
              </w:rPr>
              <w:fldChar w:fldCharType="end"/>
            </w:r>
          </w:hyperlink>
        </w:p>
        <w:p w14:paraId="7B9D38C0" w14:textId="60F900C8"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2" w:history="1">
            <w:r w:rsidR="00BA0E02" w:rsidRPr="00BA0E02">
              <w:rPr>
                <w:rStyle w:val="ac"/>
                <w:rFonts w:ascii="Times New Roman" w:hAnsi="Times New Roman" w:cs="Times New Roman"/>
                <w:bCs/>
                <w:noProof/>
                <w:sz w:val="28"/>
                <w:szCs w:val="28"/>
                <w:lang w:val="ru-RU"/>
              </w:rPr>
              <w:t>2.2. Оценка инвестиционной привлекательности крупнейших объектов инвестирования ОПИФ РФИ «ВИМ-Металлургия»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_Toc232337642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29</w:t>
            </w:r>
            <w:r w:rsidR="00BA0E02" w:rsidRPr="00BA0E02">
              <w:rPr>
                <w:rFonts w:ascii="Times New Roman" w:hAnsi="Times New Roman" w:cs="Times New Roman"/>
                <w:noProof/>
                <w:webHidden/>
                <w:sz w:val="28"/>
                <w:szCs w:val="28"/>
              </w:rPr>
              <w:fldChar w:fldCharType="end"/>
            </w:r>
          </w:hyperlink>
        </w:p>
        <w:p w14:paraId="59970F31" w14:textId="4D4144F9"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3" w:history="1">
            <w:r w:rsidR="00BA0E02" w:rsidRPr="00BA0E02">
              <w:rPr>
                <w:rStyle w:val="ac"/>
                <w:rFonts w:ascii="Times New Roman" w:hAnsi="Times New Roman" w:cs="Times New Roman"/>
                <w:noProof/>
                <w:sz w:val="28"/>
                <w:szCs w:val="28"/>
                <w:lang w:val="ru-RU"/>
              </w:rPr>
              <w:t>2.3. Анализ показателей качества инвестиционного портфеля ОПИФ РФИ «ВИМ-Металлургия»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_Toc232337643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36</w:t>
            </w:r>
            <w:r w:rsidR="00BA0E02" w:rsidRPr="00BA0E02">
              <w:rPr>
                <w:rFonts w:ascii="Times New Roman" w:hAnsi="Times New Roman" w:cs="Times New Roman"/>
                <w:noProof/>
                <w:webHidden/>
                <w:sz w:val="28"/>
                <w:szCs w:val="28"/>
              </w:rPr>
              <w:fldChar w:fldCharType="end"/>
            </w:r>
          </w:hyperlink>
        </w:p>
        <w:p w14:paraId="132EA4F1" w14:textId="01BDBE43" w:rsidR="00BA0E02" w:rsidRPr="00BA0E02" w:rsidRDefault="00FF1FE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4" w:history="1">
            <w:r w:rsidR="00BA0E02" w:rsidRPr="00BA0E02">
              <w:rPr>
                <w:rStyle w:val="ac"/>
                <w:rFonts w:ascii="Times New Roman" w:hAnsi="Times New Roman" w:cs="Times New Roman"/>
                <w:noProof/>
                <w:sz w:val="28"/>
                <w:szCs w:val="28"/>
                <w:lang w:val="ru-RU"/>
              </w:rPr>
              <w:t>Глава 3. Разработка рекомендаций повышения качества инвестиционного портфеля ОПИФ РФИ «ВИМ-Металлургия»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_Toc232337644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41</w:t>
            </w:r>
            <w:r w:rsidR="00BA0E02" w:rsidRPr="00BA0E02">
              <w:rPr>
                <w:rFonts w:ascii="Times New Roman" w:hAnsi="Times New Roman" w:cs="Times New Roman"/>
                <w:noProof/>
                <w:webHidden/>
                <w:sz w:val="28"/>
                <w:szCs w:val="28"/>
              </w:rPr>
              <w:fldChar w:fldCharType="end"/>
            </w:r>
          </w:hyperlink>
        </w:p>
        <w:p w14:paraId="7F7A78BB" w14:textId="04A0BE6D"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5" w:history="1">
            <w:r w:rsidR="00BA0E02" w:rsidRPr="00BA0E02">
              <w:rPr>
                <w:rStyle w:val="ac"/>
                <w:rFonts w:ascii="Times New Roman" w:hAnsi="Times New Roman" w:cs="Times New Roman"/>
                <w:noProof/>
                <w:sz w:val="28"/>
                <w:szCs w:val="28"/>
                <w:lang w:val="ru-RU"/>
              </w:rPr>
              <w:t>3.1. Рекомендации по повышению доходности портфеля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_Toc232337645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41</w:t>
            </w:r>
            <w:r w:rsidR="00BA0E02" w:rsidRPr="00BA0E02">
              <w:rPr>
                <w:rFonts w:ascii="Times New Roman" w:hAnsi="Times New Roman" w:cs="Times New Roman"/>
                <w:noProof/>
                <w:webHidden/>
                <w:sz w:val="28"/>
                <w:szCs w:val="28"/>
              </w:rPr>
              <w:fldChar w:fldCharType="end"/>
            </w:r>
          </w:hyperlink>
        </w:p>
        <w:p w14:paraId="18768D34" w14:textId="566706D0" w:rsidR="00BA0E02" w:rsidRPr="00BA0E02" w:rsidRDefault="00FF1FEF">
          <w:pPr>
            <w:pStyle w:val="2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6" w:history="1">
            <w:r w:rsidR="00BA0E02" w:rsidRPr="00BA0E02">
              <w:rPr>
                <w:rStyle w:val="ac"/>
                <w:rFonts w:ascii="Times New Roman" w:hAnsi="Times New Roman" w:cs="Times New Roman"/>
                <w:noProof/>
                <w:sz w:val="28"/>
                <w:szCs w:val="28"/>
                <w:lang w:val="ru-RU"/>
              </w:rPr>
              <w:t>3.2. Рекомендации по диверсификации портфеля</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_Toc232337646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47</w:t>
            </w:r>
            <w:r w:rsidR="00BA0E02" w:rsidRPr="00BA0E02">
              <w:rPr>
                <w:rFonts w:ascii="Times New Roman" w:hAnsi="Times New Roman" w:cs="Times New Roman"/>
                <w:noProof/>
                <w:webHidden/>
                <w:sz w:val="28"/>
                <w:szCs w:val="28"/>
              </w:rPr>
              <w:fldChar w:fldCharType="end"/>
            </w:r>
          </w:hyperlink>
        </w:p>
        <w:p w14:paraId="1713D3B1" w14:textId="63A282A8" w:rsidR="00BA0E02" w:rsidRPr="00BA0E02" w:rsidRDefault="00FF1FE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7" w:history="1">
            <w:r w:rsidR="00BA0E02" w:rsidRPr="00BA0E02">
              <w:rPr>
                <w:rStyle w:val="ac"/>
                <w:rFonts w:ascii="Times New Roman" w:hAnsi="Times New Roman" w:cs="Times New Roman"/>
                <w:noProof/>
                <w:sz w:val="28"/>
                <w:szCs w:val="28"/>
                <w:lang w:val="ru-RU"/>
              </w:rPr>
              <w:t>Заключение</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_Toc232337647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61</w:t>
            </w:r>
            <w:r w:rsidR="00BA0E02" w:rsidRPr="00BA0E02">
              <w:rPr>
                <w:rFonts w:ascii="Times New Roman" w:hAnsi="Times New Roman" w:cs="Times New Roman"/>
                <w:noProof/>
                <w:webHidden/>
                <w:sz w:val="28"/>
                <w:szCs w:val="28"/>
              </w:rPr>
              <w:fldChar w:fldCharType="end"/>
            </w:r>
          </w:hyperlink>
        </w:p>
        <w:p w14:paraId="6EACF1EF" w14:textId="5231DD21" w:rsidR="00BA0E02" w:rsidRPr="00BA0E02" w:rsidRDefault="00FF1FEF">
          <w:pPr>
            <w:pStyle w:val="10"/>
            <w:tabs>
              <w:tab w:val="right" w:leader="dot" w:pos="9350"/>
            </w:tabs>
            <w:rPr>
              <w:rFonts w:ascii="Times New Roman" w:eastAsiaTheme="minorEastAsia" w:hAnsi="Times New Roman" w:cs="Times New Roman"/>
              <w:noProof/>
              <w:kern w:val="2"/>
              <w:sz w:val="28"/>
              <w:szCs w:val="28"/>
              <w:lang w:val="ru-RU"/>
              <w14:ligatures w14:val="standardContextual"/>
            </w:rPr>
          </w:pPr>
          <w:hyperlink w:anchor="_Toc232337648" w:history="1">
            <w:r w:rsidR="00BA0E02" w:rsidRPr="00BA0E02">
              <w:rPr>
                <w:rStyle w:val="ac"/>
                <w:rFonts w:ascii="Times New Roman" w:eastAsia="Times New Roman" w:hAnsi="Times New Roman" w:cs="Times New Roman"/>
                <w:bCs/>
                <w:noProof/>
                <w:sz w:val="28"/>
                <w:szCs w:val="28"/>
                <w:lang w:val="ru-RU"/>
              </w:rPr>
              <w:t>Список использованных источников</w:t>
            </w:r>
            <w:r w:rsidR="00BA0E02" w:rsidRPr="00BA0E02">
              <w:rPr>
                <w:rFonts w:ascii="Times New Roman" w:hAnsi="Times New Roman" w:cs="Times New Roman"/>
                <w:noProof/>
                <w:webHidden/>
                <w:sz w:val="28"/>
                <w:szCs w:val="28"/>
              </w:rPr>
              <w:tab/>
            </w:r>
            <w:r w:rsidR="00BA0E02" w:rsidRPr="00BA0E02">
              <w:rPr>
                <w:rFonts w:ascii="Times New Roman" w:hAnsi="Times New Roman" w:cs="Times New Roman"/>
                <w:noProof/>
                <w:webHidden/>
                <w:sz w:val="28"/>
                <w:szCs w:val="28"/>
              </w:rPr>
              <w:fldChar w:fldCharType="begin"/>
            </w:r>
            <w:r w:rsidR="00BA0E02" w:rsidRPr="00BA0E02">
              <w:rPr>
                <w:rFonts w:ascii="Times New Roman" w:hAnsi="Times New Roman" w:cs="Times New Roman"/>
                <w:noProof/>
                <w:webHidden/>
                <w:sz w:val="28"/>
                <w:szCs w:val="28"/>
              </w:rPr>
              <w:instrText xml:space="preserve"> PAGEREF _Toc232337648 \h </w:instrText>
            </w:r>
            <w:r w:rsidR="00BA0E02" w:rsidRPr="00BA0E02">
              <w:rPr>
                <w:rFonts w:ascii="Times New Roman" w:hAnsi="Times New Roman" w:cs="Times New Roman"/>
                <w:noProof/>
                <w:webHidden/>
                <w:sz w:val="28"/>
                <w:szCs w:val="28"/>
              </w:rPr>
            </w:r>
            <w:r w:rsidR="00BA0E02" w:rsidRPr="00BA0E02">
              <w:rPr>
                <w:rFonts w:ascii="Times New Roman" w:hAnsi="Times New Roman" w:cs="Times New Roman"/>
                <w:noProof/>
                <w:webHidden/>
                <w:sz w:val="28"/>
                <w:szCs w:val="28"/>
              </w:rPr>
              <w:fldChar w:fldCharType="separate"/>
            </w:r>
            <w:r w:rsidR="00BA0E02" w:rsidRPr="00BA0E02">
              <w:rPr>
                <w:rFonts w:ascii="Times New Roman" w:hAnsi="Times New Roman" w:cs="Times New Roman"/>
                <w:noProof/>
                <w:webHidden/>
                <w:sz w:val="28"/>
                <w:szCs w:val="28"/>
              </w:rPr>
              <w:t>65</w:t>
            </w:r>
            <w:r w:rsidR="00BA0E02" w:rsidRPr="00BA0E02">
              <w:rPr>
                <w:rFonts w:ascii="Times New Roman" w:hAnsi="Times New Roman" w:cs="Times New Roman"/>
                <w:noProof/>
                <w:webHidden/>
                <w:sz w:val="28"/>
                <w:szCs w:val="28"/>
              </w:rPr>
              <w:fldChar w:fldCharType="end"/>
            </w:r>
          </w:hyperlink>
        </w:p>
        <w:p w14:paraId="2540B728" w14:textId="7BCA4659" w:rsidR="00F834A7" w:rsidRDefault="00F74D7F" w:rsidP="00C76864">
          <w:pPr>
            <w:spacing w:line="360" w:lineRule="auto"/>
            <w:jc w:val="both"/>
            <w:rPr>
              <w:b/>
              <w:bCs/>
            </w:rPr>
          </w:pPr>
          <w:r w:rsidRPr="00BA0E02">
            <w:rPr>
              <w:rFonts w:ascii="Times New Roman" w:hAnsi="Times New Roman" w:cs="Times New Roman"/>
              <w:b/>
              <w:bCs/>
              <w:sz w:val="28"/>
              <w:szCs w:val="28"/>
            </w:rPr>
            <w:fldChar w:fldCharType="end"/>
          </w:r>
        </w:p>
      </w:sdtContent>
    </w:sdt>
    <w:p w14:paraId="3EBF48BB" w14:textId="77777777" w:rsidR="002C229C" w:rsidRDefault="002C229C" w:rsidP="00653A71">
      <w:pPr>
        <w:pStyle w:val="1"/>
        <w:spacing w:before="0" w:after="0" w:line="360" w:lineRule="auto"/>
        <w:rPr>
          <w:rFonts w:cs="Times New Roman"/>
          <w:bCs/>
          <w:szCs w:val="28"/>
          <w:lang w:val="ru-RU"/>
        </w:rPr>
      </w:pPr>
    </w:p>
    <w:p w14:paraId="4B56078C" w14:textId="77777777" w:rsidR="002C229C" w:rsidRDefault="002C229C" w:rsidP="00653A71">
      <w:pPr>
        <w:pStyle w:val="1"/>
        <w:spacing w:before="0" w:after="0" w:line="360" w:lineRule="auto"/>
        <w:rPr>
          <w:rFonts w:cs="Times New Roman"/>
          <w:bCs/>
          <w:szCs w:val="28"/>
          <w:lang w:val="ru-RU"/>
        </w:rPr>
      </w:pPr>
    </w:p>
    <w:p w14:paraId="3E6C68FD" w14:textId="77777777" w:rsidR="002C229C" w:rsidRDefault="002C229C" w:rsidP="002C229C">
      <w:pPr>
        <w:rPr>
          <w:lang w:val="ru-RU"/>
        </w:rPr>
      </w:pPr>
    </w:p>
    <w:p w14:paraId="600497A9" w14:textId="77777777" w:rsidR="00F834A7" w:rsidRDefault="00F834A7" w:rsidP="004167DF">
      <w:pPr>
        <w:pStyle w:val="1"/>
        <w:spacing w:before="0" w:after="0" w:line="360" w:lineRule="auto"/>
        <w:jc w:val="left"/>
        <w:rPr>
          <w:rFonts w:cs="Times New Roman"/>
          <w:bCs/>
          <w:szCs w:val="28"/>
          <w:lang w:val="ru-RU"/>
        </w:rPr>
        <w:sectPr w:rsidR="00F834A7">
          <w:pgSz w:w="12240" w:h="15840"/>
          <w:pgMar w:top="1440" w:right="1440" w:bottom="1440" w:left="1440" w:header="720" w:footer="720" w:gutter="0"/>
          <w:pgNumType w:start="1"/>
          <w:cols w:space="720"/>
        </w:sectPr>
      </w:pPr>
    </w:p>
    <w:p w14:paraId="2B3B21DC" w14:textId="77777777" w:rsidR="007D27F4" w:rsidRDefault="00FF0F5C" w:rsidP="00CD1CF2">
      <w:pPr>
        <w:pStyle w:val="1"/>
        <w:spacing w:before="0" w:after="0" w:line="360" w:lineRule="auto"/>
        <w:rPr>
          <w:rFonts w:cs="Times New Roman"/>
          <w:bCs/>
          <w:szCs w:val="28"/>
          <w:lang w:val="ru-RU"/>
        </w:rPr>
      </w:pPr>
      <w:bookmarkStart w:id="0" w:name="_Toc232337634"/>
      <w:r w:rsidRPr="00653A71">
        <w:rPr>
          <w:rFonts w:cs="Times New Roman"/>
          <w:bCs/>
          <w:szCs w:val="28"/>
          <w:lang w:val="ru-RU"/>
        </w:rPr>
        <w:lastRenderedPageBreak/>
        <w:t>Введение</w:t>
      </w:r>
      <w:bookmarkEnd w:id="0"/>
    </w:p>
    <w:p w14:paraId="168ECB3E" w14:textId="77777777" w:rsidR="002C229C" w:rsidRPr="002C229C" w:rsidRDefault="002C229C" w:rsidP="00CD1CF2">
      <w:pPr>
        <w:spacing w:line="360" w:lineRule="auto"/>
        <w:jc w:val="both"/>
        <w:rPr>
          <w:lang w:val="ru-RU"/>
        </w:rPr>
      </w:pPr>
    </w:p>
    <w:p w14:paraId="3E66886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Актуальность темы исследования: в условиях современной макроэкономической нестабильности, геополитической турбулентности и структурной трансформации экономики критически важным элементом обеспечения финансовой защищенности капитала выступает грамотная и всесторонняя оценка инвестиционных активов. Сектор металлургии традиционно является одной из базовых и наиболее значимых отраслей российской экономики, однако его функционирование сопряжено с высокой капиталоемкостью, существенной зависимостью от волатильности мировых цен на сырье и необходимостью непрерывной модернизации производственных фондов. В подобных экономических реалиях инвестирование на фондовом рынке требует максимально взвешенного подхода к формированию и управлению портфелями паевых инвестиционных фондов (ПИФов), профилирующихся на предприятиях металлургического сектора.</w:t>
      </w:r>
    </w:p>
    <w:p w14:paraId="7E8C101D"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Традиционно качество и эффективность управления инвестиционным портфелем измеряются на основе классических метрик, оценивающих ретроспективное соотношение риска и доходности. Тем не менее, практика показывает, что классические портфельные коэффициенты зачастую оказываются недостаточными при изолированном применении. Они отражают лишь историческую волатильность рыночных котировок, но не способны в полной мере охарактеризовать реальную стоимость объектов инвестирования, их финансовое здоровье и способность генерировать устойчивые денежные потоки в условиях кризисных явлений. Для получения достоверной оценки качества инвестиционного портфеля необходим интегрированный подход, сочетающий математическое моделирование портфеля с углубленным </w:t>
      </w:r>
      <w:r w:rsidRPr="00DA4464">
        <w:rPr>
          <w:rFonts w:ascii="Times New Roman" w:eastAsia="Times New Roman" w:hAnsi="Times New Roman" w:cs="Times New Roman"/>
          <w:sz w:val="28"/>
          <w:szCs w:val="28"/>
          <w:lang w:val="ru-RU"/>
        </w:rPr>
        <w:lastRenderedPageBreak/>
        <w:t>фундаментальным анализом самих активов (компаний-эмитентов). Оценка ликвидности, платежеспособности, рентабельности и рисков банкротства эмитентов позволяет сформировать объективное представление о внутренней стоимости активов. Следовательно, синтез классического портфельного и фундаментального финансового анализа для обоснования путей оптимизации структуры портфелей ПИФов является высокоактуальной научной и прикладной задачей.</w:t>
      </w:r>
    </w:p>
    <w:p w14:paraId="5E531EE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Цель исследования: оценка текущего качества инвестиционного портфеля ОПИФ РФИ «ВИМ-Металлургия» и разработка практических рекомендаций по его повышению.</w:t>
      </w:r>
    </w:p>
    <w:p w14:paraId="35D61D46"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Задачи исследования:</w:t>
      </w:r>
    </w:p>
    <w:p w14:paraId="722DE297"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изучить теоретические и методологические основы формирования инвестиционного портфеля и критерии определения его качества на современном финансовом рынке;</w:t>
      </w:r>
    </w:p>
    <w:p w14:paraId="655AA4B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проанализировать финансовое состояние и инвестиционную привлекательность ключевых активов (компаний-эмитентов), входящих в структуру портфеля фонда;</w:t>
      </w:r>
    </w:p>
    <w:p w14:paraId="616E66B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рассчитать и интерпретировать основные классические метрики качества и эффективности анализируемого инвестиционного портфеля;</w:t>
      </w:r>
    </w:p>
    <w:p w14:paraId="63681B1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предложить обоснованные пути оптимизации структуры портфеля, направленные на максимизацию доходности и обеспечение эффективной диверсификации инвестиционных рисков.</w:t>
      </w:r>
    </w:p>
    <w:p w14:paraId="2BE4A85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Объект исследования: ОПИФ РФИ «ВИМ-Металлургия».</w:t>
      </w:r>
    </w:p>
    <w:p w14:paraId="7E1BAB2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Предмет исследования: качество инвестиционного портфеля данного фонда.</w:t>
      </w:r>
    </w:p>
    <w:p w14:paraId="06831B2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Теоретическая и методологическая база исследования: при проведении исследования использовались фундаментальные труды отечественных и </w:t>
      </w:r>
      <w:r w:rsidRPr="00DA4464">
        <w:rPr>
          <w:rFonts w:ascii="Times New Roman" w:eastAsia="Times New Roman" w:hAnsi="Times New Roman" w:cs="Times New Roman"/>
          <w:sz w:val="28"/>
          <w:szCs w:val="28"/>
          <w:lang w:val="ru-RU"/>
        </w:rPr>
        <w:lastRenderedPageBreak/>
        <w:t>зарубежных авторов в области корпоративных финансов, финансового менеджмента и теории портфельного инвестирования (в частности, базовые концепции Г. Марковица, У. Шарпа и др.). Методологический аппарат включает методы фундаментального и финансового анализа, в том числе методы горизонтального, вертикального и коэффициентного анализа корпоративной отчетности. Для количественной оценки качества инвестиционного портфеля применялись специализированные показатели: коэффициент Шарпа (для оценки доходности с поправкой на совокупный риск), коэффициент Сортино (для оценки риска отрицательных отклонений), коэффициенты Трейнора и Дженсена, а также анализ бета-коэффициента.</w:t>
      </w:r>
    </w:p>
    <w:p w14:paraId="45A065E9" w14:textId="6EB511A9" w:rsidR="007D27F4" w:rsidRPr="00DA4464" w:rsidRDefault="00DA4464" w:rsidP="00DA4464">
      <w:pPr>
        <w:spacing w:line="360" w:lineRule="auto"/>
        <w:ind w:firstLine="709"/>
        <w:jc w:val="both"/>
        <w:rPr>
          <w:rFonts w:ascii="Times New Roman" w:eastAsia="Times New Roman" w:hAnsi="Times New Roman" w:cs="Times New Roman"/>
          <w:sz w:val="28"/>
          <w:szCs w:val="28"/>
          <w:lang w:val="ru-RU"/>
        </w:rPr>
      </w:pPr>
      <w:r w:rsidRPr="00DA4464">
        <w:rPr>
          <w:rFonts w:ascii="Times New Roman" w:eastAsia="Times New Roman" w:hAnsi="Times New Roman" w:cs="Times New Roman"/>
          <w:sz w:val="28"/>
          <w:szCs w:val="28"/>
          <w:lang w:val="ru-RU"/>
        </w:rPr>
        <w:t>Информационная база исследования: открытая финансовая отчетность компаний, входящих в портфель, сформированная в соответствии с российскими стандартами бухгалтерского учета (РСБУ) и международными стандартами финансовой отчетности (МСФО). Кроме того, эмпирическую базу исследования составили официальные данные управляющей компании (АО «ВИМ Инвестиции»), статистические и аналитические материалы информационно-финансовых агентств, котировальные данные Московской биржи, а также нормативно-правовые документы, регулирующие функционирование рынка ценных бумаг в РФ.</w:t>
      </w:r>
    </w:p>
    <w:p w14:paraId="4E93F409" w14:textId="7D1E84AC" w:rsidR="00793D47" w:rsidRPr="00FF1FEF" w:rsidRDefault="00FF1FEF">
      <w:pPr>
        <w:rPr>
          <w:rFonts w:ascii="Times New Roman" w:hAnsi="Times New Roman" w:cs="Times New Roman"/>
          <w:color w:val="FF0000"/>
          <w:sz w:val="28"/>
          <w:szCs w:val="28"/>
          <w:lang w:val="ru-RU"/>
        </w:rPr>
      </w:pPr>
      <w:r w:rsidRPr="00FF1FEF">
        <w:rPr>
          <w:rFonts w:ascii="Times New Roman" w:hAnsi="Times New Roman" w:cs="Times New Roman"/>
          <w:color w:val="FF0000"/>
          <w:sz w:val="28"/>
          <w:szCs w:val="28"/>
          <w:lang w:val="ru-RU"/>
        </w:rPr>
        <w:t>Замечания не учтены</w:t>
      </w:r>
    </w:p>
    <w:p w14:paraId="62C8599A" w14:textId="77777777" w:rsidR="00FF1FEF" w:rsidRDefault="00FF1FEF" w:rsidP="00CD1CF2">
      <w:pPr>
        <w:pStyle w:val="1"/>
        <w:spacing w:before="0" w:after="0" w:line="360" w:lineRule="auto"/>
        <w:rPr>
          <w:lang w:val="ru-RU"/>
        </w:rPr>
      </w:pPr>
      <w:bookmarkStart w:id="1" w:name="_Toc232337635"/>
    </w:p>
    <w:p w14:paraId="69366AF2" w14:textId="77777777" w:rsidR="00FF1FEF" w:rsidRPr="00FF1FEF" w:rsidRDefault="00FF1FEF" w:rsidP="00FF1FEF">
      <w:pPr>
        <w:rPr>
          <w:lang w:val="ru-RU"/>
        </w:rPr>
      </w:pPr>
    </w:p>
    <w:p w14:paraId="3B22525F" w14:textId="77777777" w:rsidR="00FF1FEF" w:rsidRDefault="00FF1FEF" w:rsidP="00CD1CF2">
      <w:pPr>
        <w:pStyle w:val="1"/>
        <w:spacing w:before="0" w:after="0" w:line="360" w:lineRule="auto"/>
        <w:rPr>
          <w:lang w:val="ru-RU"/>
        </w:rPr>
      </w:pPr>
    </w:p>
    <w:p w14:paraId="2EBECFCB" w14:textId="77777777" w:rsidR="00FF1FEF" w:rsidRDefault="00FF1FEF" w:rsidP="00CD1CF2">
      <w:pPr>
        <w:pStyle w:val="1"/>
        <w:spacing w:before="0" w:after="0" w:line="360" w:lineRule="auto"/>
        <w:rPr>
          <w:lang w:val="ru-RU"/>
        </w:rPr>
      </w:pPr>
    </w:p>
    <w:p w14:paraId="1D05E0DB" w14:textId="2B05D609" w:rsidR="00793D47" w:rsidRPr="00BA0E02" w:rsidRDefault="00793D47" w:rsidP="00CD1CF2">
      <w:pPr>
        <w:pStyle w:val="1"/>
        <w:spacing w:before="0" w:after="0" w:line="360" w:lineRule="auto"/>
        <w:rPr>
          <w:lang w:val="ru-RU"/>
        </w:rPr>
      </w:pPr>
      <w:r w:rsidRPr="00793D47">
        <w:rPr>
          <w:lang w:val="ru-RU"/>
        </w:rPr>
        <w:t xml:space="preserve">Глава 1. </w:t>
      </w:r>
      <w:r w:rsidR="00BA0E02">
        <w:rPr>
          <w:lang w:val="ru-RU"/>
        </w:rPr>
        <w:t>Состав</w:t>
      </w:r>
      <w:r w:rsidRPr="00793D47">
        <w:rPr>
          <w:lang w:val="ru-RU"/>
        </w:rPr>
        <w:t xml:space="preserve"> инвестиционного портфеля и методы определения</w:t>
      </w:r>
      <w:r w:rsidR="00BA0E02" w:rsidRPr="00BA0E02">
        <w:rPr>
          <w:lang w:val="ru-RU"/>
        </w:rPr>
        <w:t xml:space="preserve"> </w:t>
      </w:r>
      <w:r w:rsidR="00BA0E02">
        <w:rPr>
          <w:lang w:val="ru-RU"/>
        </w:rPr>
        <w:t>его качества</w:t>
      </w:r>
      <w:bookmarkEnd w:id="1"/>
    </w:p>
    <w:p w14:paraId="058FE50A" w14:textId="77777777" w:rsidR="00793D47" w:rsidRDefault="00793D47" w:rsidP="00CD1CF2">
      <w:pPr>
        <w:pStyle w:val="2"/>
        <w:numPr>
          <w:ilvl w:val="1"/>
          <w:numId w:val="13"/>
        </w:numPr>
        <w:spacing w:before="0" w:after="0" w:line="360" w:lineRule="auto"/>
        <w:rPr>
          <w:lang w:val="ru-RU"/>
        </w:rPr>
      </w:pPr>
      <w:bookmarkStart w:id="2" w:name="_Toc232337636"/>
      <w:r w:rsidRPr="00793D47">
        <w:rPr>
          <w:lang w:val="ru-RU"/>
        </w:rPr>
        <w:t xml:space="preserve">Сущность и </w:t>
      </w:r>
      <w:r w:rsidRPr="00FF1FEF">
        <w:rPr>
          <w:color w:val="FF0000"/>
          <w:lang w:val="ru-RU"/>
        </w:rPr>
        <w:t>значение качества инвестиционного портфеля</w:t>
      </w:r>
      <w:bookmarkEnd w:id="2"/>
    </w:p>
    <w:p w14:paraId="7C525BF0" w14:textId="77777777" w:rsidR="00631EF4" w:rsidRPr="00631EF4" w:rsidRDefault="00631EF4" w:rsidP="00CD1CF2">
      <w:pPr>
        <w:spacing w:line="360" w:lineRule="auto"/>
        <w:jc w:val="both"/>
        <w:rPr>
          <w:lang w:val="ru-RU"/>
        </w:rPr>
      </w:pPr>
    </w:p>
    <w:p w14:paraId="61DAE88E"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 рамках современной финансовой теории, а также в практиках управления активами, инвестиционный портфель обычно рассматривается как базовый инструмент организации инвестиционного процесса, позволяющий преобразовать первоначальные инвестиционные намерения в структурированную и управляемую совокупность активов [20, с. 15]. В аналитическом смысле инвестиционный портфель целесообразно трактовать как целенаправленно сформированный набор объектов реального и финансового инвестирования, отобранных в соответствии с принятой стратегией, институциональными ограничениями и горизонтом вложений, который функционирует как единый объект управления и контроля [7, с. 112].</w:t>
      </w:r>
    </w:p>
    <w:p w14:paraId="26187DB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Понятие инвестиционного портфеля неразрывно связано с концепцией коллективного инвестирования, нашедшей институциональное воплощение в форме паевых инвестиционных фондов (ПИФов). ПИФ представляет собой рыночный механизм, посредством которого средства множества частных и корпоративных инвесторов объединяются в единый пул под профессиональным управлением специализированной управляющей компании, действующей на основании лицензии Банка России [4]. Правовую основу функционирования ПИФов составляет Федеральный закон «Об инвестиционных фондах» (от 29.11.2001 № 156-ФЗ), устанавливающий порядок создания, управления и контроля за деятельностью фондов, а также требования к раскрытию информации и защите прав пайщиков [4]. </w:t>
      </w:r>
      <w:r w:rsidRPr="00DA4464">
        <w:rPr>
          <w:rFonts w:ascii="Times New Roman" w:eastAsia="Times New Roman" w:hAnsi="Times New Roman" w:cs="Times New Roman"/>
          <w:sz w:val="28"/>
          <w:szCs w:val="28"/>
          <w:lang w:val="ru-RU"/>
        </w:rPr>
        <w:lastRenderedPageBreak/>
        <w:t>Экономическая сущность ПИФа заключается в том, что каждый инвестор, приобретая инвестиционный пай, становится совладельцем диверсифицированного портфеля активов, который был бы недоступен для него при самостоятельном инвестировании ввиду высокого порога входа на финансовые рынки и необходимости специальных профессиональных компетенций.</w:t>
      </w:r>
    </w:p>
    <w:p w14:paraId="149C493A"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Принципы формирования инвестиционного портфеля, получившие теоретическое обоснование в классических работах Г. Марковица [36; 37] и У. Шарпа [38], составляют методологическую основу современной портфельной теории. К ключевым из них относятся: принцип диверсификации, предполагающий распределение капитала между активами с различными характеристиками доходности и риска; принцип оптимальности, ориентирующий на достижение максимальной ожидаемой доходности при заданном уровне риска или на минимизацию риска при требуемой доходности; принцип ликвидности, обеспечивающий возможность трансформации активов в денежные средства без существенных потерь стоимости; а также принцип соответствия инвестиционным целям, требующий согласованности структуры портфеля с горизонтом инвестирования, финансовыми возможностями и риск-профилем инвестора.</w:t>
      </w:r>
    </w:p>
    <w:p w14:paraId="4AB1E4D3"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 категориальном отношении методы формирования инвестиционного портфеля традиционно разделяют на пассивные и активные. Пассивный подход предполагает воспроизведение состава и весов рыночного бенчмарка (индекса) с минимальными отклонениями и транзакционными издержками; он опирается на гипотезу эффективного рынка, согласно которой систематическое превышение рыночной доходности за счёт выбора отдельных бумаг недостижимо в долгосрочной перспективе [35]. Активный подход, напротив, направлен на формирование портфеля, способного опережать </w:t>
      </w:r>
      <w:r w:rsidRPr="00DA4464">
        <w:rPr>
          <w:rFonts w:ascii="Times New Roman" w:eastAsia="Times New Roman" w:hAnsi="Times New Roman" w:cs="Times New Roman"/>
          <w:sz w:val="28"/>
          <w:szCs w:val="28"/>
          <w:lang w:val="ru-RU"/>
        </w:rPr>
        <w:lastRenderedPageBreak/>
        <w:t>бенчмарк за счёт выбора недооценённых бумаг, тактической аллокации активов и своевременной ребалансировки; он требует применения инструментов фундаментального и технического анализа и предполагает более высокие издержки управления.</w:t>
      </w:r>
    </w:p>
    <w:p w14:paraId="25A459AE"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Цель формирования инвестиционного портфеля в большинстве случаев сводится к реализации инвестиционной политики через отбор и сочетание активов, которые при заданных ограничениях интерпретируются как относительно эффективные и достаточно надежные [19, с. 210]. В этой логике уместно говорить о системе взаимосвязанных ориентиров, где приоритеты задаются как стратегическими, так и тактическими соображениями: сохранение капитала и его прирост в долгосрочной перспективе; поддержание темпов роста дохода, которые соответствуют целям инвестора, при одновременном стремлении к более предсказуемой динамике денежных поступлений; ограничение уровня риска до значений, совместимых с допустимыми потерями и требованиями к устойчивости результатов [13, с. 154]; сохранение ликвидности в объеме, достаточном для исполнения обязательств, покрытия непредвиденных потребностей и для возможности реагировать на изменения рыночной конъюнктуры без вынужденных продаж по невыгодным ценам.</w:t>
      </w:r>
    </w:p>
    <w:p w14:paraId="2D1138A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Применение категории «качество» к инвестиционному портфелю не сводится к идее механической максимизации доходности, вычисленной по историческим данным или полученной на кратком временном интервале. Качество портфеля уместно определять как состояние и результат управленческого выбора, при котором достигается согласованное соотношение доходности, риска и ликвидности, а ожидаемая выгода рассматривается совместно с приемлемостью риска и с возможностью </w:t>
      </w:r>
      <w:r w:rsidRPr="00DA4464">
        <w:rPr>
          <w:rFonts w:ascii="Times New Roman" w:eastAsia="Times New Roman" w:hAnsi="Times New Roman" w:cs="Times New Roman"/>
          <w:sz w:val="28"/>
          <w:szCs w:val="28"/>
          <w:lang w:val="ru-RU"/>
        </w:rPr>
        <w:lastRenderedPageBreak/>
        <w:t>относительно оперативной трансформации части активов в денежную форму при разумных трансакционных издержках [11, с. 230].</w:t>
      </w:r>
    </w:p>
    <w:p w14:paraId="08B86E90"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Проблематика портфельного управления во многом обусловлена тем, что доходность, риск и ликвидность связаны функционально и на практике часто оказываются в напряженном соотношении. В финансовой теории устойчиво закрепилось положение о том, что рост ожидаемой доходности в среднем сопровождается повышением риска, то есть увеличением неопределенности итогового результата и вероятности неблагоприятных сценариев [25, с. 120].</w:t>
      </w:r>
    </w:p>
    <w:p w14:paraId="26764DC0"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Поскольку одновременная максимизация доходности при нулевом риске и абсолютной ликвидности не реализуема в условиях реального рынка, формирование портфеля фактически превращается в задачу поиска компромиссного решения [26, с. 146]. Для достижения приемлемого баланса управляющая сторона использует диверсификацию, объединяя активы с различной чувствительностью к факторам риска и с неодинаковой корреляцией доходностей, чтобы уменьшить совокупный риск без пропорционального сокращения ожидаемой доходности [20, с. 65].</w:t>
      </w:r>
    </w:p>
    <w:p w14:paraId="35D8E5B8" w14:textId="23918483" w:rsidR="00793D47" w:rsidRPr="00DA4464" w:rsidRDefault="00DA4464" w:rsidP="00DA4464">
      <w:pPr>
        <w:spacing w:line="360" w:lineRule="auto"/>
        <w:ind w:firstLine="709"/>
        <w:jc w:val="both"/>
        <w:rPr>
          <w:rFonts w:ascii="Times New Roman" w:hAnsi="Times New Roman" w:cs="Times New Roman"/>
          <w:sz w:val="28"/>
          <w:szCs w:val="28"/>
          <w:lang w:val="ru-RU"/>
        </w:rPr>
      </w:pPr>
      <w:r w:rsidRPr="00DA4464">
        <w:rPr>
          <w:rFonts w:ascii="Times New Roman" w:eastAsia="Times New Roman" w:hAnsi="Times New Roman" w:cs="Times New Roman"/>
          <w:sz w:val="28"/>
          <w:szCs w:val="28"/>
          <w:lang w:val="ru-RU"/>
        </w:rPr>
        <w:t xml:space="preserve">Одновременно в прикладной сфере управление портфелем нередко редуцируется до оптимизации структуры активов на основе ожидаемой доходности и исторической волатильности, где ключевыми исходными данными выступают ретроспективные ряды котировок и статистические оценки риска [25, с. 880]. Традиционная трактовка качества портфеля в подобных подходах часто опирается преимущественно на количественные метрики, включая стандартное отклонение, ковариацию, корреляции и расчеты, основанные на динамике цен. Однако такая перспектива остается ограниченной, поскольку прошлые статистические параметры не дают исчерпывающего представления о фундаментальной стоимости бизнеса </w:t>
      </w:r>
      <w:r w:rsidRPr="00DA4464">
        <w:rPr>
          <w:rFonts w:ascii="Times New Roman" w:eastAsia="Times New Roman" w:hAnsi="Times New Roman" w:cs="Times New Roman"/>
          <w:sz w:val="28"/>
          <w:szCs w:val="28"/>
          <w:lang w:val="ru-RU"/>
        </w:rPr>
        <w:lastRenderedPageBreak/>
        <w:t>эмитентов [8, с. 45]. По этой причине возникает методологическая необходимость расширять инструментарий оценки качества портфеля за счет методов фундаментального финансового анализа объектов инвестирования.</w:t>
      </w:r>
    </w:p>
    <w:p w14:paraId="5CF1815C" w14:textId="77777777" w:rsidR="00631EF4" w:rsidRDefault="00631EF4" w:rsidP="00CD1CF2">
      <w:pPr>
        <w:spacing w:line="360" w:lineRule="auto"/>
        <w:jc w:val="both"/>
        <w:rPr>
          <w:rFonts w:ascii="Times New Roman" w:hAnsi="Times New Roman" w:cs="Times New Roman"/>
          <w:sz w:val="28"/>
          <w:szCs w:val="28"/>
          <w:lang w:val="ru-RU"/>
        </w:rPr>
      </w:pPr>
    </w:p>
    <w:p w14:paraId="37FC8522" w14:textId="77777777" w:rsidR="00793D47" w:rsidRDefault="00793D47" w:rsidP="00CD1CF2">
      <w:pPr>
        <w:pStyle w:val="2"/>
        <w:numPr>
          <w:ilvl w:val="1"/>
          <w:numId w:val="13"/>
        </w:numPr>
        <w:spacing w:before="0" w:after="0" w:line="360" w:lineRule="auto"/>
        <w:ind w:left="0" w:firstLine="0"/>
        <w:rPr>
          <w:lang w:val="ru-RU"/>
        </w:rPr>
      </w:pPr>
      <w:bookmarkStart w:id="3" w:name="_Toc232337637"/>
      <w:r w:rsidRPr="00631EF4">
        <w:rPr>
          <w:lang w:val="ru-RU"/>
        </w:rPr>
        <w:t>Факторы, определяющие качество инвестиционного портфеля</w:t>
      </w:r>
      <w:bookmarkEnd w:id="3"/>
    </w:p>
    <w:p w14:paraId="6D8C339A" w14:textId="77777777" w:rsidR="00CD1CF2" w:rsidRPr="00CD1CF2" w:rsidRDefault="00CD1CF2" w:rsidP="00CD1CF2">
      <w:pPr>
        <w:rPr>
          <w:lang w:val="ru-RU"/>
        </w:rPr>
      </w:pPr>
    </w:p>
    <w:p w14:paraId="5B67B82C"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Качество инвестиционного портфеля представляется обоснованным рассматривать как динамическую характеристику, которая изменяется во времени под воздействием совокупности взаимосвязанных условий. При этом часть таких условий формируется во внешней среде и практически не поддается влиянию со стороны инвестора или управляющей компании, тогда как другая часть определяется управленческими решениями, принятыми при формировании и сопровождении портфеля [7, с. 142]. В академической литературе укоренилась типология факторов на внешние (экзогенные) и внутренние (эндогенные), что методологически удобно: она позволяет аналитически отделить ограничения, возникающие независимо от воли субъекта управления, от параметров, которые могут целенаправленно корректироваться через инвестиционную стратегию, регламенты принятия решений, процедуры риск-менеджмента и критерии отбора инструментов [19, с. 215].</w:t>
      </w:r>
    </w:p>
    <w:p w14:paraId="35116061"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Внешние факторы задают макроэкономический и институциональный контур функционирования финансового рынка. Существенное значение в данном контексте имеют фазы экономического цикла, траектория инфляции и решения центрального банка в сфере денежно-кредитной политики, прежде всего изменение уровня ключевой ставки [24, с. 410]. Инфляционная динамика снижает реальную ценность будущих денежных потоков, в связи с чем при построении портфеля возрастает роль инструментов, способных обеспечивать </w:t>
      </w:r>
      <w:r w:rsidRPr="00DA4464">
        <w:rPr>
          <w:rFonts w:ascii="Times New Roman" w:eastAsia="Times New Roman" w:hAnsi="Times New Roman" w:cs="Times New Roman"/>
          <w:sz w:val="28"/>
          <w:szCs w:val="28"/>
          <w:lang w:val="ru-RU"/>
        </w:rPr>
        <w:lastRenderedPageBreak/>
        <w:t>компенсацию инфляционного обесценения или, по крайней мере, поддерживать покупательную способность капитала. Движение ключевой ставки, в свою очередь, влияет на стоимость заемного финансирования в корпоративном секторе и формирует альтернативную доходность относительно близких к безрисковым инструментов, что смещает баланс привлекательности между акциями и облигациями [17, с. 312].</w:t>
      </w:r>
    </w:p>
    <w:p w14:paraId="76AB2E6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Наряду с общими макроусловиями существенны отраслевые факторы, особенно в случае фондов с выраженной специализацией, когда риск-профиль портфеля во многом определяется узким набором драйверов. Для инвестиционных фондов, ориентированных на металлургический сегмент (в том числе в логике базового актива ОПИФ РФИ «ВИМ-Металлургия»), принципиальным обстоятельством является ярко выраженная цикличность сырьевых рынков [33, с. 12]. Рыночная капитализация и инвестиционная привлекательность металлургических и горнодобывающих компаний в значительной степени обусловлены глобальной конъюнктурой: изменения мировых цен на сталь, цветные и драгоценные металлы сравнительно быстро транслируются в экспортную выручку и операционную рентабельность российских эмитентов.</w:t>
      </w:r>
    </w:p>
    <w:p w14:paraId="201FCBA2"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Дополнительным внешним шоком для отрасли стало усиление санкционного давления, приведшее к разрывам традиционных цепочек поставок, изменению структуры контрагентов и пересборке экспортной логистики. Ограничения на импорт российской металлопродукции в ряде юрисдикций ускорили переориентацию экспортных потоков на рынки Азиатско-Тихоокеанского региона, Ближнего Востока и стран глобального Юга. Вместе с тем данный «разворот» не является нейтральным с точки зрения экономических параметров: он связан с удлинением логистических маршрутов, ростом транспортных и транзакционных издержек, а также </w:t>
      </w:r>
      <w:r w:rsidRPr="00DA4464">
        <w:rPr>
          <w:rFonts w:ascii="Times New Roman" w:eastAsia="Times New Roman" w:hAnsi="Times New Roman" w:cs="Times New Roman"/>
          <w:sz w:val="28"/>
          <w:szCs w:val="28"/>
          <w:lang w:val="ru-RU"/>
        </w:rPr>
        <w:lastRenderedPageBreak/>
        <w:t>необходимостью предоставления ценовых дисконтов к мировым ориентирам для сохранения конкурентоспособности.</w:t>
      </w:r>
    </w:p>
    <w:p w14:paraId="7ED3D1E6"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Заметное влияние на привлекательность сектора также оказывает валютный фактор, наряду с изменениями фискальной политики и режимов изъятия ресурсной ренты. Колебания курса рубля воздействуют на металлургические компании неоднозначно: девальвация может частично компенсировать снижение экспортных цен в иностранной валюте за счет роста рублевой выручки, однако одновременно удорожает импортное оборудование и комплектующие, повышая капитальные затраты и стоимость модернизационных программ [33]. Параллельно усиление налоговой нагрузки на сырьевой сектор, включая экспортные пошлины и корректировки НДПИ, ведет к перераспределению части доходов компаний в пользу бюджета и изменяет ожидаемую доходность капитала для акционеров [2].</w:t>
      </w:r>
    </w:p>
    <w:p w14:paraId="1F2872C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Внутренние факторы описывают параметры, которыми инвестор или управляющая компания в принципе способны управлять, и потому они выступают объектом целенаправленного проектирования. К ним относится качество управления фондом, проявляющееся в выборе общей стратегии (активной либо пассивной), в заданной глубине диверсификации, в формализованных принципах отбора активов, а также в регулярности и дисциплине ребалансировки [20, с. 78]. Ребалансировка может рассматриваться как инструмент поддержания целевого соотношения риска и ожидаемой доходности в условиях изменяющейся рыночной среды; помимо этого, она снижает вероятность накопления нежелательной концентрации и позволяет корректировать портфель в ответ на смещение весов отдельных позиций.</w:t>
      </w:r>
    </w:p>
    <w:p w14:paraId="21AA289A" w14:textId="6DC7C01D" w:rsidR="00631EF4" w:rsidRPr="00DA4464" w:rsidRDefault="00DA4464" w:rsidP="00DA4464">
      <w:pPr>
        <w:spacing w:line="360" w:lineRule="auto"/>
        <w:ind w:firstLine="709"/>
        <w:jc w:val="both"/>
        <w:rPr>
          <w:rFonts w:ascii="Times New Roman" w:hAnsi="Times New Roman" w:cs="Times New Roman"/>
          <w:sz w:val="28"/>
          <w:szCs w:val="28"/>
          <w:lang w:val="ru-RU"/>
        </w:rPr>
      </w:pPr>
      <w:r w:rsidRPr="00DA4464">
        <w:rPr>
          <w:rFonts w:ascii="Times New Roman" w:eastAsia="Times New Roman" w:hAnsi="Times New Roman" w:cs="Times New Roman"/>
          <w:sz w:val="28"/>
          <w:szCs w:val="28"/>
          <w:lang w:val="ru-RU"/>
        </w:rPr>
        <w:t xml:space="preserve">В условиях высокой волатильности и выраженной цикличности отрасли пассивные стратегии, воспроизводящие отраслевой бенчмарк, могут </w:t>
      </w:r>
      <w:r w:rsidRPr="00DA4464">
        <w:rPr>
          <w:rFonts w:ascii="Times New Roman" w:eastAsia="Times New Roman" w:hAnsi="Times New Roman" w:cs="Times New Roman"/>
          <w:sz w:val="28"/>
          <w:szCs w:val="28"/>
          <w:lang w:val="ru-RU"/>
        </w:rPr>
        <w:lastRenderedPageBreak/>
        <w:t>приводить к значительным просадкам в неблагоприятные периоды сырьевого цикла, что обостряет вопрос о критериях отбора активов и о допустимой степени «механического» следования индексу. Соответственно, математический подход, ограниченный ретроспективной оценкой доходностей, корреляций и волатильности, оказывается недостаточным для интерпретации возможных изменений стоимости активов при структурной трансформации макроэкономической и институциональной среды. Для достижения целевой доходности при контролируемом уровне риска более значимым становится селективный выбор фундаментально устойчивых эмитентов, которые способны сохранять положительный денежный поток, поддерживать приемлемую долговую нагрузку и демонстрировать операционную гибкость в условиях санкционных ограничений, налоговых изменений и повышенной стоимости капитала [9, с. 320].</w:t>
      </w:r>
    </w:p>
    <w:p w14:paraId="17E47291" w14:textId="77777777" w:rsidR="00631EF4" w:rsidRPr="00631EF4" w:rsidRDefault="00631EF4" w:rsidP="00FF3E0E">
      <w:pPr>
        <w:pStyle w:val="a5"/>
        <w:spacing w:line="360" w:lineRule="auto"/>
        <w:contextualSpacing w:val="0"/>
        <w:rPr>
          <w:lang w:val="ru-RU"/>
        </w:rPr>
      </w:pPr>
    </w:p>
    <w:p w14:paraId="320BD741" w14:textId="2CFFDB3E" w:rsidR="00631EF4" w:rsidRPr="00B0287A" w:rsidRDefault="00793D47" w:rsidP="00FF3E0E">
      <w:pPr>
        <w:pStyle w:val="2"/>
        <w:numPr>
          <w:ilvl w:val="1"/>
          <w:numId w:val="13"/>
        </w:numPr>
        <w:spacing w:before="0" w:after="0" w:line="360" w:lineRule="auto"/>
        <w:rPr>
          <w:color w:val="FF0000"/>
          <w:lang w:val="ru-RU"/>
        </w:rPr>
      </w:pPr>
      <w:bookmarkStart w:id="4" w:name="_Toc232337638"/>
      <w:r w:rsidRPr="00631EF4">
        <w:rPr>
          <w:lang w:val="ru-RU"/>
        </w:rPr>
        <w:t>Инвестиционная привлекательность предприятия как фактор качества инвестиционного портфеля</w:t>
      </w:r>
      <w:bookmarkEnd w:id="4"/>
      <w:r w:rsidR="00B0287A">
        <w:rPr>
          <w:lang w:val="ru-RU"/>
        </w:rPr>
        <w:t xml:space="preserve"> </w:t>
      </w:r>
      <w:r w:rsidR="00B0287A" w:rsidRPr="00B0287A">
        <w:rPr>
          <w:color w:val="FF0000"/>
          <w:lang w:val="ru-RU"/>
        </w:rPr>
        <w:t>Теперь название параграфа не соответствует его содержанию</w:t>
      </w:r>
    </w:p>
    <w:p w14:paraId="0B4DA365" w14:textId="77777777" w:rsidR="00631EF4" w:rsidRPr="00631EF4" w:rsidRDefault="00631EF4" w:rsidP="00FF3E0E">
      <w:pPr>
        <w:spacing w:line="360" w:lineRule="auto"/>
        <w:ind w:firstLine="709"/>
        <w:jc w:val="both"/>
        <w:rPr>
          <w:rFonts w:ascii="Times New Roman" w:hAnsi="Times New Roman" w:cs="Times New Roman"/>
          <w:sz w:val="28"/>
          <w:szCs w:val="28"/>
          <w:lang w:val="ru-RU"/>
        </w:rPr>
      </w:pPr>
    </w:p>
    <w:p w14:paraId="46BA68B7"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В теории корпоративных финансов, равно как и в прикладной практике управления активами, устойчиво признается, что качество инвестиционного портфеля в существенной степени обусловлено состоянием компаний-эмитентов, чьи ценные бумаги составляют его базу [10, с. 245]. В этом отношении портфель целесообразно интерпретировать не как автономную статистическую конструкцию, выводимую исключительно из рядов доходностей, а как производную от совокупности реальных хозяйственных систем [24, с. 45]. Акция фиксирует долю участия в капитале и, следовательно, опосредованно отражает способность бизнеса формировать стоимость для </w:t>
      </w:r>
      <w:r w:rsidRPr="00DA4464">
        <w:rPr>
          <w:rFonts w:ascii="Times New Roman" w:eastAsia="Times New Roman" w:hAnsi="Times New Roman" w:cs="Times New Roman"/>
          <w:sz w:val="28"/>
          <w:szCs w:val="28"/>
          <w:lang w:val="ru-RU"/>
        </w:rPr>
        <w:lastRenderedPageBreak/>
        <w:t>собственников; облигация представляет собой долговое обязательство, напрямую зависящее от платежной дисциплины и структуры денежных потоков эмитента.</w:t>
      </w:r>
    </w:p>
    <w:p w14:paraId="78500925"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Если предприятия характеризуются ограниченной платежеспособностью, ухудшением маржинальности, снижением эффективности использования капитала либо системными проблемами корпоративного контроля, то даже формально корректно выстроенная диверсификация не обеспечивает надежной защиты капитала от обесценения в долгосрочном горизонте [9, с. 210].</w:t>
      </w:r>
    </w:p>
    <w:p w14:paraId="317BDA63"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В контексте портфельного инвестирования инвестиционную привлекательность предприятия уместно трактовать как интегральную и динамическую характеристику, отражающую способность компании привлекать капитал на приемлемых условиях, обеспечивать воспроизводство и развитие, а также генерировать устойчивые денежные потоки [19, с. 44]. В её состав логично включать оценку стратегических перспектив, качества ресурсной базы и технологий, конкурентоспособности продукции и рыночных позиций, а также ликвидности и финансовой устойчивости при приемлемом уровне риска.</w:t>
      </w:r>
    </w:p>
    <w:p w14:paraId="7775CADF"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Классическая портфельная теория, как правило, строится на инструментах математической статистики и использует дисперсию, стандартное отклонение и ковариацию исторических доходностей. Такой подход обладает несомненной методологической ценностью, поскольку позволяет формализовать компромисс между риском и доходностью и получить измеримые критерии сравнения стратегий [25, с. 156]. Вместе с тем для вывода о реальном качестве портфеля опора исключительно на статистические показатели представляется методологически ограниченной, </w:t>
      </w:r>
      <w:r w:rsidRPr="00DA4464">
        <w:rPr>
          <w:rFonts w:ascii="Times New Roman" w:eastAsia="Times New Roman" w:hAnsi="Times New Roman" w:cs="Times New Roman"/>
          <w:sz w:val="28"/>
          <w:szCs w:val="28"/>
          <w:lang w:val="ru-RU"/>
        </w:rPr>
        <w:lastRenderedPageBreak/>
        <w:t>особенно применительно к секторам, где фундаментальные факторы способны резко менять профиль рисков [24, с. 218].</w:t>
      </w:r>
    </w:p>
    <w:p w14:paraId="7CF4D514"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Металлургический сектор характеризуется высокой капиталоемкостью, длительными сроками окупаемости проектов, необходимостью регулярной модернизации основных средств и, как следствие, нередко существенной долговой нагрузкой [30, с. 19]. Кроме того, финансовые результаты компаний чувствительны к фазам глобального экономического цикла, к состоянию инфраструктурного и строительного спроса, а также к ценовой конъюнктуре товарных рынков и логистическим ограничениям [33, с. 11]. В такой среде ретроспективная волатильность в первую очередь отражает уже состоявшиеся ценовые колебания и не обеспечивает надежного суждения о ряде рисков, критичных для долгосрочного инвестора.</w:t>
      </w:r>
    </w:p>
    <w:p w14:paraId="579F5B12"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Тем самым опора исключительно на статистические параметры поведения ценных бумаг не формирует объективной картины будущей жизнеспособности активов в изменяющейся макроэкономической среде. Комплексная оценка качества портфеля и разработка мер по его повышению предполагают интеграцию инструментов портфельного моделирования с результатами фундаментального исследования объектов инвестирования, включая анализ бизнес-модели, устойчивости денежных потоков и качества управления рисками [20, с. 110].</w:t>
      </w:r>
    </w:p>
    <w:p w14:paraId="05D3C1A1" w14:textId="58982EE6" w:rsidR="00B0287A" w:rsidRPr="00B0287A" w:rsidRDefault="00B0287A" w:rsidP="00DA4464">
      <w:pPr>
        <w:spacing w:line="360" w:lineRule="auto"/>
        <w:ind w:firstLine="709"/>
        <w:jc w:val="both"/>
        <w:rPr>
          <w:rFonts w:ascii="Times New Roman" w:eastAsia="Times New Roman" w:hAnsi="Times New Roman" w:cs="Times New Roman"/>
          <w:color w:val="FF0000"/>
          <w:sz w:val="28"/>
          <w:szCs w:val="28"/>
          <w:lang w:val="ru-RU"/>
        </w:rPr>
      </w:pPr>
      <w:r w:rsidRPr="00B0287A">
        <w:rPr>
          <w:rFonts w:ascii="Times New Roman" w:eastAsia="Times New Roman" w:hAnsi="Times New Roman" w:cs="Times New Roman"/>
          <w:color w:val="FF0000"/>
          <w:sz w:val="28"/>
          <w:szCs w:val="28"/>
          <w:lang w:val="ru-RU"/>
        </w:rPr>
        <w:t>Не логичный  переход</w:t>
      </w:r>
    </w:p>
    <w:p w14:paraId="1775B6A8" w14:textId="7DDF5D4D"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Концептуальной основой количественного анализа портфеля служит теория эффективного портфеля, разработанная Г. Марковицем в 1952 году [36; 37]. Ключевым вкладом данной теории является строгое математическое доказательство того, что риск диверсифицированного портфеля не равен средневзвешенному риску входящих в него активов, а определяется матрицей ковариаций их доходностей. Иными словами, объединение активов с </w:t>
      </w:r>
      <w:r w:rsidRPr="00DA4464">
        <w:rPr>
          <w:rFonts w:ascii="Times New Roman" w:eastAsia="Times New Roman" w:hAnsi="Times New Roman" w:cs="Times New Roman"/>
          <w:sz w:val="28"/>
          <w:szCs w:val="28"/>
          <w:lang w:val="ru-RU"/>
        </w:rPr>
        <w:lastRenderedPageBreak/>
        <w:t xml:space="preserve">несовершенной положительной корреляцией позволяет снизить совокупный риск ниже уровня, достижимого для любого отдельного инструмента. Математически ожидаемая доходность портфеля из </w:t>
      </w:r>
      <w:r>
        <w:rPr>
          <w:rFonts w:ascii="Times New Roman" w:eastAsia="Times New Roman" w:hAnsi="Times New Roman" w:cs="Times New Roman"/>
          <w:sz w:val="28"/>
          <w:szCs w:val="28"/>
        </w:rPr>
        <w:t>n</w:t>
      </w:r>
      <w:r w:rsidRPr="00DA4464">
        <w:rPr>
          <w:rFonts w:ascii="Times New Roman" w:eastAsia="Times New Roman" w:hAnsi="Times New Roman" w:cs="Times New Roman"/>
          <w:sz w:val="28"/>
          <w:szCs w:val="28"/>
          <w:lang w:val="ru-RU"/>
        </w:rPr>
        <w:t xml:space="preserve"> активов выражается формулой</w:t>
      </w:r>
      <w:r w:rsidR="004F3E51">
        <w:rPr>
          <w:rFonts w:ascii="Times New Roman" w:eastAsia="Times New Roman" w:hAnsi="Times New Roman" w:cs="Times New Roman"/>
          <w:sz w:val="28"/>
          <w:szCs w:val="28"/>
          <w:lang w:val="ru-RU"/>
        </w:rPr>
        <w:t xml:space="preserve"> (1)</w:t>
      </w:r>
      <w:r w:rsidRPr="00DA4464">
        <w:rPr>
          <w:rFonts w:ascii="Times New Roman" w:eastAsia="Times New Roman" w:hAnsi="Times New Roman" w:cs="Times New Roman"/>
          <w:sz w:val="28"/>
          <w:szCs w:val="28"/>
          <w:lang w:val="ru-RU"/>
        </w:rPr>
        <w:t>:</w:t>
      </w:r>
    </w:p>
    <w:p w14:paraId="19ECFAD7" w14:textId="610BBE5B" w:rsidR="00DA4464" w:rsidRPr="004F3E51" w:rsidRDefault="004F3E51" w:rsidP="00DA4464">
      <w:pPr>
        <w:spacing w:line="360" w:lineRule="auto"/>
        <w:jc w:val="center"/>
        <w:rPr>
          <w:lang w:val="ru-RU"/>
        </w:rPr>
      </w:pPr>
      <w:r>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E</w:t>
      </w:r>
      <w:r w:rsidR="00DA4464" w:rsidRPr="00DA4464">
        <w:rPr>
          <w:rFonts w:ascii="Times New Roman" w:eastAsia="Times New Roman" w:hAnsi="Times New Roman" w:cs="Times New Roman"/>
          <w:i/>
          <w:iCs/>
          <w:sz w:val="28"/>
          <w:szCs w:val="28"/>
          <w:lang w:val="ru-RU"/>
        </w:rPr>
        <w:t>(</w:t>
      </w:r>
      <w:r w:rsidR="00DA4464">
        <w:rPr>
          <w:rFonts w:ascii="Times New Roman" w:eastAsia="Times New Roman" w:hAnsi="Times New Roman" w:cs="Times New Roman"/>
          <w:i/>
          <w:iCs/>
          <w:sz w:val="28"/>
          <w:szCs w:val="28"/>
        </w:rPr>
        <w:t>Rp</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Σ</w:t>
      </w:r>
      <w:r w:rsidR="00DA4464" w:rsidRPr="00DA4464">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wi</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E</w:t>
      </w:r>
      <w:r w:rsidR="00DA4464" w:rsidRPr="00DA4464">
        <w:rPr>
          <w:rFonts w:ascii="Times New Roman" w:eastAsia="Times New Roman" w:hAnsi="Times New Roman" w:cs="Times New Roman"/>
          <w:i/>
          <w:iCs/>
          <w:sz w:val="28"/>
          <w:szCs w:val="28"/>
          <w:lang w:val="ru-RU"/>
        </w:rPr>
        <w:t>(</w:t>
      </w:r>
      <w:r w:rsidR="00DA4464">
        <w:rPr>
          <w:rFonts w:ascii="Times New Roman" w:eastAsia="Times New Roman" w:hAnsi="Times New Roman" w:cs="Times New Roman"/>
          <w:i/>
          <w:iCs/>
          <w:sz w:val="28"/>
          <w:szCs w:val="28"/>
        </w:rPr>
        <w:t>Ri</w:t>
      </w:r>
      <w:r w:rsidR="00DA4464" w:rsidRPr="00DA4464">
        <w:rPr>
          <w:rFonts w:ascii="Times New Roman" w:eastAsia="Times New Roman" w:hAnsi="Times New Roman" w:cs="Times New Roman"/>
          <w:i/>
          <w:iCs/>
          <w:sz w:val="28"/>
          <w:szCs w:val="28"/>
          <w:lang w:val="ru-RU"/>
        </w:rPr>
        <w:t>)</w:t>
      </w:r>
      <w:r>
        <w:rPr>
          <w:rFonts w:ascii="Times New Roman" w:eastAsia="Times New Roman" w:hAnsi="Times New Roman" w:cs="Times New Roman"/>
          <w:i/>
          <w:iCs/>
          <w:sz w:val="28"/>
          <w:szCs w:val="28"/>
          <w:lang w:val="ru-RU"/>
        </w:rPr>
        <w:t>,</w:t>
      </w:r>
      <w:r>
        <w:rPr>
          <w:rFonts w:ascii="Times New Roman" w:eastAsia="Times New Roman" w:hAnsi="Times New Roman" w:cs="Times New Roman"/>
          <w:sz w:val="28"/>
          <w:szCs w:val="28"/>
          <w:lang w:val="ru-RU"/>
        </w:rPr>
        <w:t xml:space="preserve">                                             (1)</w:t>
      </w:r>
    </w:p>
    <w:p w14:paraId="335FB93D" w14:textId="04B74F21"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wi</w:t>
      </w:r>
      <w:r w:rsidRPr="00DA4464">
        <w:rPr>
          <w:rFonts w:ascii="Times New Roman" w:eastAsia="Times New Roman" w:hAnsi="Times New Roman" w:cs="Times New Roman"/>
          <w:sz w:val="28"/>
          <w:szCs w:val="28"/>
          <w:lang w:val="ru-RU"/>
        </w:rPr>
        <w:t xml:space="preserve"> — удельный вес </w:t>
      </w:r>
      <w:r>
        <w:rPr>
          <w:rFonts w:ascii="Times New Roman" w:eastAsia="Times New Roman" w:hAnsi="Times New Roman" w:cs="Times New Roman"/>
          <w:sz w:val="28"/>
          <w:szCs w:val="28"/>
        </w:rPr>
        <w:t>i</w:t>
      </w:r>
      <w:r w:rsidRPr="00DA4464">
        <w:rPr>
          <w:rFonts w:ascii="Times New Roman" w:eastAsia="Times New Roman" w:hAnsi="Times New Roman" w:cs="Times New Roman"/>
          <w:sz w:val="28"/>
          <w:szCs w:val="28"/>
          <w:lang w:val="ru-RU"/>
        </w:rPr>
        <w:t xml:space="preserve">-го актива, </w:t>
      </w:r>
      <w:r>
        <w:rPr>
          <w:rFonts w:ascii="Times New Roman" w:eastAsia="Times New Roman" w:hAnsi="Times New Roman" w:cs="Times New Roman"/>
          <w:sz w:val="28"/>
          <w:szCs w:val="28"/>
        </w:rPr>
        <w:t>E</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Ri</w:t>
      </w:r>
      <w:r w:rsidRPr="00DA4464">
        <w:rPr>
          <w:rFonts w:ascii="Times New Roman" w:eastAsia="Times New Roman" w:hAnsi="Times New Roman" w:cs="Times New Roman"/>
          <w:sz w:val="28"/>
          <w:szCs w:val="28"/>
          <w:lang w:val="ru-RU"/>
        </w:rPr>
        <w:t>) — его ожидаемая доходность. Дисперсия доходности портфеля, описывающая его совокупный риск, рассчитывается как</w:t>
      </w:r>
      <w:r w:rsidR="004F3E51">
        <w:rPr>
          <w:rFonts w:ascii="Times New Roman" w:eastAsia="Times New Roman" w:hAnsi="Times New Roman" w:cs="Times New Roman"/>
          <w:sz w:val="28"/>
          <w:szCs w:val="28"/>
          <w:lang w:val="ru-RU"/>
        </w:rPr>
        <w:t xml:space="preserve"> (2)</w:t>
      </w:r>
      <w:r w:rsidRPr="00DA4464">
        <w:rPr>
          <w:rFonts w:ascii="Times New Roman" w:eastAsia="Times New Roman" w:hAnsi="Times New Roman" w:cs="Times New Roman"/>
          <w:sz w:val="28"/>
          <w:szCs w:val="28"/>
          <w:lang w:val="ru-RU"/>
        </w:rPr>
        <w:t>:</w:t>
      </w:r>
    </w:p>
    <w:p w14:paraId="7A52164C" w14:textId="18364543" w:rsidR="00DA4464" w:rsidRPr="004F3E51" w:rsidRDefault="004F3E51" w:rsidP="00DA4464">
      <w:pPr>
        <w:spacing w:line="360" w:lineRule="auto"/>
        <w:jc w:val="center"/>
        <w:rPr>
          <w:lang w:val="ru-RU"/>
        </w:rPr>
      </w:pPr>
      <w:r>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σ</w:t>
      </w:r>
      <w:r w:rsidR="00DA4464" w:rsidRPr="00DA4464">
        <w:rPr>
          <w:rFonts w:ascii="Times New Roman" w:eastAsia="Times New Roman" w:hAnsi="Times New Roman" w:cs="Times New Roman"/>
          <w:i/>
          <w:iCs/>
          <w:sz w:val="28"/>
          <w:szCs w:val="28"/>
          <w:lang w:val="ru-RU"/>
        </w:rPr>
        <w:t>²</w:t>
      </w:r>
      <w:r w:rsidR="00DA4464">
        <w:rPr>
          <w:rFonts w:ascii="Times New Roman" w:eastAsia="Times New Roman" w:hAnsi="Times New Roman" w:cs="Times New Roman"/>
          <w:i/>
          <w:iCs/>
          <w:sz w:val="28"/>
          <w:szCs w:val="28"/>
        </w:rPr>
        <w:t>p</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Σi</w:t>
      </w:r>
      <w:r w:rsidR="00DA4464" w:rsidRPr="00DA4464">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Σj</w:t>
      </w:r>
      <w:r w:rsidR="00DA4464" w:rsidRPr="00DA4464">
        <w:rPr>
          <w:rFonts w:ascii="Times New Roman" w:eastAsia="Times New Roman" w:hAnsi="Times New Roman" w:cs="Times New Roman"/>
          <w:i/>
          <w:iCs/>
          <w:sz w:val="28"/>
          <w:szCs w:val="28"/>
          <w:lang w:val="ru-RU"/>
        </w:rPr>
        <w:t xml:space="preserve"> </w:t>
      </w:r>
      <w:r w:rsidR="00DA4464">
        <w:rPr>
          <w:rFonts w:ascii="Times New Roman" w:eastAsia="Times New Roman" w:hAnsi="Times New Roman" w:cs="Times New Roman"/>
          <w:i/>
          <w:iCs/>
          <w:sz w:val="28"/>
          <w:szCs w:val="28"/>
        </w:rPr>
        <w:t>wi</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wj</w:t>
      </w:r>
      <w:r w:rsidR="00DA4464" w:rsidRPr="00DA4464">
        <w:rPr>
          <w:rFonts w:ascii="Times New Roman" w:eastAsia="Times New Roman" w:hAnsi="Times New Roman" w:cs="Times New Roman"/>
          <w:i/>
          <w:iCs/>
          <w:sz w:val="28"/>
          <w:szCs w:val="28"/>
          <w:lang w:val="ru-RU"/>
        </w:rPr>
        <w:t xml:space="preserve"> · </w:t>
      </w:r>
      <w:r w:rsidR="00DA4464">
        <w:rPr>
          <w:rFonts w:ascii="Times New Roman" w:eastAsia="Times New Roman" w:hAnsi="Times New Roman" w:cs="Times New Roman"/>
          <w:i/>
          <w:iCs/>
          <w:sz w:val="28"/>
          <w:szCs w:val="28"/>
        </w:rPr>
        <w:t>σij</w:t>
      </w:r>
      <w:r>
        <w:rPr>
          <w:rFonts w:ascii="Times New Roman" w:eastAsia="Times New Roman" w:hAnsi="Times New Roman" w:cs="Times New Roman"/>
          <w:i/>
          <w:iCs/>
          <w:sz w:val="28"/>
          <w:szCs w:val="28"/>
          <w:lang w:val="ru-RU"/>
        </w:rPr>
        <w:t xml:space="preserve">, </w:t>
      </w:r>
      <w:r>
        <w:rPr>
          <w:rFonts w:ascii="Times New Roman" w:eastAsia="Times New Roman" w:hAnsi="Times New Roman" w:cs="Times New Roman"/>
          <w:sz w:val="28"/>
          <w:szCs w:val="28"/>
          <w:lang w:val="ru-RU"/>
        </w:rPr>
        <w:t xml:space="preserve">                                           (2)</w:t>
      </w:r>
    </w:p>
    <w:p w14:paraId="3A2E6A34" w14:textId="77777777"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σij</w:t>
      </w:r>
      <w:r w:rsidRPr="00DA4464">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ρij</w:t>
      </w:r>
      <w:r w:rsidRPr="00DA4464">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σi</w:t>
      </w:r>
      <w:r w:rsidRPr="00DA4464">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σj</w:t>
      </w:r>
      <w:r w:rsidRPr="00DA4464">
        <w:rPr>
          <w:rFonts w:ascii="Times New Roman" w:eastAsia="Times New Roman" w:hAnsi="Times New Roman" w:cs="Times New Roman"/>
          <w:sz w:val="28"/>
          <w:szCs w:val="28"/>
          <w:lang w:val="ru-RU"/>
        </w:rPr>
        <w:t xml:space="preserve"> — ковариация доходностей активов </w:t>
      </w:r>
      <w:r>
        <w:rPr>
          <w:rFonts w:ascii="Times New Roman" w:eastAsia="Times New Roman" w:hAnsi="Times New Roman" w:cs="Times New Roman"/>
          <w:sz w:val="28"/>
          <w:szCs w:val="28"/>
        </w:rPr>
        <w:t>i</w:t>
      </w:r>
      <w:r w:rsidRPr="00DA4464">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j</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ρij</w:t>
      </w:r>
      <w:r w:rsidRPr="00DA4464">
        <w:rPr>
          <w:rFonts w:ascii="Times New Roman" w:eastAsia="Times New Roman" w:hAnsi="Times New Roman" w:cs="Times New Roman"/>
          <w:sz w:val="28"/>
          <w:szCs w:val="28"/>
          <w:lang w:val="ru-RU"/>
        </w:rPr>
        <w:t xml:space="preserve"> — коэффициент их корреляции. При </w:t>
      </w:r>
      <w:r w:rsidRPr="00B0287A">
        <w:rPr>
          <w:rFonts w:ascii="Times New Roman" w:eastAsia="Times New Roman" w:hAnsi="Times New Roman" w:cs="Times New Roman"/>
          <w:color w:val="FF0000"/>
          <w:sz w:val="28"/>
          <w:szCs w:val="28"/>
        </w:rPr>
        <w:t>ρij</w:t>
      </w:r>
      <w:r w:rsidRPr="00B0287A">
        <w:rPr>
          <w:rFonts w:ascii="Times New Roman" w:eastAsia="Times New Roman" w:hAnsi="Times New Roman" w:cs="Times New Roman"/>
          <w:color w:val="FF0000"/>
          <w:sz w:val="28"/>
          <w:szCs w:val="28"/>
          <w:lang w:val="ru-RU"/>
        </w:rPr>
        <w:t xml:space="preserve"> &lt; 1 второе слагаемое уравнения </w:t>
      </w:r>
      <w:r w:rsidRPr="00DA4464">
        <w:rPr>
          <w:rFonts w:ascii="Times New Roman" w:eastAsia="Times New Roman" w:hAnsi="Times New Roman" w:cs="Times New Roman"/>
          <w:sz w:val="28"/>
          <w:szCs w:val="28"/>
          <w:lang w:val="ru-RU"/>
        </w:rPr>
        <w:t>оказывается меньше, чем при полной положительной корреляции, что и обеспечивает эффект снижения риска. Совокупность портфелей, обеспечивающих максимальную ожидаемую доходность при любом заданном уровне риска (или минимальный риск при любой заданной доходности), образует эффективный фронт Марковица — кривую в координатах «риск — доходность», выше которой ни один реально достижимый портфель не может располагаться.</w:t>
      </w:r>
    </w:p>
    <w:p w14:paraId="21AD2BD4" w14:textId="281B999A" w:rsidR="00DA446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Модель оценки капитальных активов (</w:t>
      </w:r>
      <w:r>
        <w:rPr>
          <w:rFonts w:ascii="Times New Roman" w:eastAsia="Times New Roman" w:hAnsi="Times New Roman" w:cs="Times New Roman"/>
          <w:sz w:val="28"/>
          <w:szCs w:val="28"/>
        </w:rPr>
        <w:t>Capital</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Asset</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Pricing</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xml:space="preserve">), развитая У. Шарпом [38], Д. Линтнером и Я. Моссиным на основе теории Марковица, позволяет перейти от задачи оптимизации портфеля к задаче ценообразования отдельных активов в условиях рыночного равновесия. Согласно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ожидаемая доходность любого актива определяется следующим образом</w:t>
      </w:r>
      <w:r w:rsidR="00467F49">
        <w:rPr>
          <w:rFonts w:ascii="Times New Roman" w:eastAsia="Times New Roman" w:hAnsi="Times New Roman" w:cs="Times New Roman"/>
          <w:sz w:val="28"/>
          <w:szCs w:val="28"/>
          <w:lang w:val="ru-RU"/>
        </w:rPr>
        <w:t xml:space="preserve"> (3)</w:t>
      </w:r>
      <w:r w:rsidRPr="00DA4464">
        <w:rPr>
          <w:rFonts w:ascii="Times New Roman" w:eastAsia="Times New Roman" w:hAnsi="Times New Roman" w:cs="Times New Roman"/>
          <w:sz w:val="28"/>
          <w:szCs w:val="28"/>
          <w:lang w:val="ru-RU"/>
        </w:rPr>
        <w:t>:</w:t>
      </w:r>
    </w:p>
    <w:p w14:paraId="0B771CD1" w14:textId="63E07DD1" w:rsidR="00DA4464" w:rsidRPr="00FF1FEF" w:rsidRDefault="00467F49" w:rsidP="00DA4464">
      <w:pPr>
        <w:spacing w:line="360" w:lineRule="auto"/>
        <w:jc w:val="center"/>
        <w:rPr>
          <w:rFonts w:ascii="Times New Roman" w:eastAsia="Times New Roman" w:hAnsi="Times New Roman" w:cs="Times New Roman"/>
          <w:sz w:val="28"/>
          <w:szCs w:val="28"/>
          <w:lang w:val="en-US"/>
        </w:rPr>
      </w:pPr>
      <w:r w:rsidRPr="00BA0E02">
        <w:rPr>
          <w:rFonts w:ascii="Times New Roman" w:eastAsia="Times New Roman" w:hAnsi="Times New Roman" w:cs="Times New Roman"/>
          <w:sz w:val="28"/>
          <w:szCs w:val="28"/>
          <w:lang w:val="ru-RU"/>
        </w:rPr>
        <w:t xml:space="preserve">                                           </w:t>
      </w:r>
      <w:r w:rsidR="00DA4464" w:rsidRPr="00467F49">
        <w:rPr>
          <w:rFonts w:ascii="Times New Roman" w:eastAsia="Times New Roman" w:hAnsi="Times New Roman" w:cs="Times New Roman"/>
          <w:sz w:val="28"/>
          <w:szCs w:val="28"/>
          <w:lang w:val="en-US"/>
        </w:rPr>
        <w:t>E</w:t>
      </w:r>
      <w:r w:rsidR="00DA4464" w:rsidRPr="00FF1FEF">
        <w:rPr>
          <w:rFonts w:ascii="Times New Roman" w:eastAsia="Times New Roman" w:hAnsi="Times New Roman" w:cs="Times New Roman"/>
          <w:sz w:val="28"/>
          <w:szCs w:val="28"/>
          <w:lang w:val="en-US"/>
        </w:rPr>
        <w:t>(</w:t>
      </w:r>
      <w:r w:rsidR="00DA4464" w:rsidRPr="00467F49">
        <w:rPr>
          <w:rFonts w:ascii="Times New Roman" w:eastAsia="Times New Roman" w:hAnsi="Times New Roman" w:cs="Times New Roman"/>
          <w:sz w:val="28"/>
          <w:szCs w:val="28"/>
          <w:lang w:val="en-US"/>
        </w:rPr>
        <w:t>Ri</w:t>
      </w:r>
      <w:r w:rsidR="00DA4464" w:rsidRPr="00FF1FEF">
        <w:rPr>
          <w:rFonts w:ascii="Times New Roman" w:eastAsia="Times New Roman" w:hAnsi="Times New Roman" w:cs="Times New Roman"/>
          <w:sz w:val="28"/>
          <w:szCs w:val="28"/>
          <w:lang w:val="en-US"/>
        </w:rPr>
        <w:t xml:space="preserve">) = </w:t>
      </w:r>
      <w:r w:rsidR="00DA4464" w:rsidRPr="00467F49">
        <w:rPr>
          <w:rFonts w:ascii="Times New Roman" w:eastAsia="Times New Roman" w:hAnsi="Times New Roman" w:cs="Times New Roman"/>
          <w:sz w:val="28"/>
          <w:szCs w:val="28"/>
          <w:lang w:val="en-US"/>
        </w:rPr>
        <w:t>Rf</w:t>
      </w:r>
      <w:r w:rsidR="00DA4464" w:rsidRPr="00FF1FEF">
        <w:rPr>
          <w:rFonts w:ascii="Times New Roman" w:eastAsia="Times New Roman" w:hAnsi="Times New Roman" w:cs="Times New Roman"/>
          <w:sz w:val="28"/>
          <w:szCs w:val="28"/>
          <w:lang w:val="en-US"/>
        </w:rPr>
        <w:t xml:space="preserve"> + </w:t>
      </w:r>
      <w:r w:rsidR="00DA4464" w:rsidRPr="004F3E51">
        <w:rPr>
          <w:rFonts w:ascii="Times New Roman" w:eastAsia="Times New Roman" w:hAnsi="Times New Roman" w:cs="Times New Roman"/>
          <w:sz w:val="28"/>
          <w:szCs w:val="28"/>
          <w:lang w:val="ru-RU"/>
        </w:rPr>
        <w:t>β</w:t>
      </w:r>
      <w:r w:rsidR="00DA4464" w:rsidRPr="00467F49">
        <w:rPr>
          <w:rFonts w:ascii="Times New Roman" w:eastAsia="Times New Roman" w:hAnsi="Times New Roman" w:cs="Times New Roman"/>
          <w:sz w:val="28"/>
          <w:szCs w:val="28"/>
          <w:lang w:val="en-US"/>
        </w:rPr>
        <w:t>i</w:t>
      </w:r>
      <w:r w:rsidR="00DA4464" w:rsidRPr="00FF1FEF">
        <w:rPr>
          <w:rFonts w:ascii="Times New Roman" w:eastAsia="Times New Roman" w:hAnsi="Times New Roman" w:cs="Times New Roman"/>
          <w:sz w:val="28"/>
          <w:szCs w:val="28"/>
          <w:lang w:val="en-US"/>
        </w:rPr>
        <w:t xml:space="preserve"> · [</w:t>
      </w:r>
      <w:r w:rsidR="00DA4464" w:rsidRPr="00467F49">
        <w:rPr>
          <w:rFonts w:ascii="Times New Roman" w:eastAsia="Times New Roman" w:hAnsi="Times New Roman" w:cs="Times New Roman"/>
          <w:sz w:val="28"/>
          <w:szCs w:val="28"/>
          <w:lang w:val="en-US"/>
        </w:rPr>
        <w:t>E</w:t>
      </w:r>
      <w:r w:rsidR="00DA4464" w:rsidRPr="00FF1FEF">
        <w:rPr>
          <w:rFonts w:ascii="Times New Roman" w:eastAsia="Times New Roman" w:hAnsi="Times New Roman" w:cs="Times New Roman"/>
          <w:sz w:val="28"/>
          <w:szCs w:val="28"/>
          <w:lang w:val="en-US"/>
        </w:rPr>
        <w:t>(</w:t>
      </w:r>
      <w:r w:rsidR="00DA4464" w:rsidRPr="00467F49">
        <w:rPr>
          <w:rFonts w:ascii="Times New Roman" w:eastAsia="Times New Roman" w:hAnsi="Times New Roman" w:cs="Times New Roman"/>
          <w:sz w:val="28"/>
          <w:szCs w:val="28"/>
          <w:lang w:val="en-US"/>
        </w:rPr>
        <w:t>Rm</w:t>
      </w:r>
      <w:r w:rsidR="00DA4464" w:rsidRPr="00FF1FEF">
        <w:rPr>
          <w:rFonts w:ascii="Times New Roman" w:eastAsia="Times New Roman" w:hAnsi="Times New Roman" w:cs="Times New Roman"/>
          <w:sz w:val="28"/>
          <w:szCs w:val="28"/>
          <w:lang w:val="en-US"/>
        </w:rPr>
        <w:t xml:space="preserve">) − </w:t>
      </w:r>
      <w:r w:rsidR="00DA4464" w:rsidRPr="00467F49">
        <w:rPr>
          <w:rFonts w:ascii="Times New Roman" w:eastAsia="Times New Roman" w:hAnsi="Times New Roman" w:cs="Times New Roman"/>
          <w:sz w:val="28"/>
          <w:szCs w:val="28"/>
          <w:lang w:val="en-US"/>
        </w:rPr>
        <w:t>Rf</w:t>
      </w:r>
      <w:r w:rsidR="00DA4464" w:rsidRPr="00FF1FEF">
        <w:rPr>
          <w:rFonts w:ascii="Times New Roman" w:eastAsia="Times New Roman" w:hAnsi="Times New Roman" w:cs="Times New Roman"/>
          <w:sz w:val="28"/>
          <w:szCs w:val="28"/>
          <w:lang w:val="en-US"/>
        </w:rPr>
        <w:t>]</w:t>
      </w:r>
      <w:r w:rsidRPr="00FF1FEF">
        <w:rPr>
          <w:rFonts w:ascii="Times New Roman" w:eastAsia="Times New Roman" w:hAnsi="Times New Roman" w:cs="Times New Roman"/>
          <w:sz w:val="28"/>
          <w:szCs w:val="28"/>
          <w:lang w:val="en-US"/>
        </w:rPr>
        <w:t>,                                   (3)</w:t>
      </w:r>
    </w:p>
    <w:p w14:paraId="6A60D687" w14:textId="4872E2C9" w:rsidR="00631EF4" w:rsidRPr="00DA4464" w:rsidRDefault="00DA4464" w:rsidP="00DA4464">
      <w:pPr>
        <w:spacing w:line="360" w:lineRule="auto"/>
        <w:ind w:firstLine="709"/>
        <w:jc w:val="both"/>
        <w:rPr>
          <w:lang w:val="ru-RU"/>
        </w:rPr>
      </w:pPr>
      <w:r w:rsidRPr="00DA4464">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Rf</w:t>
      </w:r>
      <w:r w:rsidRPr="00DA4464">
        <w:rPr>
          <w:rFonts w:ascii="Times New Roman" w:eastAsia="Times New Roman" w:hAnsi="Times New Roman" w:cs="Times New Roman"/>
          <w:sz w:val="28"/>
          <w:szCs w:val="28"/>
          <w:lang w:val="ru-RU"/>
        </w:rPr>
        <w:t xml:space="preserve"> — безрисковая ставка доходности; </w:t>
      </w:r>
      <w:r>
        <w:rPr>
          <w:rFonts w:ascii="Times New Roman" w:eastAsia="Times New Roman" w:hAnsi="Times New Roman" w:cs="Times New Roman"/>
          <w:sz w:val="28"/>
          <w:szCs w:val="28"/>
        </w:rPr>
        <w:t>E</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xml:space="preserve">) — ожидаемая доходность рыночного портфеля; </w:t>
      </w:r>
      <w:r>
        <w:rPr>
          <w:rFonts w:ascii="Times New Roman" w:eastAsia="Times New Roman" w:hAnsi="Times New Roman" w:cs="Times New Roman"/>
          <w:sz w:val="28"/>
          <w:szCs w:val="28"/>
        </w:rPr>
        <w:t>βi</w:t>
      </w:r>
      <w:r w:rsidRPr="00DA4464">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Cov</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Ri</w:t>
      </w:r>
      <w:r w:rsidRPr="00DA446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Var</w:t>
      </w:r>
      <w:r w:rsidRPr="00DA4464">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Rm</w:t>
      </w:r>
      <w:r w:rsidRPr="00DA4464">
        <w:rPr>
          <w:rFonts w:ascii="Times New Roman" w:eastAsia="Times New Roman" w:hAnsi="Times New Roman" w:cs="Times New Roman"/>
          <w:sz w:val="28"/>
          <w:szCs w:val="28"/>
          <w:lang w:val="ru-RU"/>
        </w:rPr>
        <w:t>) — бета-</w:t>
      </w:r>
      <w:r w:rsidRPr="00DA4464">
        <w:rPr>
          <w:rFonts w:ascii="Times New Roman" w:eastAsia="Times New Roman" w:hAnsi="Times New Roman" w:cs="Times New Roman"/>
          <w:sz w:val="28"/>
          <w:szCs w:val="28"/>
          <w:lang w:val="ru-RU"/>
        </w:rPr>
        <w:lastRenderedPageBreak/>
        <w:t xml:space="preserve">коэффициент актива, измеряющий его систематический риск. Важнейшим следствием модели является разделение совокупного риска на систематический (рыночный, неустранимый диверсификацией) и несистематический (специфический для эмитента, устраняемый диверсификацией). </w:t>
      </w:r>
      <w:r>
        <w:rPr>
          <w:rFonts w:ascii="Times New Roman" w:eastAsia="Times New Roman" w:hAnsi="Times New Roman" w:cs="Times New Roman"/>
          <w:sz w:val="28"/>
          <w:szCs w:val="28"/>
        </w:rPr>
        <w:t>CAPM</w:t>
      </w:r>
      <w:r w:rsidRPr="00DA4464">
        <w:rPr>
          <w:rFonts w:ascii="Times New Roman" w:eastAsia="Times New Roman" w:hAnsi="Times New Roman" w:cs="Times New Roman"/>
          <w:sz w:val="28"/>
          <w:szCs w:val="28"/>
          <w:lang w:val="ru-RU"/>
        </w:rPr>
        <w:t xml:space="preserve"> утверждает, что рынок компенсирует инвестора лишь за принятие систематического риска, что оказало принципиальное влияние на практику управления активами и оценки эффективности портфелей [35].</w:t>
      </w:r>
    </w:p>
    <w:p w14:paraId="2012D761"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0DDD7204" w14:textId="77777777" w:rsidR="00631EF4" w:rsidRPr="00FF3E0E" w:rsidRDefault="00631EF4" w:rsidP="00BA0E02">
      <w:pPr>
        <w:pStyle w:val="2"/>
        <w:rPr>
          <w:lang w:val="ru-RU"/>
        </w:rPr>
      </w:pPr>
      <w:bookmarkStart w:id="5" w:name="_Toc232337639"/>
      <w:r w:rsidRPr="00FF3E0E">
        <w:rPr>
          <w:lang w:val="ru-RU"/>
        </w:rPr>
        <w:t>1.4. Методы определения инвестиционной привлекательности предприятия</w:t>
      </w:r>
      <w:bookmarkEnd w:id="5"/>
    </w:p>
    <w:p w14:paraId="036BCBC3" w14:textId="77777777" w:rsidR="00FF3E0E" w:rsidRPr="00631EF4" w:rsidRDefault="00FF3E0E" w:rsidP="00FF3E0E">
      <w:pPr>
        <w:spacing w:line="360" w:lineRule="auto"/>
        <w:ind w:firstLine="709"/>
        <w:jc w:val="both"/>
        <w:rPr>
          <w:rFonts w:ascii="Times New Roman" w:hAnsi="Times New Roman" w:cs="Times New Roman"/>
          <w:sz w:val="28"/>
          <w:szCs w:val="28"/>
          <w:lang w:val="ru-RU"/>
        </w:rPr>
      </w:pPr>
    </w:p>
    <w:p w14:paraId="3BABB358"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Для формирования обоснованного представления об инвестиционной привлекательности предприятия традиционно используется инструментарий фундаментального и финансового анализа [22, с. 54]. Такой анализ базируется на систематическом изучении финансовой отчетности эмитента, интерпретации ее статей с учетом учетной политики и отраслевой специфики, а также на сопоставлении результатов с альтернативными источниками информации (например, данными о рынках сбыта, инвестиционных программах и долговом профиле) [16, с. 12]. В рамках фундаментальной оценки обычно применяются коэффициентный анализ, расчет отдельных метрик, востребованных в портфельной практике, а также модели прогнозирования вероятности банкротства и финансовой несостоятельности [24, с. 218].</w:t>
      </w:r>
    </w:p>
    <w:p w14:paraId="450BF90E" w14:textId="5C67FC6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Коэффициентный анализ представляет собой метод исследования, основанный на расчете относительных показателей как соотношений между </w:t>
      </w:r>
      <w:r w:rsidRPr="00AF1EBB">
        <w:rPr>
          <w:rFonts w:ascii="Times New Roman" w:eastAsia="Times New Roman" w:hAnsi="Times New Roman" w:cs="Times New Roman"/>
          <w:sz w:val="28"/>
          <w:szCs w:val="28"/>
          <w:lang w:val="ru-RU"/>
        </w:rPr>
        <w:lastRenderedPageBreak/>
        <w:t>абсолютными величинами отчетности. Для инвестора наибольший практический интерес традиционно представляют четыре группы коэффициентов:</w:t>
      </w:r>
      <w:r w:rsidR="00B0287A">
        <w:rPr>
          <w:rFonts w:ascii="Times New Roman" w:eastAsia="Times New Roman" w:hAnsi="Times New Roman" w:cs="Times New Roman"/>
          <w:sz w:val="28"/>
          <w:szCs w:val="28"/>
          <w:lang w:val="ru-RU"/>
        </w:rPr>
        <w:t xml:space="preserve"> </w:t>
      </w:r>
      <w:r w:rsidR="00B0287A" w:rsidRPr="00A948A2">
        <w:rPr>
          <w:rFonts w:ascii="Times New Roman" w:eastAsia="Times New Roman" w:hAnsi="Times New Roman" w:cs="Times New Roman"/>
          <w:sz w:val="28"/>
          <w:szCs w:val="28"/>
          <w:highlight w:val="yellow"/>
          <w:lang w:val="ru-RU"/>
        </w:rPr>
        <w:t>Приводим формулы, замечание проигнорировано</w:t>
      </w:r>
    </w:p>
    <w:p w14:paraId="775E6FDD"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ликвидности. Они характеризуют способность компании своевременно исполнять краткосрочные обязательства и отражают, насколько быстро активы могут быть трансформированы в денежные средства без существенной потери стоимости. Коэффициенты текущей, быстрой и абсолютной ликвидности позволяют оценить уязвимость предприятия к кассовым разрывам, зависимость от оборотного капитала и риск технического дефолта на ближайшем горизонте [15, с. 215].</w:t>
      </w:r>
    </w:p>
    <w:p w14:paraId="7CF6730F"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финансовой устойчивости. Эта группа описывает структуру капитала и степень зависимости компании от внешних источников финансирования в долгосрочном горизонте. Коэффициент автономии и показатели финансового левериджа отражают соотношение собственного и заемного капитала и позволяют оценить степень финансового риска, связанную с обслуживанием долга [21, с. 140].</w:t>
      </w:r>
    </w:p>
    <w:p w14:paraId="15A8F75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деловой активности. Эти коэффициенты измеряют эффективность использования ресурсов через скорость оборота активов и обязательств, а также через качество управления оборотным капиталом. Показатели оборачиваемости активов, запасов, дебиторской и кредиторской задолженности позволяют судить о том, как быстро вложенный капитал возвращается в денежной форме [16, с. 56].</w:t>
      </w:r>
    </w:p>
    <w:p w14:paraId="0E26A0CD"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Показатели рентабельности. Рентабельность отражает способность бизнеса генерировать прибыль и относится к ключевым характеристикам экономической эффективности. Для портфельного инвестора особенно информативны показатели рентабельности активов (</w:t>
      </w:r>
      <w:r>
        <w:rPr>
          <w:rFonts w:ascii="Times New Roman" w:eastAsia="Times New Roman" w:hAnsi="Times New Roman" w:cs="Times New Roman"/>
          <w:sz w:val="28"/>
          <w:szCs w:val="28"/>
        </w:rPr>
        <w:t>ROA</w:t>
      </w:r>
      <w:r w:rsidRPr="00AF1EBB">
        <w:rPr>
          <w:rFonts w:ascii="Times New Roman" w:eastAsia="Times New Roman" w:hAnsi="Times New Roman" w:cs="Times New Roman"/>
          <w:sz w:val="28"/>
          <w:szCs w:val="28"/>
          <w:lang w:val="ru-RU"/>
        </w:rPr>
        <w:t>), собственного капитала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и продаж (</w:t>
      </w:r>
      <w:r>
        <w:rPr>
          <w:rFonts w:ascii="Times New Roman" w:eastAsia="Times New Roman" w:hAnsi="Times New Roman" w:cs="Times New Roman"/>
          <w:sz w:val="28"/>
          <w:szCs w:val="28"/>
        </w:rPr>
        <w:t>ROS</w:t>
      </w:r>
      <w:r w:rsidRPr="00AF1EBB">
        <w:rPr>
          <w:rFonts w:ascii="Times New Roman" w:eastAsia="Times New Roman" w:hAnsi="Times New Roman" w:cs="Times New Roman"/>
          <w:sz w:val="28"/>
          <w:szCs w:val="28"/>
          <w:lang w:val="ru-RU"/>
        </w:rPr>
        <w:t>) [13, с. 115].</w:t>
      </w:r>
    </w:p>
    <w:p w14:paraId="7AF38F2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Существенным элементом оценки выступает диагностика риска финансовой несостоятельности. Для прогнозирования банкротства применяются подходы многомерного дискриминантного анализа, позволяющие агрегировать несколько финансовых индикаторов в единую оценку риска. К классическим инструментам относится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-счет Э. Альтмана [43], основанный на комбинированном учете показателей ликвидности, рентабельности и структуры капитала. В прикладных исследованиях также используется модель Р. Таффлера, представляющая собой линейную регрессионную конструкцию, оценивающую финансовое состояние по набору коэффициентов.</w:t>
      </w:r>
    </w:p>
    <w:p w14:paraId="6CC85563"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Наряду с фундаментальным анализом эмитентов значимую роль сохраняют методики оценки эффективности и качества инвестиционного портфеля как целостной системы. Их совокупность можно структурировать по двум группам: абсолютные показатели доходности и риска, а также риск-скорректированные коэффициенты эффективности управления.</w:t>
      </w:r>
    </w:p>
    <w:p w14:paraId="5C809F0A" w14:textId="2A86CD7F" w:rsidR="00AF1EBB" w:rsidRPr="00AF1EBB" w:rsidRDefault="00AF1EBB" w:rsidP="00AF1EBB">
      <w:pPr>
        <w:spacing w:line="360" w:lineRule="auto"/>
        <w:ind w:firstLine="709"/>
        <w:jc w:val="both"/>
        <w:rPr>
          <w:lang w:val="ru-RU"/>
        </w:rPr>
      </w:pPr>
      <w:r w:rsidRPr="00A948A2">
        <w:rPr>
          <w:rFonts w:ascii="Times New Roman" w:eastAsia="Times New Roman" w:hAnsi="Times New Roman" w:cs="Times New Roman"/>
          <w:color w:val="FF0000"/>
          <w:sz w:val="28"/>
          <w:szCs w:val="28"/>
          <w:lang w:val="ru-RU"/>
        </w:rPr>
        <w:t>Абсолютные показатели доходности и риска</w:t>
      </w:r>
      <w:r w:rsidRPr="00AF1EBB">
        <w:rPr>
          <w:rFonts w:ascii="Times New Roman" w:eastAsia="Times New Roman" w:hAnsi="Times New Roman" w:cs="Times New Roman"/>
          <w:sz w:val="28"/>
          <w:szCs w:val="28"/>
          <w:lang w:val="ru-RU"/>
        </w:rPr>
        <w:t xml:space="preserve">. </w:t>
      </w:r>
      <w:r w:rsidR="00A948A2" w:rsidRPr="00A948A2">
        <w:rPr>
          <w:rFonts w:ascii="Times New Roman" w:eastAsia="Times New Roman" w:hAnsi="Times New Roman" w:cs="Times New Roman"/>
          <w:sz w:val="28"/>
          <w:szCs w:val="28"/>
          <w:highlight w:val="yellow"/>
          <w:lang w:val="ru-RU"/>
        </w:rPr>
        <w:t>Это заголовок</w:t>
      </w:r>
      <w:r w:rsidR="00A948A2">
        <w:rPr>
          <w:rFonts w:ascii="Times New Roman" w:eastAsia="Times New Roman" w:hAnsi="Times New Roman" w:cs="Times New Roman"/>
          <w:sz w:val="28"/>
          <w:szCs w:val="28"/>
          <w:lang w:val="ru-RU"/>
        </w:rPr>
        <w:t>?</w:t>
      </w:r>
      <w:r w:rsidRPr="00AF1EBB">
        <w:rPr>
          <w:rFonts w:ascii="Times New Roman" w:eastAsia="Times New Roman" w:hAnsi="Times New Roman" w:cs="Times New Roman"/>
          <w:sz w:val="28"/>
          <w:szCs w:val="28"/>
          <w:lang w:val="ru-RU"/>
        </w:rPr>
        <w:t xml:space="preserve">Ожидаемая доходность портфеля рассчитывается как средневзвешенная величина ожидаемых доходностей составляющих его активов по </w:t>
      </w:r>
      <w:r w:rsidRPr="00A948A2">
        <w:rPr>
          <w:rFonts w:ascii="Times New Roman" w:eastAsia="Times New Roman" w:hAnsi="Times New Roman" w:cs="Times New Roman"/>
          <w:color w:val="FF0000"/>
          <w:sz w:val="28"/>
          <w:szCs w:val="28"/>
          <w:lang w:val="ru-RU"/>
        </w:rPr>
        <w:t xml:space="preserve">формуле (10). </w:t>
      </w:r>
      <w:r w:rsidRPr="00AF1EBB">
        <w:rPr>
          <w:rFonts w:ascii="Times New Roman" w:eastAsia="Times New Roman" w:hAnsi="Times New Roman" w:cs="Times New Roman"/>
          <w:sz w:val="28"/>
          <w:szCs w:val="28"/>
          <w:lang w:val="ru-RU"/>
        </w:rPr>
        <w:t>Совокупный риск портфеля квантифицируется через стандартное отклонение (</w:t>
      </w:r>
      <w:r>
        <w:rPr>
          <w:rFonts w:ascii="Times New Roman" w:eastAsia="Times New Roman" w:hAnsi="Times New Roman" w:cs="Times New Roman"/>
          <w:sz w:val="28"/>
          <w:szCs w:val="28"/>
        </w:rPr>
        <w:t>σp</w:t>
      </w:r>
      <w:r w:rsidRPr="00AF1EBB">
        <w:rPr>
          <w:rFonts w:ascii="Times New Roman" w:eastAsia="Times New Roman" w:hAnsi="Times New Roman" w:cs="Times New Roman"/>
          <w:sz w:val="28"/>
          <w:szCs w:val="28"/>
          <w:lang w:val="ru-RU"/>
        </w:rPr>
        <w:t xml:space="preserve">) — квадратный корень из дисперсии по </w:t>
      </w:r>
      <w:r w:rsidRPr="00A948A2">
        <w:rPr>
          <w:rFonts w:ascii="Times New Roman" w:eastAsia="Times New Roman" w:hAnsi="Times New Roman" w:cs="Times New Roman"/>
          <w:color w:val="FF0000"/>
          <w:sz w:val="28"/>
          <w:szCs w:val="28"/>
          <w:lang w:val="ru-RU"/>
        </w:rPr>
        <w:t xml:space="preserve">формуле (11). </w:t>
      </w:r>
      <w:r w:rsidR="00A948A2" w:rsidRPr="00A948A2">
        <w:rPr>
          <w:rFonts w:ascii="Times New Roman" w:eastAsia="Times New Roman" w:hAnsi="Times New Roman" w:cs="Times New Roman"/>
          <w:color w:val="FF0000"/>
          <w:sz w:val="28"/>
          <w:szCs w:val="28"/>
          <w:highlight w:val="yellow"/>
          <w:lang w:val="ru-RU"/>
        </w:rPr>
        <w:t>Это что?</w:t>
      </w:r>
      <w:r w:rsidR="00A948A2">
        <w:rPr>
          <w:rFonts w:ascii="Times New Roman" w:eastAsia="Times New Roman" w:hAnsi="Times New Roman" w:cs="Times New Roman"/>
          <w:color w:val="FF0000"/>
          <w:sz w:val="28"/>
          <w:szCs w:val="28"/>
          <w:lang w:val="ru-RU"/>
        </w:rPr>
        <w:t xml:space="preserve"> </w:t>
      </w:r>
      <w:r w:rsidRPr="00AF1EBB">
        <w:rPr>
          <w:rFonts w:ascii="Times New Roman" w:eastAsia="Times New Roman" w:hAnsi="Times New Roman" w:cs="Times New Roman"/>
          <w:sz w:val="28"/>
          <w:szCs w:val="28"/>
          <w:lang w:val="ru-RU"/>
        </w:rPr>
        <w:t>Дополнительной мерой риска служит максимальная просадка (</w:t>
      </w:r>
      <w:r>
        <w:rPr>
          <w:rFonts w:ascii="Times New Roman" w:eastAsia="Times New Roman" w:hAnsi="Times New Roman" w:cs="Times New Roman"/>
          <w:sz w:val="28"/>
          <w:szCs w:val="28"/>
        </w:rPr>
        <w:t>Maximum</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Drawdown</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MDD</w:t>
      </w:r>
      <w:r w:rsidRPr="00AF1EBB">
        <w:rPr>
          <w:rFonts w:ascii="Times New Roman" w:eastAsia="Times New Roman" w:hAnsi="Times New Roman" w:cs="Times New Roman"/>
          <w:sz w:val="28"/>
          <w:szCs w:val="28"/>
          <w:lang w:val="ru-RU"/>
        </w:rPr>
        <w:t>) — наибольшее относительное снижение стоимости портфеля от исторического пика до последующего минимума</w:t>
      </w:r>
      <w:r w:rsidR="00CD00E9">
        <w:rPr>
          <w:rFonts w:ascii="Times New Roman" w:eastAsia="Times New Roman" w:hAnsi="Times New Roman" w:cs="Times New Roman"/>
          <w:sz w:val="28"/>
          <w:szCs w:val="28"/>
          <w:lang w:val="ru-RU"/>
        </w:rPr>
        <w:t xml:space="preserve"> (4)</w:t>
      </w:r>
      <w:r w:rsidRPr="00AF1EBB">
        <w:rPr>
          <w:rFonts w:ascii="Times New Roman" w:eastAsia="Times New Roman" w:hAnsi="Times New Roman" w:cs="Times New Roman"/>
          <w:sz w:val="28"/>
          <w:szCs w:val="28"/>
          <w:lang w:val="ru-RU"/>
        </w:rPr>
        <w:t>:</w:t>
      </w:r>
    </w:p>
    <w:p w14:paraId="4D622803" w14:textId="06CD486C" w:rsidR="00AF1EBB" w:rsidRPr="00467F4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467F49">
        <w:rPr>
          <w:rFonts w:ascii="Times New Roman" w:eastAsia="Times New Roman" w:hAnsi="Times New Roman" w:cs="Times New Roman"/>
          <w:sz w:val="28"/>
          <w:szCs w:val="28"/>
          <w:lang w:val="ru-RU"/>
        </w:rPr>
        <w:t xml:space="preserve">MDD = (Vpeak − Vtrough) / Vpeak,  </w:t>
      </w:r>
      <w:r>
        <w:rPr>
          <w:rFonts w:ascii="Times New Roman" w:eastAsia="Times New Roman" w:hAnsi="Times New Roman" w:cs="Times New Roman"/>
          <w:sz w:val="28"/>
          <w:szCs w:val="28"/>
          <w:lang w:val="ru-RU"/>
        </w:rPr>
        <w:t xml:space="preserve">                       </w:t>
      </w:r>
      <w:r w:rsidR="00AF1EBB" w:rsidRPr="00467F4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4</w:t>
      </w:r>
      <w:r w:rsidR="00AF1EBB" w:rsidRPr="00467F49">
        <w:rPr>
          <w:rFonts w:ascii="Times New Roman" w:eastAsia="Times New Roman" w:hAnsi="Times New Roman" w:cs="Times New Roman"/>
          <w:sz w:val="28"/>
          <w:szCs w:val="28"/>
          <w:lang w:val="ru-RU"/>
        </w:rPr>
        <w:t>)</w:t>
      </w:r>
    </w:p>
    <w:p w14:paraId="49A5CBB6" w14:textId="4D6255DB"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Vpeak</w:t>
      </w:r>
      <w:r w:rsidRPr="00AF1EBB">
        <w:rPr>
          <w:rFonts w:ascii="Times New Roman" w:eastAsia="Times New Roman" w:hAnsi="Times New Roman" w:cs="Times New Roman"/>
          <w:sz w:val="28"/>
          <w:szCs w:val="28"/>
          <w:lang w:val="ru-RU"/>
        </w:rPr>
        <w:t xml:space="preserve"> — максимальная стоимость портфеля за наблюдаемый период, </w:t>
      </w:r>
      <w:r>
        <w:rPr>
          <w:rFonts w:ascii="Times New Roman" w:eastAsia="Times New Roman" w:hAnsi="Times New Roman" w:cs="Times New Roman"/>
          <w:sz w:val="28"/>
          <w:szCs w:val="28"/>
        </w:rPr>
        <w:t>Vtrough</w:t>
      </w:r>
      <w:r w:rsidRPr="00AF1EBB">
        <w:rPr>
          <w:rFonts w:ascii="Times New Roman" w:eastAsia="Times New Roman" w:hAnsi="Times New Roman" w:cs="Times New Roman"/>
          <w:sz w:val="28"/>
          <w:szCs w:val="28"/>
          <w:lang w:val="ru-RU"/>
        </w:rPr>
        <w:t xml:space="preserve"> — минимальная стоимость, достигнутая после данного пика. </w:t>
      </w:r>
      <w:r w:rsidRPr="00AF1EBB">
        <w:rPr>
          <w:rFonts w:ascii="Times New Roman" w:eastAsia="Times New Roman" w:hAnsi="Times New Roman" w:cs="Times New Roman"/>
          <w:sz w:val="28"/>
          <w:szCs w:val="28"/>
          <w:lang w:val="ru-RU"/>
        </w:rPr>
        <w:lastRenderedPageBreak/>
        <w:t>Ошибка слежения (</w:t>
      </w:r>
      <w:r>
        <w:rPr>
          <w:rFonts w:ascii="Times New Roman" w:eastAsia="Times New Roman" w:hAnsi="Times New Roman" w:cs="Times New Roman"/>
          <w:sz w:val="28"/>
          <w:szCs w:val="28"/>
        </w:rPr>
        <w:t>Tracking</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Error</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TE</w:t>
      </w:r>
      <w:r w:rsidRPr="00AF1EBB">
        <w:rPr>
          <w:rFonts w:ascii="Times New Roman" w:eastAsia="Times New Roman" w:hAnsi="Times New Roman" w:cs="Times New Roman"/>
          <w:sz w:val="28"/>
          <w:szCs w:val="28"/>
          <w:lang w:val="ru-RU"/>
        </w:rPr>
        <w:t>) измеряет степень отклонения динамики портфеля от базового индекса</w:t>
      </w:r>
      <w:r w:rsidR="00CD00E9">
        <w:rPr>
          <w:rFonts w:ascii="Times New Roman" w:eastAsia="Times New Roman" w:hAnsi="Times New Roman" w:cs="Times New Roman"/>
          <w:sz w:val="28"/>
          <w:szCs w:val="28"/>
          <w:lang w:val="ru-RU"/>
        </w:rPr>
        <w:t xml:space="preserve"> (5)</w:t>
      </w:r>
      <w:r w:rsidRPr="00AF1EBB">
        <w:rPr>
          <w:rFonts w:ascii="Times New Roman" w:eastAsia="Times New Roman" w:hAnsi="Times New Roman" w:cs="Times New Roman"/>
          <w:sz w:val="28"/>
          <w:szCs w:val="28"/>
          <w:lang w:val="ru-RU"/>
        </w:rPr>
        <w:t>:</w:t>
      </w:r>
    </w:p>
    <w:p w14:paraId="7884F009" w14:textId="7CF94E1E"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 xml:space="preserve">TE = σ(rp − rm),   </w:t>
      </w: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5</w:t>
      </w:r>
      <w:r w:rsidR="00AF1EBB" w:rsidRPr="00CD00E9">
        <w:rPr>
          <w:rFonts w:ascii="Times New Roman" w:eastAsia="Times New Roman" w:hAnsi="Times New Roman" w:cs="Times New Roman"/>
          <w:sz w:val="28"/>
          <w:szCs w:val="28"/>
          <w:lang w:val="ru-RU"/>
        </w:rPr>
        <w:t>)</w:t>
      </w:r>
    </w:p>
    <w:p w14:paraId="1EF9913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Методологической основой риск-скорректированных показателей выступает модель </w:t>
      </w:r>
      <w:r>
        <w:rPr>
          <w:rFonts w:ascii="Times New Roman" w:eastAsia="Times New Roman" w:hAnsi="Times New Roman" w:cs="Times New Roman"/>
          <w:sz w:val="28"/>
          <w:szCs w:val="28"/>
        </w:rPr>
        <w:t>CAPM</w:t>
      </w:r>
      <w:r w:rsidRPr="00AF1EBB">
        <w:rPr>
          <w:rFonts w:ascii="Times New Roman" w:eastAsia="Times New Roman" w:hAnsi="Times New Roman" w:cs="Times New Roman"/>
          <w:sz w:val="28"/>
          <w:szCs w:val="28"/>
          <w:lang w:val="ru-RU"/>
        </w:rPr>
        <w:t>, разделяющая риск на систематический и несистематический. В классическом изложении используются следующие показатели [25, с. 156—158]:</w:t>
      </w:r>
    </w:p>
    <w:p w14:paraId="6743CB75" w14:textId="39179080" w:rsidR="00AF1EBB" w:rsidRPr="00A948A2" w:rsidRDefault="00AF1EBB" w:rsidP="00AF1EBB">
      <w:pPr>
        <w:spacing w:line="360" w:lineRule="auto"/>
        <w:ind w:firstLine="709"/>
        <w:jc w:val="both"/>
        <w:rPr>
          <w:color w:val="FF0000"/>
          <w:lang w:val="ru-RU"/>
        </w:rPr>
      </w:pPr>
      <w:r w:rsidRPr="00AF1EBB">
        <w:rPr>
          <w:rFonts w:ascii="Times New Roman" w:eastAsia="Times New Roman" w:hAnsi="Times New Roman" w:cs="Times New Roman"/>
          <w:sz w:val="28"/>
          <w:szCs w:val="28"/>
          <w:lang w:val="ru-RU"/>
        </w:rPr>
        <w:t>Коэффициент Шарпа (</w:t>
      </w:r>
      <w:r>
        <w:rPr>
          <w:rFonts w:ascii="Times New Roman" w:eastAsia="Times New Roman" w:hAnsi="Times New Roman" w:cs="Times New Roman"/>
          <w:sz w:val="28"/>
          <w:szCs w:val="28"/>
        </w:rPr>
        <w:t>Sharpe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измеряет избыточную доходность портфеля на единицу совокупного риска</w:t>
      </w:r>
      <w:r w:rsidR="00CD00E9">
        <w:rPr>
          <w:rFonts w:ascii="Times New Roman" w:eastAsia="Times New Roman" w:hAnsi="Times New Roman" w:cs="Times New Roman"/>
          <w:sz w:val="28"/>
          <w:szCs w:val="28"/>
          <w:lang w:val="ru-RU"/>
        </w:rPr>
        <w:t xml:space="preserve"> (6)</w:t>
      </w:r>
      <w:r w:rsidRPr="00AF1EBB">
        <w:rPr>
          <w:rFonts w:ascii="Times New Roman" w:eastAsia="Times New Roman" w:hAnsi="Times New Roman" w:cs="Times New Roman"/>
          <w:sz w:val="28"/>
          <w:szCs w:val="28"/>
          <w:lang w:val="ru-RU"/>
        </w:rPr>
        <w:t>:</w:t>
      </w:r>
      <w:r w:rsidR="00A948A2">
        <w:rPr>
          <w:rFonts w:ascii="Times New Roman" w:eastAsia="Times New Roman" w:hAnsi="Times New Roman" w:cs="Times New Roman"/>
          <w:sz w:val="28"/>
          <w:szCs w:val="28"/>
          <w:lang w:val="ru-RU"/>
        </w:rPr>
        <w:t xml:space="preserve"> </w:t>
      </w:r>
      <w:r w:rsidR="00A948A2" w:rsidRPr="00A948A2">
        <w:rPr>
          <w:rFonts w:ascii="Times New Roman" w:eastAsia="Times New Roman" w:hAnsi="Times New Roman" w:cs="Times New Roman"/>
          <w:color w:val="FF0000"/>
          <w:sz w:val="28"/>
          <w:szCs w:val="28"/>
          <w:lang w:val="ru-RU"/>
        </w:rPr>
        <w:t>Почему то на русском, то на внглийском</w:t>
      </w:r>
    </w:p>
    <w:p w14:paraId="2EE12C5C" w14:textId="52E3E94A" w:rsidR="00AF1EBB" w:rsidRPr="00BA0E02"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A948A2">
        <w:rPr>
          <w:rFonts w:ascii="Times New Roman" w:eastAsia="Times New Roman" w:hAnsi="Times New Roman" w:cs="Times New Roman"/>
          <w:color w:val="FF0000"/>
          <w:sz w:val="28"/>
          <w:szCs w:val="28"/>
        </w:rPr>
        <w:t>K</w:t>
      </w:r>
      <w:r w:rsidR="00BA0E02" w:rsidRPr="00A948A2">
        <w:rPr>
          <w:rFonts w:ascii="Times New Roman" w:eastAsia="Times New Roman" w:hAnsi="Times New Roman" w:cs="Times New Roman"/>
          <w:color w:val="FF0000"/>
          <w:sz w:val="28"/>
          <w:szCs w:val="28"/>
          <w:lang w:val="ru-RU"/>
        </w:rPr>
        <w:t xml:space="preserve"> Ша</w:t>
      </w:r>
      <w:r w:rsidR="00AF1EBB" w:rsidRPr="00A948A2">
        <w:rPr>
          <w:rFonts w:ascii="Times New Roman" w:eastAsia="Times New Roman" w:hAnsi="Times New Roman" w:cs="Times New Roman"/>
          <w:color w:val="FF0000"/>
          <w:sz w:val="28"/>
          <w:szCs w:val="28"/>
          <w:lang w:val="ru-RU"/>
        </w:rPr>
        <w:t xml:space="preserve">рпа </w:t>
      </w:r>
      <w:r w:rsidR="00AF1EBB" w:rsidRPr="00BA0E02">
        <w:rPr>
          <w:rFonts w:ascii="Times New Roman" w:eastAsia="Times New Roman" w:hAnsi="Times New Roman" w:cs="Times New Roman"/>
          <w:sz w:val="28"/>
          <w:szCs w:val="28"/>
          <w:lang w:val="ru-RU"/>
        </w:rPr>
        <w:t>= (</w:t>
      </w:r>
      <w:r w:rsidR="00AF1EBB" w:rsidRPr="00CD00E9">
        <w:rPr>
          <w:rFonts w:ascii="Times New Roman" w:eastAsia="Times New Roman" w:hAnsi="Times New Roman" w:cs="Times New Roman"/>
          <w:sz w:val="28"/>
          <w:szCs w:val="28"/>
        </w:rPr>
        <w:t>rp</w:t>
      </w:r>
      <w:r w:rsidR="00AF1EBB" w:rsidRPr="00BA0E02">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BA0E02">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σp</w:t>
      </w:r>
      <w:r w:rsidR="00AF1EBB" w:rsidRPr="00BA0E02">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                                (6</w:t>
      </w:r>
      <w:r w:rsidR="00AF1EBB" w:rsidRPr="00BA0E02">
        <w:rPr>
          <w:rFonts w:ascii="Times New Roman" w:eastAsia="Times New Roman" w:hAnsi="Times New Roman" w:cs="Times New Roman"/>
          <w:sz w:val="28"/>
          <w:szCs w:val="28"/>
          <w:lang w:val="ru-RU"/>
        </w:rPr>
        <w:t>)</w:t>
      </w:r>
    </w:p>
    <w:p w14:paraId="0F6F8BA2"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rp</w:t>
      </w:r>
      <w:r w:rsidRPr="00AF1EBB">
        <w:rPr>
          <w:rFonts w:ascii="Times New Roman" w:eastAsia="Times New Roman" w:hAnsi="Times New Roman" w:cs="Times New Roman"/>
          <w:sz w:val="28"/>
          <w:szCs w:val="28"/>
          <w:lang w:val="ru-RU"/>
        </w:rPr>
        <w:t xml:space="preserve"> — средняя доходность портфеля; </w:t>
      </w:r>
      <w:r>
        <w:rPr>
          <w:rFonts w:ascii="Times New Roman" w:eastAsia="Times New Roman" w:hAnsi="Times New Roman" w:cs="Times New Roman"/>
          <w:sz w:val="28"/>
          <w:szCs w:val="28"/>
        </w:rPr>
        <w:t>rf</w:t>
      </w:r>
      <w:r w:rsidRPr="00AF1EBB">
        <w:rPr>
          <w:rFonts w:ascii="Times New Roman" w:eastAsia="Times New Roman" w:hAnsi="Times New Roman" w:cs="Times New Roman"/>
          <w:sz w:val="28"/>
          <w:szCs w:val="28"/>
          <w:lang w:val="ru-RU"/>
        </w:rPr>
        <w:t xml:space="preserve"> — доходность безрискового актива; </w:t>
      </w:r>
      <w:r>
        <w:rPr>
          <w:rFonts w:ascii="Times New Roman" w:eastAsia="Times New Roman" w:hAnsi="Times New Roman" w:cs="Times New Roman"/>
          <w:sz w:val="28"/>
          <w:szCs w:val="28"/>
        </w:rPr>
        <w:t>σp</w:t>
      </w:r>
      <w:r w:rsidRPr="00AF1EBB">
        <w:rPr>
          <w:rFonts w:ascii="Times New Roman" w:eastAsia="Times New Roman" w:hAnsi="Times New Roman" w:cs="Times New Roman"/>
          <w:sz w:val="28"/>
          <w:szCs w:val="28"/>
          <w:lang w:val="ru-RU"/>
        </w:rPr>
        <w:t xml:space="preserve"> — стандартное отклонение доходностей портфеля. Значения, превышающие единицу, в типовой трактовке могут рассматриваться как признак сравнительно высокой эффективности управления при выбранных допущениях.</w:t>
      </w:r>
    </w:p>
    <w:p w14:paraId="454C80E5" w14:textId="158BD1F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Сортино (</w:t>
      </w:r>
      <w:r>
        <w:rPr>
          <w:rFonts w:ascii="Times New Roman" w:eastAsia="Times New Roman" w:hAnsi="Times New Roman" w:cs="Times New Roman"/>
          <w:sz w:val="28"/>
          <w:szCs w:val="28"/>
        </w:rPr>
        <w:t>Sortino</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уточняет оценку риска, используя полудисперсию и фокусируясь исключительно на отрицательных отклонениях (</w:t>
      </w:r>
      <w:r>
        <w:rPr>
          <w:rFonts w:ascii="Times New Roman" w:eastAsia="Times New Roman" w:hAnsi="Times New Roman" w:cs="Times New Roman"/>
          <w:sz w:val="28"/>
          <w:szCs w:val="28"/>
        </w:rPr>
        <w:t>downside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risk</w:t>
      </w:r>
      <w:r w:rsidRPr="00AF1EBB">
        <w:rPr>
          <w:rFonts w:ascii="Times New Roman" w:eastAsia="Times New Roman" w:hAnsi="Times New Roman" w:cs="Times New Roman"/>
          <w:sz w:val="28"/>
          <w:szCs w:val="28"/>
          <w:lang w:val="ru-RU"/>
        </w:rPr>
        <w:t>)</w:t>
      </w:r>
      <w:r w:rsidR="00CD00E9">
        <w:rPr>
          <w:rFonts w:ascii="Times New Roman" w:eastAsia="Times New Roman" w:hAnsi="Times New Roman" w:cs="Times New Roman"/>
          <w:sz w:val="28"/>
          <w:szCs w:val="28"/>
          <w:lang w:val="ru-RU"/>
        </w:rPr>
        <w:t xml:space="preserve"> (7)</w:t>
      </w:r>
      <w:r w:rsidRPr="00AF1EBB">
        <w:rPr>
          <w:rFonts w:ascii="Times New Roman" w:eastAsia="Times New Roman" w:hAnsi="Times New Roman" w:cs="Times New Roman"/>
          <w:sz w:val="28"/>
          <w:szCs w:val="28"/>
          <w:lang w:val="ru-RU"/>
        </w:rPr>
        <w:t>:</w:t>
      </w:r>
    </w:p>
    <w:p w14:paraId="22F9B021" w14:textId="51FA97F3"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A948A2">
        <w:rPr>
          <w:rFonts w:ascii="Times New Roman" w:eastAsia="Times New Roman" w:hAnsi="Times New Roman" w:cs="Times New Roman"/>
          <w:color w:val="FF0000"/>
          <w:sz w:val="28"/>
          <w:szCs w:val="28"/>
          <w:lang w:val="ru-RU"/>
        </w:rPr>
        <w:t>K</w:t>
      </w:r>
      <w:r w:rsidR="00BA0E02" w:rsidRPr="00A948A2">
        <w:rPr>
          <w:rFonts w:ascii="Times New Roman" w:eastAsia="Times New Roman" w:hAnsi="Times New Roman" w:cs="Times New Roman"/>
          <w:color w:val="FF0000"/>
          <w:sz w:val="28"/>
          <w:szCs w:val="28"/>
          <w:lang w:val="ru-RU"/>
        </w:rPr>
        <w:t xml:space="preserve"> </w:t>
      </w:r>
      <w:r w:rsidR="00AF1EBB" w:rsidRPr="00A948A2">
        <w:rPr>
          <w:rFonts w:ascii="Times New Roman" w:eastAsia="Times New Roman" w:hAnsi="Times New Roman" w:cs="Times New Roman"/>
          <w:color w:val="FF0000"/>
          <w:sz w:val="28"/>
          <w:szCs w:val="28"/>
          <w:lang w:val="ru-RU"/>
        </w:rPr>
        <w:t xml:space="preserve">Сортино </w:t>
      </w:r>
      <w:r w:rsidR="00AF1EBB" w:rsidRPr="00CD00E9">
        <w:rPr>
          <w:rFonts w:ascii="Times New Roman" w:eastAsia="Times New Roman" w:hAnsi="Times New Roman" w:cs="Times New Roman"/>
          <w:sz w:val="28"/>
          <w:szCs w:val="28"/>
          <w:lang w:val="ru-RU"/>
        </w:rPr>
        <w:t xml:space="preserve">= (rp − rf) / σd,   </w:t>
      </w: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7</w:t>
      </w:r>
      <w:r w:rsidR="00AF1EBB" w:rsidRPr="00CD00E9">
        <w:rPr>
          <w:rFonts w:ascii="Times New Roman" w:eastAsia="Times New Roman" w:hAnsi="Times New Roman" w:cs="Times New Roman"/>
          <w:sz w:val="28"/>
          <w:szCs w:val="28"/>
          <w:lang w:val="ru-RU"/>
        </w:rPr>
        <w:t>)</w:t>
      </w:r>
    </w:p>
    <w:p w14:paraId="5FE69AC8"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σd</w:t>
      </w:r>
      <w:r w:rsidRPr="00AF1EBB">
        <w:rPr>
          <w:rFonts w:ascii="Times New Roman" w:eastAsia="Times New Roman" w:hAnsi="Times New Roman" w:cs="Times New Roman"/>
          <w:sz w:val="28"/>
          <w:szCs w:val="28"/>
          <w:lang w:val="ru-RU"/>
        </w:rPr>
        <w:t xml:space="preserve"> — стандартное отклонение убытков (</w:t>
      </w:r>
      <w:r>
        <w:rPr>
          <w:rFonts w:ascii="Times New Roman" w:eastAsia="Times New Roman" w:hAnsi="Times New Roman" w:cs="Times New Roman"/>
          <w:sz w:val="28"/>
          <w:szCs w:val="28"/>
        </w:rPr>
        <w:t>downside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deviation</w:t>
      </w:r>
      <w:r w:rsidRPr="00AF1EBB">
        <w:rPr>
          <w:rFonts w:ascii="Times New Roman" w:eastAsia="Times New Roman" w:hAnsi="Times New Roman" w:cs="Times New Roman"/>
          <w:sz w:val="28"/>
          <w:szCs w:val="28"/>
          <w:lang w:val="ru-RU"/>
        </w:rPr>
        <w:t>). Данный коэффициент часто рассматривается как более чувствительный к риску потерь капитала по сравнению с коэффициентом Шарпа, поскольку он исключает «наказание» за положительные отклонения [40].</w:t>
      </w:r>
    </w:p>
    <w:p w14:paraId="2CCCDEB9" w14:textId="5E14793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Трейнора (</w:t>
      </w:r>
      <w:r>
        <w:rPr>
          <w:rFonts w:ascii="Times New Roman" w:eastAsia="Times New Roman" w:hAnsi="Times New Roman" w:cs="Times New Roman"/>
          <w:sz w:val="28"/>
          <w:szCs w:val="28"/>
        </w:rPr>
        <w:t>Treynor</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соотносит избыточную доходность с величиной систематического риска</w:t>
      </w:r>
      <w:r w:rsidR="00CD00E9">
        <w:rPr>
          <w:rFonts w:ascii="Times New Roman" w:eastAsia="Times New Roman" w:hAnsi="Times New Roman" w:cs="Times New Roman"/>
          <w:sz w:val="28"/>
          <w:szCs w:val="28"/>
          <w:lang w:val="ru-RU"/>
        </w:rPr>
        <w:t xml:space="preserve"> (8)</w:t>
      </w:r>
      <w:r w:rsidRPr="00AF1EBB">
        <w:rPr>
          <w:rFonts w:ascii="Times New Roman" w:eastAsia="Times New Roman" w:hAnsi="Times New Roman" w:cs="Times New Roman"/>
          <w:sz w:val="28"/>
          <w:szCs w:val="28"/>
          <w:lang w:val="ru-RU"/>
        </w:rPr>
        <w:t>:</w:t>
      </w:r>
    </w:p>
    <w:p w14:paraId="4A89208B" w14:textId="0CAFDE94" w:rsidR="00AF1EBB" w:rsidRPr="00CD00E9" w:rsidRDefault="00CD00E9"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A948A2">
        <w:rPr>
          <w:rFonts w:ascii="Times New Roman" w:eastAsia="Times New Roman" w:hAnsi="Times New Roman" w:cs="Times New Roman"/>
          <w:color w:val="FF0000"/>
          <w:sz w:val="28"/>
          <w:szCs w:val="28"/>
          <w:lang w:val="ru-RU"/>
        </w:rPr>
        <w:t>K</w:t>
      </w:r>
      <w:r w:rsidR="00BA0E02" w:rsidRPr="00A948A2">
        <w:rPr>
          <w:rFonts w:ascii="Times New Roman" w:eastAsia="Times New Roman" w:hAnsi="Times New Roman" w:cs="Times New Roman"/>
          <w:color w:val="FF0000"/>
          <w:sz w:val="28"/>
          <w:szCs w:val="28"/>
          <w:lang w:val="ru-RU"/>
        </w:rPr>
        <w:t xml:space="preserve"> </w:t>
      </w:r>
      <w:r w:rsidR="00AF1EBB" w:rsidRPr="00A948A2">
        <w:rPr>
          <w:rFonts w:ascii="Times New Roman" w:eastAsia="Times New Roman" w:hAnsi="Times New Roman" w:cs="Times New Roman"/>
          <w:color w:val="FF0000"/>
          <w:sz w:val="28"/>
          <w:szCs w:val="28"/>
          <w:lang w:val="ru-RU"/>
        </w:rPr>
        <w:t xml:space="preserve">Трейнора </w:t>
      </w:r>
      <w:r w:rsidR="00AF1EBB" w:rsidRPr="00CD00E9">
        <w:rPr>
          <w:rFonts w:ascii="Times New Roman" w:eastAsia="Times New Roman" w:hAnsi="Times New Roman" w:cs="Times New Roman"/>
          <w:sz w:val="28"/>
          <w:szCs w:val="28"/>
          <w:lang w:val="ru-RU"/>
        </w:rPr>
        <w:t xml:space="preserve">= (rp − rf) / βp,  </w:t>
      </w: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8</w:t>
      </w:r>
      <w:r w:rsidR="00AF1EBB" w:rsidRPr="00CD00E9">
        <w:rPr>
          <w:rFonts w:ascii="Times New Roman" w:eastAsia="Times New Roman" w:hAnsi="Times New Roman" w:cs="Times New Roman"/>
          <w:sz w:val="28"/>
          <w:szCs w:val="28"/>
          <w:lang w:val="ru-RU"/>
        </w:rPr>
        <w:t>)</w:t>
      </w:r>
    </w:p>
    <w:p w14:paraId="09B25D53"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где </w:t>
      </w:r>
      <w:r>
        <w:rPr>
          <w:rFonts w:ascii="Times New Roman" w:eastAsia="Times New Roman" w:hAnsi="Times New Roman" w:cs="Times New Roman"/>
          <w:sz w:val="28"/>
          <w:szCs w:val="28"/>
        </w:rPr>
        <w:t>βp</w:t>
      </w:r>
      <w:r w:rsidRPr="00AF1EBB">
        <w:rPr>
          <w:rFonts w:ascii="Times New Roman" w:eastAsia="Times New Roman" w:hAnsi="Times New Roman" w:cs="Times New Roman"/>
          <w:sz w:val="28"/>
          <w:szCs w:val="28"/>
          <w:lang w:val="ru-RU"/>
        </w:rPr>
        <w:t xml:space="preserve"> — бета-коэффициент портфеля. Данный показатель уместен в тех случаях, когда предполагается, что несистематический риск в портфеле в значительной степени диверсифицирован [41].</w:t>
      </w:r>
    </w:p>
    <w:p w14:paraId="1AB2F10D" w14:textId="56B8C5E9"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Альфа Дженсена (</w:t>
      </w:r>
      <w:r>
        <w:rPr>
          <w:rFonts w:ascii="Times New Roman" w:eastAsia="Times New Roman" w:hAnsi="Times New Roman" w:cs="Times New Roman"/>
          <w:sz w:val="28"/>
          <w:szCs w:val="28"/>
        </w:rPr>
        <w:t>Jensen</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s</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alpha</w:t>
      </w:r>
      <w:r w:rsidRPr="00AF1EBB">
        <w:rPr>
          <w:rFonts w:ascii="Times New Roman" w:eastAsia="Times New Roman" w:hAnsi="Times New Roman" w:cs="Times New Roman"/>
          <w:sz w:val="28"/>
          <w:szCs w:val="28"/>
          <w:lang w:val="ru-RU"/>
        </w:rPr>
        <w:t xml:space="preserve">) оценивает абсолютную величину сверхдоходности относительно прогнозируемой </w:t>
      </w:r>
      <w:r>
        <w:rPr>
          <w:rFonts w:ascii="Times New Roman" w:eastAsia="Times New Roman" w:hAnsi="Times New Roman" w:cs="Times New Roman"/>
          <w:sz w:val="28"/>
          <w:szCs w:val="28"/>
        </w:rPr>
        <w:t>CAPM</w:t>
      </w:r>
      <w:r w:rsidR="00E528FF">
        <w:rPr>
          <w:rFonts w:ascii="Times New Roman" w:eastAsia="Times New Roman" w:hAnsi="Times New Roman" w:cs="Times New Roman"/>
          <w:sz w:val="28"/>
          <w:szCs w:val="28"/>
          <w:lang w:val="ru-RU"/>
        </w:rPr>
        <w:t xml:space="preserve"> (9)</w:t>
      </w:r>
      <w:r w:rsidRPr="00AF1EBB">
        <w:rPr>
          <w:rFonts w:ascii="Times New Roman" w:eastAsia="Times New Roman" w:hAnsi="Times New Roman" w:cs="Times New Roman"/>
          <w:sz w:val="28"/>
          <w:szCs w:val="28"/>
          <w:lang w:val="ru-RU"/>
        </w:rPr>
        <w:t>:</w:t>
      </w:r>
    </w:p>
    <w:p w14:paraId="5DD64687" w14:textId="55433289" w:rsidR="00AF1EBB" w:rsidRPr="00E528FF" w:rsidRDefault="00E528FF"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CD00E9">
        <w:rPr>
          <w:rFonts w:ascii="Times New Roman" w:eastAsia="Times New Roman" w:hAnsi="Times New Roman" w:cs="Times New Roman"/>
          <w:sz w:val="28"/>
          <w:szCs w:val="28"/>
        </w:rPr>
        <w:t>α</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rp</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βp</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rm</w:t>
      </w:r>
      <w:r w:rsidR="00AF1EBB" w:rsidRPr="00E528FF">
        <w:rPr>
          <w:rFonts w:ascii="Times New Roman" w:eastAsia="Times New Roman" w:hAnsi="Times New Roman" w:cs="Times New Roman"/>
          <w:sz w:val="28"/>
          <w:szCs w:val="28"/>
          <w:lang w:val="ru-RU"/>
        </w:rPr>
        <w:t xml:space="preserve"> − </w:t>
      </w:r>
      <w:r w:rsidR="00AF1EBB" w:rsidRPr="00CD00E9">
        <w:rPr>
          <w:rFonts w:ascii="Times New Roman" w:eastAsia="Times New Roman" w:hAnsi="Times New Roman" w:cs="Times New Roman"/>
          <w:sz w:val="28"/>
          <w:szCs w:val="28"/>
        </w:rPr>
        <w:t>rf</w:t>
      </w:r>
      <w:r w:rsidR="00AF1EBB" w:rsidRPr="00E528F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                             </w:t>
      </w:r>
      <w:r w:rsidR="00AF1EBB" w:rsidRPr="00E528F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9</w:t>
      </w:r>
      <w:r w:rsidR="00AF1EBB" w:rsidRPr="00E528FF">
        <w:rPr>
          <w:rFonts w:ascii="Times New Roman" w:eastAsia="Times New Roman" w:hAnsi="Times New Roman" w:cs="Times New Roman"/>
          <w:sz w:val="28"/>
          <w:szCs w:val="28"/>
          <w:lang w:val="ru-RU"/>
        </w:rPr>
        <w:t>)</w:t>
      </w:r>
    </w:p>
    <w:p w14:paraId="005C9BD6"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rm</w:t>
      </w:r>
      <w:r w:rsidRPr="00AF1EBB">
        <w:rPr>
          <w:rFonts w:ascii="Times New Roman" w:eastAsia="Times New Roman" w:hAnsi="Times New Roman" w:cs="Times New Roman"/>
          <w:sz w:val="28"/>
          <w:szCs w:val="28"/>
          <w:lang w:val="ru-RU"/>
        </w:rPr>
        <w:t xml:space="preserve"> — ожидаемая среднерыночная доходность. Положительная альфа обычно трактуется как свидетельство превышения портфелем рыночных ожиданий при заданной величине систематического риска [42].</w:t>
      </w:r>
    </w:p>
    <w:p w14:paraId="7BD31EB4" w14:textId="7FBD71E8"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Бета-коэффициент (</w:t>
      </w:r>
      <w:r>
        <w:rPr>
          <w:rFonts w:ascii="Times New Roman" w:eastAsia="Times New Roman" w:hAnsi="Times New Roman" w:cs="Times New Roman"/>
          <w:sz w:val="28"/>
          <w:szCs w:val="28"/>
        </w:rPr>
        <w:t>beta</w:t>
      </w:r>
      <w:r w:rsidRPr="00AF1EBB">
        <w:rPr>
          <w:rFonts w:ascii="Times New Roman" w:eastAsia="Times New Roman" w:hAnsi="Times New Roman" w:cs="Times New Roman"/>
          <w:sz w:val="28"/>
          <w:szCs w:val="28"/>
          <w:lang w:val="ru-RU"/>
        </w:rPr>
        <w:t>) отражает чувствительность портфеля к изменению рыночного бенчмарка</w:t>
      </w:r>
      <w:r w:rsidR="00E528FF">
        <w:rPr>
          <w:rFonts w:ascii="Times New Roman" w:eastAsia="Times New Roman" w:hAnsi="Times New Roman" w:cs="Times New Roman"/>
          <w:sz w:val="28"/>
          <w:szCs w:val="28"/>
          <w:lang w:val="ru-RU"/>
        </w:rPr>
        <w:t xml:space="preserve"> (10)</w:t>
      </w:r>
      <w:r w:rsidRPr="00AF1EBB">
        <w:rPr>
          <w:rFonts w:ascii="Times New Roman" w:eastAsia="Times New Roman" w:hAnsi="Times New Roman" w:cs="Times New Roman"/>
          <w:sz w:val="28"/>
          <w:szCs w:val="28"/>
          <w:lang w:val="ru-RU"/>
        </w:rPr>
        <w:t>:</w:t>
      </w:r>
      <w:r w:rsidR="002155AB">
        <w:rPr>
          <w:rFonts w:ascii="Times New Roman" w:eastAsia="Times New Roman" w:hAnsi="Times New Roman" w:cs="Times New Roman"/>
          <w:sz w:val="28"/>
          <w:szCs w:val="28"/>
          <w:lang w:val="ru-RU"/>
        </w:rPr>
        <w:t xml:space="preserve">  выше была формула , написана с другими обозначениями </w:t>
      </w:r>
    </w:p>
    <w:p w14:paraId="6D4DE7E9" w14:textId="10BD59B0" w:rsidR="00AF1EBB" w:rsidRPr="00E528FF" w:rsidRDefault="00E528FF" w:rsidP="00AF1EBB">
      <w:pPr>
        <w:spacing w:line="360" w:lineRule="auto"/>
        <w:jc w:val="center"/>
        <w:rPr>
          <w:rFonts w:ascii="Times New Roman" w:eastAsia="Times New Roman" w:hAnsi="Times New Roman" w:cs="Times New Roman"/>
          <w:sz w:val="28"/>
          <w:szCs w:val="28"/>
          <w:lang w:val="en-US"/>
        </w:rPr>
      </w:pPr>
      <w:r w:rsidRPr="00BA0E02">
        <w:rPr>
          <w:rFonts w:ascii="Times New Roman" w:eastAsia="Times New Roman" w:hAnsi="Times New Roman" w:cs="Times New Roman"/>
          <w:sz w:val="28"/>
          <w:szCs w:val="28"/>
          <w:lang w:val="ru-RU"/>
        </w:rPr>
        <w:t xml:space="preserve">                                                      </w:t>
      </w:r>
      <w:r w:rsidR="00AF1EBB" w:rsidRPr="00E528FF">
        <w:rPr>
          <w:rFonts w:ascii="Times New Roman" w:eastAsia="Times New Roman" w:hAnsi="Times New Roman" w:cs="Times New Roman"/>
          <w:sz w:val="28"/>
          <w:szCs w:val="28"/>
          <w:lang w:val="ru-RU"/>
        </w:rPr>
        <w:t>β</w:t>
      </w:r>
      <w:r w:rsidR="00AF1EBB" w:rsidRPr="00E528FF">
        <w:rPr>
          <w:rFonts w:ascii="Times New Roman" w:eastAsia="Times New Roman" w:hAnsi="Times New Roman" w:cs="Times New Roman"/>
          <w:sz w:val="28"/>
          <w:szCs w:val="28"/>
          <w:lang w:val="en-US"/>
        </w:rPr>
        <w:t xml:space="preserve">p = Cov(rp, rm) / Var(rm),  </w:t>
      </w:r>
      <w:r w:rsidRPr="00E528FF">
        <w:rPr>
          <w:rFonts w:ascii="Times New Roman" w:eastAsia="Times New Roman" w:hAnsi="Times New Roman" w:cs="Times New Roman"/>
          <w:sz w:val="28"/>
          <w:szCs w:val="28"/>
          <w:lang w:val="en-US"/>
        </w:rPr>
        <w:t xml:space="preserve">                        </w:t>
      </w:r>
      <w:r w:rsidR="00AF1EBB" w:rsidRPr="00E528FF">
        <w:rPr>
          <w:rFonts w:ascii="Times New Roman" w:eastAsia="Times New Roman" w:hAnsi="Times New Roman" w:cs="Times New Roman"/>
          <w:sz w:val="28"/>
          <w:szCs w:val="28"/>
          <w:lang w:val="en-US"/>
        </w:rPr>
        <w:t xml:space="preserve"> (</w:t>
      </w:r>
      <w:r w:rsidRPr="00E528FF">
        <w:rPr>
          <w:rFonts w:ascii="Times New Roman" w:eastAsia="Times New Roman" w:hAnsi="Times New Roman" w:cs="Times New Roman"/>
          <w:sz w:val="28"/>
          <w:szCs w:val="28"/>
          <w:lang w:val="en-US"/>
        </w:rPr>
        <w:t>10</w:t>
      </w:r>
      <w:r w:rsidR="00AF1EBB" w:rsidRPr="00E528FF">
        <w:rPr>
          <w:rFonts w:ascii="Times New Roman" w:eastAsia="Times New Roman" w:hAnsi="Times New Roman" w:cs="Times New Roman"/>
          <w:sz w:val="28"/>
          <w:szCs w:val="28"/>
          <w:lang w:val="en-US"/>
        </w:rPr>
        <w:t>)</w:t>
      </w:r>
    </w:p>
    <w:p w14:paraId="43242453" w14:textId="4B266CE9" w:rsidR="00AF1EBB" w:rsidRPr="00AF1EBB" w:rsidRDefault="00AF1EBB" w:rsidP="00E528FF">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Значения </w:t>
      </w:r>
      <w:r>
        <w:rPr>
          <w:rFonts w:ascii="Times New Roman" w:eastAsia="Times New Roman" w:hAnsi="Times New Roman" w:cs="Times New Roman"/>
          <w:sz w:val="28"/>
          <w:szCs w:val="28"/>
        </w:rPr>
        <w:t>β</w:t>
      </w:r>
      <w:r w:rsidRPr="00AF1EBB">
        <w:rPr>
          <w:rFonts w:ascii="Times New Roman" w:eastAsia="Times New Roman" w:hAnsi="Times New Roman" w:cs="Times New Roman"/>
          <w:sz w:val="28"/>
          <w:szCs w:val="28"/>
          <w:lang w:val="ru-RU"/>
        </w:rPr>
        <w:t xml:space="preserve"> &gt; 1 традиционно связывают с более высокой волатильностью портфеля относительно рынка, что соответствует более «агрессивному» профилю. Совокупность перечисленных методик образует взаимодополняющий инструментарий: абсолютные показатели измеряют масштаб риска и доходности, а риск-скорректированные коэффициенты позволяют оценить качество управленческих решений по принятию этого риска [25, с. 880].</w:t>
      </w:r>
    </w:p>
    <w:p w14:paraId="5C926AF4" w14:textId="77777777" w:rsidR="00AF1EBB" w:rsidRPr="002155AB" w:rsidRDefault="00AF1EBB" w:rsidP="00AF1EBB">
      <w:pPr>
        <w:spacing w:line="360" w:lineRule="auto"/>
        <w:ind w:firstLine="709"/>
        <w:jc w:val="both"/>
        <w:rPr>
          <w:color w:val="FF0000"/>
          <w:lang w:val="ru-RU"/>
        </w:rPr>
      </w:pPr>
      <w:r w:rsidRPr="002155AB">
        <w:rPr>
          <w:rFonts w:ascii="Times New Roman" w:eastAsia="Times New Roman" w:hAnsi="Times New Roman" w:cs="Times New Roman"/>
          <w:color w:val="FF0000"/>
          <w:sz w:val="28"/>
          <w:szCs w:val="28"/>
          <w:lang w:val="ru-RU"/>
        </w:rPr>
        <w:t>Вывод по первой главе: завершая теоретическое рассмотрение, представляется обоснованным подчеркнуть, что традиционный подход к оценке и управлению паевыми инвестиционными фондами не во всех случаях обеспечивает комплексное описание качества портфеля.</w:t>
      </w:r>
    </w:p>
    <w:p w14:paraId="781DF492" w14:textId="77777777" w:rsidR="00AF1EBB" w:rsidRPr="002155AB" w:rsidRDefault="00AF1EBB" w:rsidP="00AF1EBB">
      <w:pPr>
        <w:spacing w:line="360" w:lineRule="auto"/>
        <w:ind w:firstLine="709"/>
        <w:jc w:val="both"/>
        <w:rPr>
          <w:color w:val="FF0000"/>
          <w:lang w:val="ru-RU"/>
        </w:rPr>
      </w:pPr>
      <w:r w:rsidRPr="002155AB">
        <w:rPr>
          <w:rFonts w:ascii="Times New Roman" w:eastAsia="Times New Roman" w:hAnsi="Times New Roman" w:cs="Times New Roman"/>
          <w:color w:val="FF0000"/>
          <w:sz w:val="28"/>
          <w:szCs w:val="28"/>
          <w:lang w:val="ru-RU"/>
        </w:rPr>
        <w:t xml:space="preserve">Преимущественная ориентация на ретроспективные портфельные метрики способна приводить к недоучету фундаментальных драйверов </w:t>
      </w:r>
      <w:r w:rsidRPr="002155AB">
        <w:rPr>
          <w:rFonts w:ascii="Times New Roman" w:eastAsia="Times New Roman" w:hAnsi="Times New Roman" w:cs="Times New Roman"/>
          <w:color w:val="FF0000"/>
          <w:sz w:val="28"/>
          <w:szCs w:val="28"/>
          <w:lang w:val="ru-RU"/>
        </w:rPr>
        <w:lastRenderedPageBreak/>
        <w:t>стоимости бизнеса и внутренних рисков эмитентов, которые не сводятся к историческим колебаниям котировок и могут проявляться с временным лагом.</w:t>
      </w:r>
    </w:p>
    <w:p w14:paraId="303C6E64" w14:textId="77777777" w:rsidR="00AF1EBB" w:rsidRDefault="00AF1EBB" w:rsidP="00AF1EBB">
      <w:pPr>
        <w:spacing w:line="360" w:lineRule="auto"/>
        <w:ind w:firstLine="709"/>
        <w:jc w:val="both"/>
        <w:rPr>
          <w:rFonts w:ascii="Times New Roman" w:eastAsia="Times New Roman" w:hAnsi="Times New Roman" w:cs="Times New Roman"/>
          <w:color w:val="FF0000"/>
          <w:sz w:val="28"/>
          <w:szCs w:val="28"/>
          <w:lang w:val="ru-RU"/>
        </w:rPr>
      </w:pPr>
      <w:r w:rsidRPr="002155AB">
        <w:rPr>
          <w:rFonts w:ascii="Times New Roman" w:eastAsia="Times New Roman" w:hAnsi="Times New Roman" w:cs="Times New Roman"/>
          <w:color w:val="FF0000"/>
          <w:sz w:val="28"/>
          <w:szCs w:val="28"/>
          <w:lang w:val="ru-RU"/>
        </w:rPr>
        <w:t>Более аргументированная оценка качества инвестиционного портфеля предполагает совместное применение инструментов портфельной теории и фундаментального финансового анализа объектов инвестирования. Использование коэффициентного анализа, диагностики кредитных рисков и расчета портфельных индикаторов позволяет уточнить представление об инвестиционной привлекательности базовых активов и связать рыночные показатели с финансово-экономическим содержанием деятельности эмитентов [20, с. 135].</w:t>
      </w:r>
    </w:p>
    <w:p w14:paraId="1963B4C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Именно интегрированный методологический подход далее целесообразно использовать в аналитической части дипломной работы при оценке и разработке направлений повышения качества инвестиционного портфеля ОПИФ РФИ «ВИМ-Металлургия».</w:t>
      </w:r>
    </w:p>
    <w:p w14:paraId="70EDAEAF" w14:textId="77777777" w:rsidR="002155AB" w:rsidRPr="002155AB" w:rsidRDefault="002155AB" w:rsidP="002155AB">
      <w:pPr>
        <w:spacing w:line="360" w:lineRule="auto"/>
        <w:ind w:firstLine="709"/>
        <w:jc w:val="both"/>
        <w:rPr>
          <w:color w:val="FF0000"/>
          <w:lang w:val="ru-RU"/>
        </w:rPr>
      </w:pPr>
      <w:r w:rsidRPr="002155AB">
        <w:rPr>
          <w:rFonts w:ascii="Times New Roman" w:eastAsia="Times New Roman" w:hAnsi="Times New Roman" w:cs="Times New Roman"/>
          <w:color w:val="FF0000"/>
          <w:sz w:val="28"/>
          <w:szCs w:val="28"/>
          <w:highlight w:val="yellow"/>
          <w:lang w:val="ru-RU"/>
        </w:rPr>
        <w:t>Из того, что прочитала такой вывод не следует Все в перемешу изложено, слеплено,  не последовательно</w:t>
      </w:r>
    </w:p>
    <w:p w14:paraId="29B4BD74" w14:textId="565556E6" w:rsidR="00631EF4" w:rsidRPr="00631EF4" w:rsidRDefault="00631EF4" w:rsidP="00631EF4">
      <w:pPr>
        <w:spacing w:line="360" w:lineRule="auto"/>
        <w:ind w:firstLine="709"/>
        <w:jc w:val="both"/>
        <w:rPr>
          <w:rFonts w:ascii="Times New Roman" w:hAnsi="Times New Roman" w:cs="Times New Roman"/>
          <w:sz w:val="28"/>
          <w:szCs w:val="28"/>
          <w:lang w:val="ru-RU"/>
        </w:rPr>
      </w:pPr>
    </w:p>
    <w:p w14:paraId="15D4CC68" w14:textId="78ADBC31" w:rsidR="00631EF4" w:rsidRPr="00631EF4" w:rsidRDefault="002155AB" w:rsidP="00631EF4">
      <w:pPr>
        <w:rPr>
          <w:rFonts w:ascii="Times New Roman" w:hAnsi="Times New Roman" w:cs="Times New Roman"/>
          <w:sz w:val="28"/>
          <w:szCs w:val="28"/>
          <w:lang w:val="ru-RU"/>
        </w:rPr>
      </w:pPr>
      <w:r w:rsidRPr="002155AB">
        <w:rPr>
          <w:rFonts w:ascii="Times New Roman" w:hAnsi="Times New Roman" w:cs="Times New Roman"/>
          <w:sz w:val="28"/>
          <w:szCs w:val="28"/>
          <w:highlight w:val="yellow"/>
          <w:lang w:val="ru-RU"/>
        </w:rPr>
        <w:t>Работа должна быть 60 стр Можно выводы сократить</w:t>
      </w:r>
    </w:p>
    <w:p w14:paraId="1FB26D47" w14:textId="77777777" w:rsidR="00631EF4" w:rsidRPr="00631EF4" w:rsidRDefault="00631EF4" w:rsidP="00631EF4">
      <w:pPr>
        <w:rPr>
          <w:rFonts w:ascii="Times New Roman" w:hAnsi="Times New Roman" w:cs="Times New Roman"/>
          <w:sz w:val="28"/>
          <w:szCs w:val="28"/>
          <w:lang w:val="ru-RU"/>
        </w:rPr>
      </w:pPr>
    </w:p>
    <w:p w14:paraId="1B16F8D0" w14:textId="77777777" w:rsidR="005F2182" w:rsidRPr="005F2182" w:rsidRDefault="00793D47" w:rsidP="005F2182">
      <w:pPr>
        <w:rPr>
          <w:rFonts w:ascii="Times New Roman" w:hAnsi="Times New Roman"/>
          <w:b/>
          <w:i/>
          <w:sz w:val="28"/>
          <w:szCs w:val="32"/>
          <w:lang w:val="ru-RU"/>
        </w:rPr>
      </w:pPr>
      <w:r>
        <w:rPr>
          <w:lang w:val="ru-RU"/>
        </w:rPr>
        <w:br w:type="page"/>
      </w:r>
    </w:p>
    <w:p w14:paraId="5B5409FE" w14:textId="35DF791E" w:rsidR="005F2182" w:rsidRPr="005F2182" w:rsidRDefault="005F2182" w:rsidP="004605F7">
      <w:pPr>
        <w:pStyle w:val="1"/>
        <w:spacing w:before="0" w:after="0" w:line="360" w:lineRule="auto"/>
        <w:rPr>
          <w:lang w:val="ru-RU"/>
        </w:rPr>
      </w:pPr>
      <w:bookmarkStart w:id="6" w:name="_Toc232337640"/>
      <w:r w:rsidRPr="005F2182">
        <w:rPr>
          <w:lang w:val="ru-RU"/>
        </w:rPr>
        <w:lastRenderedPageBreak/>
        <w:t xml:space="preserve">Глава 2. </w:t>
      </w:r>
      <w:r w:rsidR="00BA0E02">
        <w:rPr>
          <w:lang w:val="ru-RU"/>
        </w:rPr>
        <w:t>Анализ</w:t>
      </w:r>
      <w:r w:rsidRPr="005F2182">
        <w:rPr>
          <w:lang w:val="ru-RU"/>
        </w:rPr>
        <w:t xml:space="preserve"> качества инвестиционного портфеля ОПИФ РФИ «ВИМ-Металлургия»</w:t>
      </w:r>
      <w:bookmarkEnd w:id="6"/>
    </w:p>
    <w:p w14:paraId="42104B96" w14:textId="77777777" w:rsidR="005F2182" w:rsidRDefault="005F2182" w:rsidP="004605F7">
      <w:pPr>
        <w:pStyle w:val="2"/>
        <w:spacing w:before="0" w:after="0" w:line="360" w:lineRule="auto"/>
        <w:ind w:firstLine="709"/>
        <w:rPr>
          <w:lang w:val="ru-RU"/>
        </w:rPr>
      </w:pPr>
      <w:bookmarkStart w:id="7" w:name="_Toc232337641"/>
      <w:r w:rsidRPr="005F2182">
        <w:rPr>
          <w:lang w:val="ru-RU"/>
        </w:rPr>
        <w:t>2.1. Финансово-экономическая характеристика ОПИФ РФИ «ВИМ-Металлургия»</w:t>
      </w:r>
      <w:bookmarkEnd w:id="7"/>
    </w:p>
    <w:p w14:paraId="06308C11" w14:textId="77777777" w:rsidR="005F2182" w:rsidRPr="005F2182" w:rsidRDefault="005F2182" w:rsidP="004605F7">
      <w:pPr>
        <w:spacing w:line="360" w:lineRule="auto"/>
        <w:ind w:firstLine="709"/>
        <w:jc w:val="both"/>
        <w:rPr>
          <w:lang w:val="ru-RU"/>
        </w:rPr>
      </w:pPr>
    </w:p>
    <w:p w14:paraId="700F1BB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Открытый паевой инвестиционный фонд рыночных финансовых инструментов (ОПИФ РФИ) «ВИМ-Металлургия» представляет собой отраслевой механизм коллективного инвестирования, функционирующий под управлением АО «ВИМ Инвестиции» и ориентированный на формирование долгосрочной экспозиции к российскому металлургическому и горнодобывающему сегменту [4; 50]. Правила доверительного управления фондом зарегистрированы ФСФР России 13.09.2007 за № 0961-94131104; фонд сформирован в период с 01.10.2007 по 06.11.2007 и с момента создания котируется на Московской бирже (</w:t>
      </w:r>
      <w:r>
        <w:rPr>
          <w:rFonts w:ascii="Times New Roman" w:eastAsia="Times New Roman" w:hAnsi="Times New Roman" w:cs="Times New Roman"/>
          <w:sz w:val="28"/>
          <w:szCs w:val="28"/>
        </w:rPr>
        <w:t>ISIN</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RU</w:t>
      </w:r>
      <w:r w:rsidRPr="00AF1EBB">
        <w:rPr>
          <w:rFonts w:ascii="Times New Roman" w:eastAsia="Times New Roman" w:hAnsi="Times New Roman" w:cs="Times New Roman"/>
          <w:sz w:val="28"/>
          <w:szCs w:val="28"/>
          <w:lang w:val="ru-RU"/>
        </w:rPr>
        <w:t>000</w:t>
      </w:r>
      <w:r>
        <w:rPr>
          <w:rFonts w:ascii="Times New Roman" w:eastAsia="Times New Roman" w:hAnsi="Times New Roman" w:cs="Times New Roman"/>
          <w:sz w:val="28"/>
          <w:szCs w:val="28"/>
        </w:rPr>
        <w:t>A</w:t>
      </w:r>
      <w:r w:rsidRPr="00AF1EBB">
        <w:rPr>
          <w:rFonts w:ascii="Times New Roman" w:eastAsia="Times New Roman" w:hAnsi="Times New Roman" w:cs="Times New Roman"/>
          <w:sz w:val="28"/>
          <w:szCs w:val="28"/>
          <w:lang w:val="ru-RU"/>
        </w:rPr>
        <w:t>0</w:t>
      </w:r>
      <w:r>
        <w:rPr>
          <w:rFonts w:ascii="Times New Roman" w:eastAsia="Times New Roman" w:hAnsi="Times New Roman" w:cs="Times New Roman"/>
          <w:sz w:val="28"/>
          <w:szCs w:val="28"/>
        </w:rPr>
        <w:t>JS</w:t>
      </w:r>
      <w:r w:rsidRPr="00AF1EBB">
        <w:rPr>
          <w:rFonts w:ascii="Times New Roman" w:eastAsia="Times New Roman" w:hAnsi="Times New Roman" w:cs="Times New Roman"/>
          <w:sz w:val="28"/>
          <w:szCs w:val="28"/>
          <w:lang w:val="ru-RU"/>
        </w:rPr>
        <w:t>9</w:t>
      </w:r>
      <w:r>
        <w:rPr>
          <w:rFonts w:ascii="Times New Roman" w:eastAsia="Times New Roman" w:hAnsi="Times New Roman" w:cs="Times New Roman"/>
          <w:sz w:val="28"/>
          <w:szCs w:val="28"/>
        </w:rPr>
        <w:t>R</w:t>
      </w:r>
      <w:r w:rsidRPr="00AF1EBB">
        <w:rPr>
          <w:rFonts w:ascii="Times New Roman" w:eastAsia="Times New Roman" w:hAnsi="Times New Roman" w:cs="Times New Roman"/>
          <w:sz w:val="28"/>
          <w:szCs w:val="28"/>
          <w:lang w:val="ru-RU"/>
        </w:rPr>
        <w:t>3). Инвестиционная политика управляющей компании предполагает преимущественно долгосрочное вложение средств в акции компаний металлургической отрасли и депозитарные расписки на такие ценные бумаги, а также краткосрочное вложение в производные финансовые инструменты. Бенчмарком, по отношению к которому оценивается результативность стратегии активного управления, служит Индекс МосБиржи металлов и добычи (</w:t>
      </w:r>
      <w:r>
        <w:rPr>
          <w:rFonts w:ascii="Times New Roman" w:eastAsia="Times New Roman" w:hAnsi="Times New Roman" w:cs="Times New Roman"/>
          <w:sz w:val="28"/>
          <w:szCs w:val="28"/>
        </w:rPr>
        <w:t>MOEXMM</w:t>
      </w:r>
      <w:r w:rsidRPr="00AF1EBB">
        <w:rPr>
          <w:rFonts w:ascii="Times New Roman" w:eastAsia="Times New Roman" w:hAnsi="Times New Roman" w:cs="Times New Roman"/>
          <w:sz w:val="28"/>
          <w:szCs w:val="28"/>
          <w:lang w:val="ru-RU"/>
        </w:rPr>
        <w:t>) [47].</w:t>
      </w:r>
    </w:p>
    <w:p w14:paraId="0EA6474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Тем самым фонд фактически воспроизводит логику отраслевого портфеля: ожидаемый результат связывается с длительным горизонтом удержания активов и с предпосылкой, что фундаментальные параметры компаний базовых сырьевых отраслей способны обеспечивать рост курсовой стоимости [33, с. 11]. Дополнительный источник накопления капитала формируется через дивидендные выплаты, однако их вклад носит условный </w:t>
      </w:r>
      <w:r w:rsidRPr="00AF1EBB">
        <w:rPr>
          <w:rFonts w:ascii="Times New Roman" w:eastAsia="Times New Roman" w:hAnsi="Times New Roman" w:cs="Times New Roman"/>
          <w:sz w:val="28"/>
          <w:szCs w:val="28"/>
          <w:lang w:val="ru-RU"/>
        </w:rPr>
        <w:lastRenderedPageBreak/>
        <w:t>характер и зависит от корпоративной политики эмитентов, инвестиционных программ и ограничений, диктуемых рыночной конъюнктурой.</w:t>
      </w:r>
    </w:p>
    <w:p w14:paraId="1C08E02F" w14:textId="24BE8AAA" w:rsidR="00AF1EBB" w:rsidRPr="00AF1EBB" w:rsidRDefault="00AF1EBB" w:rsidP="00AF1EBB">
      <w:pPr>
        <w:spacing w:line="360" w:lineRule="auto"/>
        <w:ind w:firstLine="709"/>
        <w:jc w:val="both"/>
        <w:rPr>
          <w:lang w:val="ru-RU"/>
        </w:rPr>
      </w:pPr>
      <w:r w:rsidRPr="00FA75E4">
        <w:rPr>
          <w:rFonts w:ascii="Times New Roman" w:eastAsia="Times New Roman" w:hAnsi="Times New Roman" w:cs="Times New Roman"/>
          <w:color w:val="FF0000"/>
          <w:sz w:val="28"/>
          <w:szCs w:val="28"/>
          <w:lang w:val="ru-RU"/>
        </w:rPr>
        <w:t xml:space="preserve">Стоимость чистых активов (СЧА) и расчётная стоимость инвестиционного пая. </w:t>
      </w:r>
      <w:r w:rsidR="00FA75E4" w:rsidRPr="00FA75E4">
        <w:rPr>
          <w:rFonts w:ascii="Times New Roman" w:eastAsia="Times New Roman" w:hAnsi="Times New Roman" w:cs="Times New Roman"/>
          <w:color w:val="FF0000"/>
          <w:sz w:val="28"/>
          <w:szCs w:val="28"/>
          <w:highlight w:val="yellow"/>
          <w:lang w:val="ru-RU"/>
        </w:rPr>
        <w:t>Не надо писать подзаголовки в тексте Перерабатывайте материал</w:t>
      </w:r>
      <w:r w:rsidR="00FA75E4">
        <w:rPr>
          <w:rFonts w:ascii="Times New Roman" w:eastAsia="Times New Roman" w:hAnsi="Times New Roman" w:cs="Times New Roman"/>
          <w:sz w:val="28"/>
          <w:szCs w:val="28"/>
          <w:lang w:val="ru-RU"/>
        </w:rPr>
        <w:t xml:space="preserve"> </w:t>
      </w:r>
      <w:r w:rsidRPr="00AF1EBB">
        <w:rPr>
          <w:rFonts w:ascii="Times New Roman" w:eastAsia="Times New Roman" w:hAnsi="Times New Roman" w:cs="Times New Roman"/>
          <w:sz w:val="28"/>
          <w:szCs w:val="28"/>
          <w:lang w:val="ru-RU"/>
        </w:rPr>
        <w:t>Ключевым агрегированным показателем, используемым для оценки масштаба операций фонда и качества управления, выступает динамика СЧА, поскольку она интегрирует как изменение рыночной стоимости портфеля, так и поведение пайщиков [7, с. 115]. По состоянию на 10 июня 2026 года СЧА ОПИФ РФИ «ВИМ-Металлургия» составила 734 847 410,91 руб. (около 0,73 млрд руб.), а расчётная стоимость одного инвестиционного пая — 12,54 руб. [47]. Число пайщиков по состоянию на 31 марта 2026 года достигло 5 625 человек, что характеризует фонд как инструмент розничного коллективного инвестирования умеренного масштаба [47].</w:t>
      </w:r>
    </w:p>
    <w:p w14:paraId="1B8D34C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Изменение СЧА объясняется действием двух базовых компонент: во-первых, переоценкой стоимости ценных бумаг вследствие движения котировок (рыночный фактор), во-вторых, результатом операций по выдаче и погашению инвестиционных паев, отражающим чистый приток либо отток средств инвесторов [15, с. 300]. Сопоставление текущего уровня СЧА с историческими значениями свидетельствует о значительном сокращении объёма активов под управлением: снижение расчётной стоимости пая с исторических максимумов наглядно отражает накопленное обесценение капитала участников фонда.</w:t>
      </w:r>
    </w:p>
    <w:p w14:paraId="132F927D" w14:textId="77777777" w:rsidR="00AF1EBB" w:rsidRPr="00BA0E02" w:rsidRDefault="00AF1EBB" w:rsidP="00AF1EBB">
      <w:pPr>
        <w:spacing w:line="360" w:lineRule="auto"/>
        <w:ind w:firstLine="709"/>
        <w:jc w:val="both"/>
        <w:rPr>
          <w:rFonts w:ascii="Times New Roman" w:eastAsia="Times New Roman" w:hAnsi="Times New Roman" w:cs="Times New Roman"/>
          <w:sz w:val="28"/>
          <w:szCs w:val="28"/>
          <w:lang w:val="ru-RU"/>
        </w:rPr>
      </w:pPr>
      <w:r w:rsidRPr="00FA75E4">
        <w:rPr>
          <w:rFonts w:ascii="Times New Roman" w:eastAsia="Times New Roman" w:hAnsi="Times New Roman" w:cs="Times New Roman"/>
          <w:color w:val="FF0000"/>
          <w:sz w:val="28"/>
          <w:szCs w:val="28"/>
          <w:lang w:val="ru-RU"/>
        </w:rPr>
        <w:t>Динамика доходности</w:t>
      </w:r>
      <w:r w:rsidRPr="00AF1EBB">
        <w:rPr>
          <w:rFonts w:ascii="Times New Roman" w:eastAsia="Times New Roman" w:hAnsi="Times New Roman" w:cs="Times New Roman"/>
          <w:sz w:val="28"/>
          <w:szCs w:val="28"/>
          <w:lang w:val="ru-RU"/>
        </w:rPr>
        <w:t xml:space="preserve">. Анализ доходности фонда в разрезе временных горизонтов демонстрирует устойчивую отрицательную динамику. По данным на 10 июня 2026 года, расчётная стоимость пая снизилась: за последний месяц — на 2,20%, за три месяца — на 15,90%, за шесть месяцев — на 5,71%, за один год — на 6,56%. На более длительных горизонтах картина ещё более </w:t>
      </w:r>
      <w:r w:rsidRPr="00BA0E02">
        <w:rPr>
          <w:rFonts w:ascii="Times New Roman" w:eastAsia="Times New Roman" w:hAnsi="Times New Roman" w:cs="Times New Roman"/>
          <w:sz w:val="28"/>
          <w:szCs w:val="28"/>
          <w:lang w:val="ru-RU"/>
        </w:rPr>
        <w:lastRenderedPageBreak/>
        <w:t>неблагоприятна: за три года стоимость пая сократилась на 21,43%, за пять лет — на 52,45% [47]. Указанные результаты свидетельствуют о глубокой эрозии стоимости активов под управлением на фоне структурной слабости металлургического сектора, ужесточения денежно-кредитной политики и переориентации экспортных потоков российских производителей.</w:t>
      </w:r>
    </w:p>
    <w:p w14:paraId="23137C1C" w14:textId="77777777" w:rsidR="00AF1EBB" w:rsidRPr="00BA0E02" w:rsidRDefault="00AF1EBB" w:rsidP="00AF1EBB">
      <w:pPr>
        <w:spacing w:line="360" w:lineRule="auto"/>
        <w:ind w:firstLine="709"/>
        <w:jc w:val="both"/>
        <w:rPr>
          <w:rFonts w:ascii="Times New Roman" w:eastAsia="Times New Roman" w:hAnsi="Times New Roman" w:cs="Times New Roman"/>
          <w:sz w:val="28"/>
          <w:szCs w:val="28"/>
          <w:lang w:val="ru-RU"/>
        </w:rPr>
      </w:pPr>
      <w:r w:rsidRPr="00BA0E02">
        <w:rPr>
          <w:rFonts w:ascii="Times New Roman" w:eastAsia="Times New Roman" w:hAnsi="Times New Roman" w:cs="Times New Roman"/>
          <w:sz w:val="28"/>
          <w:szCs w:val="28"/>
          <w:lang w:val="ru-RU"/>
        </w:rPr>
        <w:t>Не менее показательна динамика СЧА, отражающая помимо рыночных потерь также чистое поведение пайщиков. За год СЧА сократилась на 21,76%, за три года — на 60,66%, за пять лет — на 75,13% [47]. Существенное расхождение между темпами снижения стоимости пая (−52,45% за пять лет) и темпами снижения СЧА (−75,13% за аналогичный период) прямо указывает на значительный нетто-отток средств пайщиков, не объяснимый одной лишь рыночной переоценкой. Данный факт свидетельствует о снижении доверия инвесторов к фонду и перераспределении капитала в пользу иных инструментов.</w:t>
      </w:r>
    </w:p>
    <w:p w14:paraId="3D8D0893" w14:textId="47755486"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На коротких горизонтах доходность, как правило, характеризуется значительной изменчивостью, отражающей общую волатильность фондового рынка и специфические отраслевые риски [24, с. 230]. На более продолжительных интервалах результаты фонда в существенной степени определяются фундаментальной устойчивостью эмитентов, их маржинальностью, долговой нагрузкой, доступом к рынкам сбыта и способностью поддерживать инвестиционный и дивидендный циклы [13, с. 132].</w:t>
      </w:r>
      <w:r w:rsidR="00FA75E4">
        <w:rPr>
          <w:rFonts w:ascii="Times New Roman" w:eastAsia="Times New Roman" w:hAnsi="Times New Roman" w:cs="Times New Roman"/>
          <w:sz w:val="28"/>
          <w:szCs w:val="28"/>
          <w:lang w:val="ru-RU"/>
        </w:rPr>
        <w:t xml:space="preserve"> Ссылки будем писать?</w:t>
      </w:r>
    </w:p>
    <w:p w14:paraId="668ED767" w14:textId="69BFDDC1" w:rsidR="00AF1EBB" w:rsidRPr="00AF1EBB" w:rsidRDefault="00AF1EBB" w:rsidP="00AF1EBB">
      <w:pPr>
        <w:spacing w:line="360" w:lineRule="auto"/>
        <w:jc w:val="center"/>
        <w:rPr>
          <w:lang w:val="ru-RU"/>
        </w:rPr>
      </w:pPr>
      <w:r w:rsidRPr="00FA75E4">
        <w:rPr>
          <w:rFonts w:ascii="Times New Roman" w:eastAsia="Times New Roman" w:hAnsi="Times New Roman" w:cs="Times New Roman"/>
          <w:color w:val="FF0000"/>
          <w:sz w:val="28"/>
          <w:szCs w:val="28"/>
          <w:lang w:val="ru-RU"/>
        </w:rPr>
        <w:t>Таблица 1</w:t>
      </w:r>
      <w:r w:rsidRPr="00AF1EBB">
        <w:rPr>
          <w:rFonts w:ascii="Times New Roman" w:eastAsia="Times New Roman" w:hAnsi="Times New Roman" w:cs="Times New Roman"/>
          <w:sz w:val="28"/>
          <w:szCs w:val="28"/>
          <w:lang w:val="ru-RU"/>
        </w:rPr>
        <w:t xml:space="preserve"> – Динамика стоимости пая и СЧА ОПИФ РФИ «ВИМ-Металлургия» на 10.06.2026</w:t>
      </w:r>
    </w:p>
    <w:tbl>
      <w:tblPr>
        <w:tblW w:w="10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100"/>
        <w:gridCol w:w="1100"/>
        <w:gridCol w:w="1100"/>
        <w:gridCol w:w="1100"/>
        <w:gridCol w:w="1100"/>
        <w:gridCol w:w="1926"/>
      </w:tblGrid>
      <w:tr w:rsidR="00AF1EBB" w:rsidRPr="008521AF" w14:paraId="5CC74C34" w14:textId="77777777" w:rsidTr="00FF1FEF">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A68C2"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b/>
                <w:bCs/>
                <w:sz w:val="24"/>
                <w:szCs w:val="24"/>
              </w:rPr>
              <w:t>Показатель</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181E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1 мес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0D023"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3 мес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D8D0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6 мес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930B9"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1 год</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EEC7F"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3 года</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37BF5"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5 лет</w:t>
            </w:r>
          </w:p>
        </w:tc>
      </w:tr>
      <w:tr w:rsidR="00AF1EBB" w:rsidRPr="008521AF" w14:paraId="617991AB" w14:textId="77777777" w:rsidTr="00FF1FEF">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5DCD"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Изменение стоимости пая</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2656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9EC47"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−15,90%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A25EC"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−5,71%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DCF88"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−6,56%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F9DE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−21,43%</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9666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−52,45%</w:t>
            </w:r>
          </w:p>
        </w:tc>
      </w:tr>
      <w:tr w:rsidR="00AF1EBB" w:rsidRPr="008521AF" w14:paraId="54A23C0F" w14:textId="77777777" w:rsidTr="00FF1FEF">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645AF"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lastRenderedPageBreak/>
              <w:t>Изменение СЧА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C080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+0,76%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C593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−20,01%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C6A18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−14,65%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04D3"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−21,76%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5D66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−60,66%</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E7599"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−75,13%</w:t>
            </w:r>
          </w:p>
        </w:tc>
      </w:tr>
    </w:tbl>
    <w:p w14:paraId="6EE6DE3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Источник: составлено автором по данным </w:t>
      </w:r>
      <w:r>
        <w:rPr>
          <w:rFonts w:ascii="Times New Roman" w:eastAsia="Times New Roman" w:hAnsi="Times New Roman" w:cs="Times New Roman"/>
          <w:sz w:val="28"/>
          <w:szCs w:val="28"/>
        </w:rPr>
        <w:t>investfunds</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ru</w:t>
      </w:r>
      <w:r w:rsidRPr="00AF1EBB">
        <w:rPr>
          <w:rFonts w:ascii="Times New Roman" w:eastAsia="Times New Roman" w:hAnsi="Times New Roman" w:cs="Times New Roman"/>
          <w:sz w:val="28"/>
          <w:szCs w:val="28"/>
          <w:lang w:val="ru-RU"/>
        </w:rPr>
        <w:t xml:space="preserve"> на 10.06.2026 [47].</w:t>
      </w:r>
    </w:p>
    <w:p w14:paraId="29E8E5B7" w14:textId="77777777" w:rsidR="00AF1EBB" w:rsidRPr="00AF1EBB" w:rsidRDefault="00AF1EBB" w:rsidP="00AF1EBB">
      <w:pPr>
        <w:spacing w:line="360" w:lineRule="auto"/>
        <w:rPr>
          <w:lang w:val="ru-RU"/>
        </w:rPr>
      </w:pPr>
    </w:p>
    <w:p w14:paraId="66C15440"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Структура портфеля. По состоянию на 30 апреля 2026 года состав десяти крупнейших позиций портфеля фонда характеризуется относительно равномерным распределением весов в диапазоне от 6,32% до 9,80%, что формально свидетельствует об отсутствии гипертрофированной концентрации на отдельном эмитенте [47]. Вместе с тем все включённые позиции принадлежат к единому сырьевому кластеру — металлургии, горной добыче и смежным секторам — что обусловливает высокую положительную межактивную корреляцию и существенно ограничивает реальный диверсификационный эффект. Состав топ-10 активов представлен в таблице ниже.</w:t>
      </w:r>
    </w:p>
    <w:p w14:paraId="21CA12FD" w14:textId="1EA0EBDF"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Таблица </w:t>
      </w:r>
      <w:r w:rsidR="008521AF">
        <w:rPr>
          <w:rFonts w:ascii="Times New Roman" w:eastAsia="Times New Roman" w:hAnsi="Times New Roman" w:cs="Times New Roman"/>
          <w:sz w:val="28"/>
          <w:szCs w:val="28"/>
          <w:lang w:val="ru-RU"/>
        </w:rPr>
        <w:t>2</w:t>
      </w:r>
      <w:r w:rsidRPr="00AF1EBB">
        <w:rPr>
          <w:rFonts w:ascii="Times New Roman" w:eastAsia="Times New Roman" w:hAnsi="Times New Roman" w:cs="Times New Roman"/>
          <w:sz w:val="28"/>
          <w:szCs w:val="28"/>
          <w:lang w:val="ru-RU"/>
        </w:rPr>
        <w:t xml:space="preserve"> – Топ-10 активов портфеля ОПИФ РФИ «ВИМ-Металлургия» на 30.04.</w:t>
      </w:r>
      <w:r w:rsidRPr="006D26AE">
        <w:rPr>
          <w:rFonts w:ascii="Times New Roman" w:eastAsia="Times New Roman" w:hAnsi="Times New Roman" w:cs="Times New Roman"/>
          <w:sz w:val="28"/>
          <w:szCs w:val="28"/>
          <w:highlight w:val="cyan"/>
          <w:lang w:val="ru-RU"/>
        </w:rPr>
        <w:t>2026</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26"/>
        <w:gridCol w:w="2500"/>
      </w:tblGrid>
      <w:tr w:rsidR="00AF1EBB" w:rsidRPr="008521AF" w14:paraId="007EFDF5"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7316D"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b/>
                <w:bCs/>
                <w:sz w:val="24"/>
                <w:szCs w:val="24"/>
              </w:rPr>
              <w:t>Эмитент</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0014F"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b/>
                <w:bCs/>
                <w:sz w:val="24"/>
                <w:szCs w:val="24"/>
              </w:rPr>
              <w:t>Доля в портфеле, %</w:t>
            </w:r>
          </w:p>
        </w:tc>
      </w:tr>
      <w:tr w:rsidR="00AF1EBB" w:rsidRPr="008521AF" w14:paraId="0DF930A0"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153B5"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«ФосАгро»</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506F8"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9,80</w:t>
            </w:r>
          </w:p>
        </w:tc>
      </w:tr>
      <w:tr w:rsidR="00AF1EBB" w:rsidRPr="008521AF" w14:paraId="76303CC5"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B21B9"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«ГМК «Норильский никель»</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98781"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9,52</w:t>
            </w:r>
          </w:p>
        </w:tc>
      </w:tr>
      <w:tr w:rsidR="00AF1EBB" w:rsidRPr="008521AF" w14:paraId="58CAB44C"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985AC3"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«Полюс»</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EB4CB"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9,37</w:t>
            </w:r>
          </w:p>
        </w:tc>
      </w:tr>
      <w:tr w:rsidR="00AF1EBB" w:rsidRPr="008521AF" w14:paraId="696F5C74"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73BED1"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«ММК»</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C57C1"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9,26</w:t>
            </w:r>
          </w:p>
        </w:tc>
      </w:tr>
      <w:tr w:rsidR="00AF1EBB" w:rsidRPr="008521AF" w14:paraId="7C51F445"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CA12"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«РУСАЛ»</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6FF04"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9,17</w:t>
            </w:r>
          </w:p>
        </w:tc>
      </w:tr>
      <w:tr w:rsidR="00AF1EBB" w:rsidRPr="008521AF" w14:paraId="6FAD0715"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07A1"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«Северсталь»</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2A267"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9,12</w:t>
            </w:r>
          </w:p>
        </w:tc>
      </w:tr>
      <w:tr w:rsidR="00AF1EBB" w:rsidRPr="008521AF" w14:paraId="17706F65"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59D46"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«НЛМК»</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F6EF4"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9,04</w:t>
            </w:r>
          </w:p>
        </w:tc>
      </w:tr>
      <w:tr w:rsidR="00AF1EBB" w:rsidRPr="008521AF" w14:paraId="4CFF6222"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6E26C5"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«АЛРОСА»</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D22C6E"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7,23</w:t>
            </w:r>
          </w:p>
        </w:tc>
      </w:tr>
      <w:tr w:rsidR="00AF1EBB" w:rsidRPr="008521AF" w14:paraId="260548E2"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49AF3"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МКПАО «ЭН+ ГРУП»</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94BFF"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6,36</w:t>
            </w:r>
          </w:p>
        </w:tc>
      </w:tr>
      <w:tr w:rsidR="00AF1EBB" w:rsidRPr="008521AF" w14:paraId="51B18724" w14:textId="77777777" w:rsidTr="00FF1FEF">
        <w:tc>
          <w:tcPr>
            <w:tcW w:w="6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C9D860" w14:textId="77777777" w:rsidR="00AF1EBB" w:rsidRPr="008521AF" w:rsidRDefault="00AF1EBB" w:rsidP="00FF1FEF">
            <w:pPr>
              <w:spacing w:line="300" w:lineRule="auto"/>
              <w:rPr>
                <w:sz w:val="24"/>
                <w:szCs w:val="24"/>
              </w:rPr>
            </w:pPr>
            <w:r w:rsidRPr="008521AF">
              <w:rPr>
                <w:rFonts w:ascii="Times New Roman" w:eastAsia="Times New Roman" w:hAnsi="Times New Roman" w:cs="Times New Roman"/>
                <w:sz w:val="24"/>
                <w:szCs w:val="24"/>
              </w:rPr>
              <w:t>ПАО «Корпорация ВСМПО-АВИСМА»</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7E9F48" w14:textId="77777777" w:rsidR="00AF1EBB" w:rsidRPr="008521AF" w:rsidRDefault="00AF1EBB" w:rsidP="00FF1FEF">
            <w:pPr>
              <w:spacing w:line="300" w:lineRule="auto"/>
              <w:jc w:val="center"/>
              <w:rPr>
                <w:sz w:val="24"/>
                <w:szCs w:val="24"/>
              </w:rPr>
            </w:pPr>
            <w:r w:rsidRPr="008521AF">
              <w:rPr>
                <w:rFonts w:ascii="Times New Roman" w:eastAsia="Times New Roman" w:hAnsi="Times New Roman" w:cs="Times New Roman"/>
                <w:sz w:val="24"/>
                <w:szCs w:val="24"/>
              </w:rPr>
              <w:t>6,32</w:t>
            </w:r>
          </w:p>
        </w:tc>
      </w:tr>
    </w:tbl>
    <w:p w14:paraId="229A3ED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Источник: составлено автором по данным </w:t>
      </w:r>
      <w:r>
        <w:rPr>
          <w:rFonts w:ascii="Times New Roman" w:eastAsia="Times New Roman" w:hAnsi="Times New Roman" w:cs="Times New Roman"/>
          <w:sz w:val="28"/>
          <w:szCs w:val="28"/>
        </w:rPr>
        <w:t>investfunds</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ru</w:t>
      </w:r>
      <w:r w:rsidRPr="00AF1EBB">
        <w:rPr>
          <w:rFonts w:ascii="Times New Roman" w:eastAsia="Times New Roman" w:hAnsi="Times New Roman" w:cs="Times New Roman"/>
          <w:sz w:val="28"/>
          <w:szCs w:val="28"/>
          <w:lang w:val="ru-RU"/>
        </w:rPr>
        <w:t xml:space="preserve"> на 30.04.2026 [47].</w:t>
      </w:r>
    </w:p>
    <w:p w14:paraId="12692130" w14:textId="77777777" w:rsidR="00AF1EBB" w:rsidRPr="00AF1EBB" w:rsidRDefault="00AF1EBB" w:rsidP="00AF1EBB">
      <w:pPr>
        <w:spacing w:line="360" w:lineRule="auto"/>
        <w:rPr>
          <w:lang w:val="ru-RU"/>
        </w:rPr>
      </w:pPr>
    </w:p>
    <w:p w14:paraId="662ADD91"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Примечательно, что в составе портфеля присутствуют ПАО «ФосАгро» (химическая промышленность, 9,80%) и ПАО «Полюс» (золотодобыча, 9,37%), что указывает на постепенное расширение отраслевого охвата фонда за пределы узкого сегмента чёрной металлургии. Данные позиции обладают иными факторами доходности по сравнению с металлургическими эмитентами и теоретически способны снижать внутрипортфельную корреляцию. Тем не менее совокупная корреляция доходностей эмитентов сырьевого кластера остаётся высокой ввиду их общей чувствительности к глобальным товарным рынкам, валютному курсу и санкционному фону. Такая структура фактически означает, что фонд воспроизводит риск-профиль сырьевого кластера в целом, а не формирует подлинно диверсифицированный портфель [7, с. 112].</w:t>
      </w:r>
    </w:p>
    <w:p w14:paraId="1582E72F"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Резюмируя параметры структуры и инвестиционной направленности, уместно заключить, что ОПИФ РФИ «ВИМ-Металлургия» соответствует модели узкоспециализированного, слабо диверсифицированного отраслевого фонда. Концентрация подавляющей части активов в секторе сырья означает, что портфель в меньшей степени пользуется защитными эффектами межотраслевой диверсификации и, следовательно, в большей мере подвержен систематическим отраслевым рискам [29, с. 14].</w:t>
      </w:r>
    </w:p>
    <w:p w14:paraId="59EBB1F1" w14:textId="77777777" w:rsidR="00AF1EBB" w:rsidRPr="00AF1EBB" w:rsidRDefault="00AF1EBB" w:rsidP="00AF1EBB">
      <w:pPr>
        <w:spacing w:line="360" w:lineRule="auto"/>
        <w:ind w:firstLine="709"/>
        <w:jc w:val="both"/>
        <w:rPr>
          <w:lang w:val="ru-RU"/>
        </w:rPr>
      </w:pPr>
      <w:r w:rsidRPr="00FA75E4">
        <w:rPr>
          <w:rFonts w:ascii="Times New Roman" w:eastAsia="Times New Roman" w:hAnsi="Times New Roman" w:cs="Times New Roman"/>
          <w:color w:val="FF0000"/>
          <w:sz w:val="28"/>
          <w:szCs w:val="28"/>
          <w:lang w:val="ru-RU"/>
        </w:rPr>
        <w:t>Инфраструктурные расходы</w:t>
      </w:r>
      <w:r w:rsidRPr="00AF1EBB">
        <w:rPr>
          <w:rFonts w:ascii="Times New Roman" w:eastAsia="Times New Roman" w:hAnsi="Times New Roman" w:cs="Times New Roman"/>
          <w:sz w:val="28"/>
          <w:szCs w:val="28"/>
          <w:lang w:val="ru-RU"/>
        </w:rPr>
        <w:t xml:space="preserve">. Инвестиционная привлекательность и итоговое качество паевого инвестиционного фонда для конечного инвестора определяются не только валовой доходностью базовых активов, но и совокупным бременем инфраструктурных издержек, которые систематически снижают чистый финансовый результат [11, с. 42]. Согласно Правилам </w:t>
      </w:r>
      <w:r w:rsidRPr="00AF1EBB">
        <w:rPr>
          <w:rFonts w:ascii="Times New Roman" w:eastAsia="Times New Roman" w:hAnsi="Times New Roman" w:cs="Times New Roman"/>
          <w:sz w:val="28"/>
          <w:szCs w:val="28"/>
          <w:lang w:val="ru-RU"/>
        </w:rPr>
        <w:lastRenderedPageBreak/>
        <w:t>доверительного управления ОПИФ РФИ «ВИМ-Металлургия», вознаграждение управляющей компании установлено на уровне не более 3,00% от среднегодовой стоимости чистых активов фонда [50]. Совокупные вознаграждения специализированному депозитарию, регистратору и аудитору ограничены максимальным размером прочих расходов, оплачиваемых за счёт имущества фонда, на уровне не более 0,05% от среднегодовой СЧА (с учётом НДС) [50].</w:t>
      </w:r>
    </w:p>
    <w:p w14:paraId="42164969" w14:textId="6ABF69C8"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Таким образом, предельная суммарная нагрузка на активы фонда по статье вознаграждений и инфраструктурных расходов достигает порядка 3,05% годовых от СЧА. В современной практике для агрегированной оценки подобных расходов используется совокупный коэффициент затрат (</w:t>
      </w:r>
      <w:r>
        <w:rPr>
          <w:rFonts w:ascii="Times New Roman" w:eastAsia="Times New Roman" w:hAnsi="Times New Roman" w:cs="Times New Roman"/>
          <w:sz w:val="28"/>
          <w:szCs w:val="28"/>
        </w:rPr>
        <w:t>Total</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Expense</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Ratio</w:t>
      </w:r>
      <w:r w:rsidRPr="00AF1EB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TER</w:t>
      </w:r>
      <w:r w:rsidRPr="00AF1EBB">
        <w:rPr>
          <w:rFonts w:ascii="Times New Roman" w:eastAsia="Times New Roman" w:hAnsi="Times New Roman" w:cs="Times New Roman"/>
          <w:sz w:val="28"/>
          <w:szCs w:val="28"/>
          <w:lang w:val="ru-RU"/>
        </w:rPr>
        <w:t>). Наиболее существенное математическое воздействие инфраструктурные издержки оказывают на долгосрочный результат через искажение эффекта сложного процента. В стандартной формализации будущая стоимость инвестиции (</w:t>
      </w:r>
      <w:r>
        <w:rPr>
          <w:rFonts w:ascii="Times New Roman" w:eastAsia="Times New Roman" w:hAnsi="Times New Roman" w:cs="Times New Roman"/>
          <w:sz w:val="28"/>
          <w:szCs w:val="28"/>
        </w:rPr>
        <w:t>FV</w:t>
      </w:r>
      <w:r w:rsidRPr="00AF1EBB">
        <w:rPr>
          <w:rFonts w:ascii="Times New Roman" w:eastAsia="Times New Roman" w:hAnsi="Times New Roman" w:cs="Times New Roman"/>
          <w:sz w:val="28"/>
          <w:szCs w:val="28"/>
          <w:lang w:val="ru-RU"/>
        </w:rPr>
        <w:t xml:space="preserve">) при наличии ежегодных комиссий </w:t>
      </w:r>
      <w:r>
        <w:rPr>
          <w:rFonts w:ascii="Times New Roman" w:eastAsia="Times New Roman" w:hAnsi="Times New Roman" w:cs="Times New Roman"/>
          <w:sz w:val="28"/>
          <w:szCs w:val="28"/>
        </w:rPr>
        <w:t>c</w:t>
      </w:r>
      <w:r w:rsidRPr="00AF1EBB">
        <w:rPr>
          <w:rFonts w:ascii="Times New Roman" w:eastAsia="Times New Roman" w:hAnsi="Times New Roman" w:cs="Times New Roman"/>
          <w:sz w:val="28"/>
          <w:szCs w:val="28"/>
          <w:lang w:val="ru-RU"/>
        </w:rPr>
        <w:t xml:space="preserve"> аппроксимируется зависимостью</w:t>
      </w:r>
      <w:r w:rsidR="008521AF">
        <w:rPr>
          <w:rFonts w:ascii="Times New Roman" w:eastAsia="Times New Roman" w:hAnsi="Times New Roman" w:cs="Times New Roman"/>
          <w:sz w:val="28"/>
          <w:szCs w:val="28"/>
          <w:lang w:val="ru-RU"/>
        </w:rPr>
        <w:t xml:space="preserve"> (11)</w:t>
      </w:r>
      <w:r w:rsidRPr="00AF1EBB">
        <w:rPr>
          <w:rFonts w:ascii="Times New Roman" w:eastAsia="Times New Roman" w:hAnsi="Times New Roman" w:cs="Times New Roman"/>
          <w:sz w:val="28"/>
          <w:szCs w:val="28"/>
          <w:lang w:val="ru-RU"/>
        </w:rPr>
        <w:t>:</w:t>
      </w:r>
    </w:p>
    <w:p w14:paraId="6C0B1955" w14:textId="6B73DD2C" w:rsidR="00AF1EBB" w:rsidRPr="00AF1EBB" w:rsidRDefault="008521AF" w:rsidP="00AF1EBB">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AF1EBB" w:rsidRPr="00AF1EBB">
        <w:rPr>
          <w:rFonts w:ascii="Times New Roman" w:hAnsi="Times New Roman" w:cs="Times New Roman"/>
          <w:sz w:val="28"/>
          <w:szCs w:val="28"/>
          <w:lang w:val="ru-RU"/>
        </w:rPr>
        <w:t xml:space="preserve">FV = PV · (1 + r − c)n,  </w:t>
      </w:r>
      <w:r>
        <w:rPr>
          <w:rFonts w:ascii="Times New Roman" w:hAnsi="Times New Roman" w:cs="Times New Roman"/>
          <w:sz w:val="28"/>
          <w:szCs w:val="28"/>
          <w:lang w:val="ru-RU"/>
        </w:rPr>
        <w:t xml:space="preserve">                         </w:t>
      </w:r>
      <w:r w:rsidR="00AF1EBB" w:rsidRPr="00AF1EBB">
        <w:rPr>
          <w:rFonts w:ascii="Times New Roman" w:hAnsi="Times New Roman" w:cs="Times New Roman"/>
          <w:sz w:val="28"/>
          <w:szCs w:val="28"/>
          <w:lang w:val="ru-RU"/>
        </w:rPr>
        <w:t xml:space="preserve"> </w:t>
      </w:r>
      <w:r w:rsidR="00AF1EBB" w:rsidRPr="006D26AE">
        <w:rPr>
          <w:rFonts w:ascii="Times New Roman" w:hAnsi="Times New Roman" w:cs="Times New Roman"/>
          <w:color w:val="FF0000"/>
          <w:sz w:val="28"/>
          <w:szCs w:val="28"/>
          <w:lang w:val="ru-RU"/>
        </w:rPr>
        <w:t>(</w:t>
      </w:r>
      <w:r w:rsidRPr="006D26AE">
        <w:rPr>
          <w:rFonts w:ascii="Times New Roman" w:hAnsi="Times New Roman" w:cs="Times New Roman"/>
          <w:color w:val="FF0000"/>
          <w:sz w:val="28"/>
          <w:szCs w:val="28"/>
          <w:lang w:val="ru-RU"/>
        </w:rPr>
        <w:t>11</w:t>
      </w:r>
      <w:r w:rsidR="00AF1EBB" w:rsidRPr="006D26AE">
        <w:rPr>
          <w:rFonts w:ascii="Times New Roman" w:hAnsi="Times New Roman" w:cs="Times New Roman"/>
          <w:color w:val="FF0000"/>
          <w:sz w:val="28"/>
          <w:szCs w:val="28"/>
          <w:lang w:val="ru-RU"/>
        </w:rPr>
        <w:t>)</w:t>
      </w:r>
    </w:p>
    <w:p w14:paraId="7B387FC7" w14:textId="3F24B3F5" w:rsidR="00FA75E4" w:rsidRPr="00FA75E4" w:rsidRDefault="00FA75E4" w:rsidP="00AF1EBB">
      <w:pPr>
        <w:spacing w:line="360" w:lineRule="auto"/>
        <w:ind w:firstLine="709"/>
        <w:jc w:val="both"/>
        <w:rPr>
          <w:rFonts w:ascii="Times New Roman" w:hAnsi="Times New Roman" w:cs="Times New Roman"/>
          <w:color w:val="FF0000"/>
          <w:sz w:val="28"/>
          <w:szCs w:val="28"/>
          <w:lang w:val="ru-RU"/>
        </w:rPr>
      </w:pPr>
      <w:r w:rsidRPr="00FA75E4">
        <w:rPr>
          <w:rFonts w:ascii="Times New Roman" w:hAnsi="Times New Roman" w:cs="Times New Roman"/>
          <w:color w:val="FF0000"/>
          <w:sz w:val="28"/>
          <w:szCs w:val="28"/>
          <w:lang w:val="ru-RU"/>
        </w:rPr>
        <w:t>Расшифровываем формулу, небрежно</w:t>
      </w:r>
    </w:p>
    <w:p w14:paraId="00D7CA11" w14:textId="77777777" w:rsidR="00AF1EBB" w:rsidRPr="00AF1EBB" w:rsidRDefault="00AF1EBB" w:rsidP="00AF1EBB">
      <w:pPr>
        <w:spacing w:line="360" w:lineRule="auto"/>
        <w:ind w:firstLine="709"/>
        <w:jc w:val="both"/>
        <w:rPr>
          <w:rFonts w:ascii="Times New Roman" w:hAnsi="Times New Roman" w:cs="Times New Roman"/>
          <w:sz w:val="28"/>
          <w:szCs w:val="28"/>
          <w:lang w:val="ru-RU"/>
        </w:rPr>
      </w:pPr>
      <w:r w:rsidRPr="00AF1EBB">
        <w:rPr>
          <w:rFonts w:ascii="Times New Roman" w:hAnsi="Times New Roman" w:cs="Times New Roman"/>
          <w:sz w:val="28"/>
          <w:szCs w:val="28"/>
          <w:lang w:val="ru-RU"/>
        </w:rPr>
        <w:t xml:space="preserve">Поскольку n выступает экспоненциальным множителем, даже умеренные по величине ежегодные удержания способны сформировать кумулятивный эффект, особенно заметный на длинных временных интервалах. В условиях зафиксированной отрицательной доходности портфеля (−6,56% за год, −52,45% за пять лет) уровень инфраструктурных издержек в размере ~3,05% годовых оказывает дополнительное угнетающее воздействие на чистый финансовый результат пайщика. Реальная (инфляционно скорректированная) доходность вложений принимает тем самым глубоко отрицательные значения, что придаёт особую актуальность </w:t>
      </w:r>
      <w:r w:rsidRPr="00AF1EBB">
        <w:rPr>
          <w:rFonts w:ascii="Times New Roman" w:hAnsi="Times New Roman" w:cs="Times New Roman"/>
          <w:sz w:val="28"/>
          <w:szCs w:val="28"/>
          <w:lang w:val="ru-RU"/>
        </w:rPr>
        <w:lastRenderedPageBreak/>
        <w:t>разработке мер по повышению качества портфеля, рассматриваемых в главе 3 [47].</w:t>
      </w:r>
    </w:p>
    <w:p w14:paraId="499E50DD" w14:textId="77777777" w:rsidR="00EC4086" w:rsidRPr="00EC4086" w:rsidRDefault="00EC4086" w:rsidP="00AF1EBB">
      <w:pPr>
        <w:pStyle w:val="2"/>
        <w:spacing w:before="0" w:after="0" w:line="360" w:lineRule="auto"/>
        <w:jc w:val="left"/>
        <w:rPr>
          <w:bCs/>
          <w:lang w:val="ru-RU"/>
        </w:rPr>
      </w:pPr>
    </w:p>
    <w:p w14:paraId="599109D9" w14:textId="77777777" w:rsidR="005F2182" w:rsidRPr="00EC4086" w:rsidRDefault="005F2182" w:rsidP="004605F7">
      <w:pPr>
        <w:pStyle w:val="2"/>
        <w:spacing w:before="0" w:after="0" w:line="360" w:lineRule="auto"/>
        <w:rPr>
          <w:bCs/>
          <w:lang w:val="ru-RU"/>
        </w:rPr>
      </w:pPr>
      <w:bookmarkStart w:id="8" w:name="_Toc232337642"/>
      <w:r w:rsidRPr="00EC4086">
        <w:rPr>
          <w:bCs/>
          <w:lang w:val="ru-RU"/>
        </w:rPr>
        <w:t>2.2. Оценка инвестиционной привлекательности крупнейших объектов инвестирования ОПИФ РФИ «ВИМ-Металлургия»</w:t>
      </w:r>
      <w:bookmarkEnd w:id="8"/>
    </w:p>
    <w:p w14:paraId="2C33A253" w14:textId="77777777" w:rsidR="005F2182" w:rsidRPr="00EC4086" w:rsidRDefault="005F2182" w:rsidP="004605F7">
      <w:pPr>
        <w:spacing w:line="360" w:lineRule="auto"/>
        <w:jc w:val="both"/>
        <w:rPr>
          <w:rFonts w:ascii="Times New Roman" w:hAnsi="Times New Roman" w:cs="Times New Roman"/>
          <w:sz w:val="28"/>
          <w:szCs w:val="28"/>
          <w:lang w:val="ru-RU"/>
        </w:rPr>
      </w:pPr>
    </w:p>
    <w:p w14:paraId="411CC222"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Риск-профиль и потенциальная динамика стоимости чистых активов в значительной степени определяются фундаментальными характеристиками предприятий-эмитентов, которые формируют ядро рассматриваемого портфеля. В настоящем параграфе представлен развернутый финансовый анализ пяти компаний, обладающих наибольшим удельным весом в структуре активов фонда; анализ опирается на консолидированную отчетность, подготовленную по МСФО и РСБУ, за последние доступные отчетные периоды [11, с. 132].</w:t>
      </w:r>
    </w:p>
    <w:p w14:paraId="35952B7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ПАО «Северсталь» представляет собой вертикально интегрированную металлургическую и горнодобывающую группу и традиционно рассматривается как один из системообразующих участников российской черной металлургии [33, с. 15]. Ниже приведены подробные расчёты ключевых финансовых показателей на основе годовой консолидированной отчётности по МСФО за 2023 год [48].</w:t>
      </w:r>
    </w:p>
    <w:p w14:paraId="36B1D05F" w14:textId="3E325AFD"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текущей ликвидности рассчитывается по общей формуле</w:t>
      </w:r>
      <w:r w:rsidR="008521AF">
        <w:rPr>
          <w:rFonts w:ascii="Times New Roman" w:eastAsia="Times New Roman" w:hAnsi="Times New Roman" w:cs="Times New Roman"/>
          <w:sz w:val="28"/>
          <w:szCs w:val="28"/>
          <w:lang w:val="ru-RU"/>
        </w:rPr>
        <w:t xml:space="preserve"> (12)</w:t>
      </w:r>
      <w:r w:rsidRPr="00AF1EBB">
        <w:rPr>
          <w:rFonts w:ascii="Times New Roman" w:eastAsia="Times New Roman" w:hAnsi="Times New Roman" w:cs="Times New Roman"/>
          <w:sz w:val="28"/>
          <w:szCs w:val="28"/>
          <w:lang w:val="ru-RU"/>
        </w:rPr>
        <w:t>:</w:t>
      </w:r>
    </w:p>
    <w:p w14:paraId="5E939950" w14:textId="0D420159" w:rsidR="00AF1EBB" w:rsidRPr="006D26AE" w:rsidRDefault="008521AF" w:rsidP="00AF1EBB">
      <w:pPr>
        <w:spacing w:line="360" w:lineRule="auto"/>
        <w:jc w:val="center"/>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Ктл = Оборотные активы / Краткосрочные обязательства</w:t>
      </w:r>
      <w:r w:rsidRPr="006D26AE">
        <w:rPr>
          <w:rFonts w:ascii="Times New Roman" w:eastAsia="Times New Roman" w:hAnsi="Times New Roman" w:cs="Times New Roman"/>
          <w:color w:val="FF0000"/>
          <w:sz w:val="28"/>
          <w:szCs w:val="28"/>
          <w:lang w:val="ru-RU"/>
        </w:rPr>
        <w:t>,        (12)</w:t>
      </w:r>
    </w:p>
    <w:p w14:paraId="5F6D72DE" w14:textId="1B849937" w:rsidR="00AF1EBB" w:rsidRPr="004B7B6E" w:rsidRDefault="00AF1EBB" w:rsidP="00AF1EBB">
      <w:pPr>
        <w:spacing w:line="360" w:lineRule="auto"/>
        <w:ind w:firstLine="709"/>
        <w:jc w:val="both"/>
        <w:rPr>
          <w:rFonts w:ascii="Times New Roman" w:eastAsia="Times New Roman" w:hAnsi="Times New Roman" w:cs="Times New Roman"/>
          <w:color w:val="FF0000"/>
          <w:sz w:val="28"/>
          <w:szCs w:val="28"/>
          <w:lang w:val="ru-RU"/>
        </w:rPr>
      </w:pPr>
      <w:r w:rsidRPr="00AF1EBB">
        <w:rPr>
          <w:rFonts w:ascii="Times New Roman" w:eastAsia="Times New Roman" w:hAnsi="Times New Roman" w:cs="Times New Roman"/>
          <w:sz w:val="28"/>
          <w:szCs w:val="28"/>
          <w:lang w:val="ru-RU"/>
        </w:rPr>
        <w:t xml:space="preserve">Подставляя данные отчётности ПАО «Северсталь» </w:t>
      </w:r>
      <w:r w:rsidRPr="004B7B6E">
        <w:rPr>
          <w:rFonts w:ascii="Times New Roman" w:eastAsia="Times New Roman" w:hAnsi="Times New Roman" w:cs="Times New Roman"/>
          <w:color w:val="FF0000"/>
          <w:sz w:val="28"/>
          <w:szCs w:val="28"/>
          <w:lang w:val="ru-RU"/>
        </w:rPr>
        <w:t xml:space="preserve">за 2023 </w:t>
      </w:r>
      <w:r w:rsidRPr="00AF1EBB">
        <w:rPr>
          <w:rFonts w:ascii="Times New Roman" w:eastAsia="Times New Roman" w:hAnsi="Times New Roman" w:cs="Times New Roman"/>
          <w:sz w:val="28"/>
          <w:szCs w:val="28"/>
          <w:lang w:val="ru-RU"/>
        </w:rPr>
        <w:t>г. (оборотные активы — 408,3 млрд руб.; краткосрочные обязательства — 185,5 млрд руб.) [48]</w:t>
      </w:r>
      <w:r w:rsidR="008521AF">
        <w:rPr>
          <w:rFonts w:ascii="Times New Roman" w:eastAsia="Times New Roman" w:hAnsi="Times New Roman" w:cs="Times New Roman"/>
          <w:sz w:val="28"/>
          <w:szCs w:val="28"/>
          <w:lang w:val="ru-RU"/>
        </w:rPr>
        <w:t xml:space="preserve"> </w:t>
      </w:r>
      <w:r w:rsidR="008521AF" w:rsidRPr="008521AF">
        <w:rPr>
          <w:rFonts w:ascii="Times New Roman" w:eastAsia="Times New Roman" w:hAnsi="Times New Roman" w:cs="Times New Roman"/>
          <w:sz w:val="28"/>
          <w:szCs w:val="28"/>
          <w:lang w:val="ru-RU"/>
        </w:rPr>
        <w:t>(13)</w:t>
      </w:r>
      <w:r w:rsidRPr="00AF1EBB">
        <w:rPr>
          <w:rFonts w:ascii="Times New Roman" w:eastAsia="Times New Roman" w:hAnsi="Times New Roman" w:cs="Times New Roman"/>
          <w:sz w:val="28"/>
          <w:szCs w:val="28"/>
          <w:lang w:val="ru-RU"/>
        </w:rPr>
        <w:t>:</w:t>
      </w:r>
      <w:r w:rsidR="004B7B6E">
        <w:rPr>
          <w:rFonts w:ascii="Times New Roman" w:eastAsia="Times New Roman" w:hAnsi="Times New Roman" w:cs="Times New Roman"/>
          <w:sz w:val="28"/>
          <w:szCs w:val="28"/>
          <w:lang w:val="ru-RU"/>
        </w:rPr>
        <w:t xml:space="preserve"> </w:t>
      </w:r>
      <w:r w:rsidR="004B7B6E" w:rsidRPr="004B7B6E">
        <w:rPr>
          <w:rFonts w:ascii="Times New Roman" w:eastAsia="Times New Roman" w:hAnsi="Times New Roman" w:cs="Times New Roman"/>
          <w:color w:val="FF0000"/>
          <w:sz w:val="28"/>
          <w:szCs w:val="28"/>
          <w:highlight w:val="yellow"/>
          <w:lang w:val="ru-RU"/>
        </w:rPr>
        <w:t>Почему расчеты за 23 год. У нас уже 26</w:t>
      </w:r>
    </w:p>
    <w:p w14:paraId="04DCA291" w14:textId="294031C0" w:rsidR="00AF1EBB" w:rsidRPr="004B7B6E" w:rsidRDefault="008521AF" w:rsidP="00AF1EBB">
      <w:pPr>
        <w:spacing w:line="360" w:lineRule="auto"/>
        <w:jc w:val="center"/>
        <w:rPr>
          <w:color w:val="FF0000"/>
          <w:lang w:val="ru-RU"/>
        </w:rPr>
      </w:pPr>
      <w:r>
        <w:rPr>
          <w:rFonts w:ascii="Times New Roman" w:eastAsia="Times New Roman" w:hAnsi="Times New Roman" w:cs="Times New Roman"/>
          <w:sz w:val="28"/>
          <w:szCs w:val="28"/>
          <w:lang w:val="ru-RU"/>
        </w:rPr>
        <w:t xml:space="preserve">                                                  </w:t>
      </w:r>
      <w:r w:rsidR="00AF1EBB" w:rsidRPr="00AF1EBB">
        <w:rPr>
          <w:rFonts w:ascii="Times New Roman" w:eastAsia="Times New Roman" w:hAnsi="Times New Roman" w:cs="Times New Roman"/>
          <w:sz w:val="28"/>
          <w:szCs w:val="28"/>
          <w:lang w:val="ru-RU"/>
        </w:rPr>
        <w:t>Ктл = 408,3 / 185,5 = 2,20</w:t>
      </w:r>
      <w:r>
        <w:rPr>
          <w:rFonts w:ascii="Times New Roman" w:eastAsia="Times New Roman" w:hAnsi="Times New Roman" w:cs="Times New Roman"/>
          <w:sz w:val="28"/>
          <w:szCs w:val="28"/>
          <w:lang w:val="ru-RU"/>
        </w:rPr>
        <w:t xml:space="preserve">,                                 </w:t>
      </w:r>
      <w:r w:rsidRPr="004B7B6E">
        <w:rPr>
          <w:rFonts w:ascii="Times New Roman" w:eastAsia="Times New Roman" w:hAnsi="Times New Roman" w:cs="Times New Roman"/>
          <w:color w:val="FF0000"/>
          <w:sz w:val="28"/>
          <w:szCs w:val="28"/>
          <w:lang w:val="ru-RU"/>
        </w:rPr>
        <w:t>(13)</w:t>
      </w:r>
    </w:p>
    <w:p w14:paraId="1F55481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Результат 2,20 устойчиво превышает ориентир 2,0, что характеризует высокий запас краткосрочной платежеспособности.</w:t>
      </w:r>
    </w:p>
    <w:p w14:paraId="25BAF1F9" w14:textId="3DF058D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Рентабельность собственного капитала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w:t>
      </w:r>
      <w:r w:rsidR="008521AF">
        <w:rPr>
          <w:rFonts w:ascii="Times New Roman" w:eastAsia="Times New Roman" w:hAnsi="Times New Roman" w:cs="Times New Roman"/>
          <w:sz w:val="28"/>
          <w:szCs w:val="28"/>
          <w:lang w:val="ru-RU"/>
        </w:rPr>
        <w:t xml:space="preserve"> (14)</w:t>
      </w:r>
      <w:r w:rsidRPr="00AF1EBB">
        <w:rPr>
          <w:rFonts w:ascii="Times New Roman" w:eastAsia="Times New Roman" w:hAnsi="Times New Roman" w:cs="Times New Roman"/>
          <w:sz w:val="28"/>
          <w:szCs w:val="28"/>
          <w:lang w:val="ru-RU"/>
        </w:rPr>
        <w:t>:</w:t>
      </w:r>
    </w:p>
    <w:p w14:paraId="0FE1949C" w14:textId="2953495A" w:rsidR="00AF1EBB" w:rsidRPr="008521AF" w:rsidRDefault="008521AF"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ROE = Чистая прибыль / Собственный капитал × 100%</w:t>
      </w:r>
      <w:r>
        <w:rPr>
          <w:rFonts w:ascii="Times New Roman" w:eastAsia="Times New Roman" w:hAnsi="Times New Roman" w:cs="Times New Roman"/>
          <w:sz w:val="28"/>
          <w:szCs w:val="28"/>
          <w:lang w:val="ru-RU"/>
        </w:rPr>
        <w:t>,           (14)</w:t>
      </w:r>
    </w:p>
    <w:p w14:paraId="5C0ECC28" w14:textId="3324C7E0"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Чистая прибыль ПАО «Северсталь» за 2023 г. — 193,4 млрд руб.; среднегодовой собственный капитал — 613,7 млрд руб. [48]</w:t>
      </w:r>
      <w:r w:rsidR="008521AF">
        <w:rPr>
          <w:rFonts w:ascii="Times New Roman" w:eastAsia="Times New Roman" w:hAnsi="Times New Roman" w:cs="Times New Roman"/>
          <w:sz w:val="28"/>
          <w:szCs w:val="28"/>
          <w:lang w:val="ru-RU"/>
        </w:rPr>
        <w:t xml:space="preserve"> (15)</w:t>
      </w:r>
      <w:r w:rsidRPr="00AF1EBB">
        <w:rPr>
          <w:rFonts w:ascii="Times New Roman" w:eastAsia="Times New Roman" w:hAnsi="Times New Roman" w:cs="Times New Roman"/>
          <w:sz w:val="28"/>
          <w:szCs w:val="28"/>
          <w:lang w:val="ru-RU"/>
        </w:rPr>
        <w:t>:</w:t>
      </w:r>
    </w:p>
    <w:p w14:paraId="3EBB102B" w14:textId="67EDF8B7" w:rsidR="00AF1EBB" w:rsidRPr="004B7B6E" w:rsidRDefault="008521AF" w:rsidP="00AF1EBB">
      <w:pPr>
        <w:spacing w:line="360" w:lineRule="auto"/>
        <w:jc w:val="center"/>
        <w:rPr>
          <w:color w:val="FF0000"/>
          <w:lang w:val="ru-RU"/>
        </w:rPr>
      </w:pPr>
      <w:r>
        <w:rPr>
          <w:rFonts w:ascii="Times New Roman" w:eastAsia="Times New Roman" w:hAnsi="Times New Roman" w:cs="Times New Roman"/>
          <w:sz w:val="28"/>
          <w:szCs w:val="28"/>
          <w:lang w:val="ru-RU"/>
        </w:rPr>
        <w:t xml:space="preserve">                              </w:t>
      </w:r>
      <w:r w:rsidR="00AF1EBB">
        <w:rPr>
          <w:rFonts w:ascii="Times New Roman" w:eastAsia="Times New Roman" w:hAnsi="Times New Roman" w:cs="Times New Roman"/>
          <w:sz w:val="28"/>
          <w:szCs w:val="28"/>
        </w:rPr>
        <w:t>ROE</w:t>
      </w:r>
      <w:r w:rsidR="00AF1EBB" w:rsidRPr="00AF1EBB">
        <w:rPr>
          <w:rFonts w:ascii="Times New Roman" w:eastAsia="Times New Roman" w:hAnsi="Times New Roman" w:cs="Times New Roman"/>
          <w:sz w:val="28"/>
          <w:szCs w:val="28"/>
          <w:lang w:val="ru-RU"/>
        </w:rPr>
        <w:t xml:space="preserve"> = 193,4 / 613,7 × 100% = 31,5%</w:t>
      </w:r>
      <w:r>
        <w:rPr>
          <w:rFonts w:ascii="Times New Roman" w:eastAsia="Times New Roman" w:hAnsi="Times New Roman" w:cs="Times New Roman"/>
          <w:sz w:val="28"/>
          <w:szCs w:val="28"/>
          <w:lang w:val="ru-RU"/>
        </w:rPr>
        <w:t xml:space="preserve">,                                </w:t>
      </w:r>
      <w:r w:rsidRPr="004B7B6E">
        <w:rPr>
          <w:rFonts w:ascii="Times New Roman" w:eastAsia="Times New Roman" w:hAnsi="Times New Roman" w:cs="Times New Roman"/>
          <w:color w:val="FF0000"/>
          <w:sz w:val="28"/>
          <w:szCs w:val="28"/>
          <w:lang w:val="ru-RU"/>
        </w:rPr>
        <w:t>(15)</w:t>
      </w:r>
    </w:p>
    <w:p w14:paraId="2968223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Рентабельность активов (</w:t>
      </w:r>
      <w:r>
        <w:rPr>
          <w:rFonts w:ascii="Times New Roman" w:eastAsia="Times New Roman" w:hAnsi="Times New Roman" w:cs="Times New Roman"/>
          <w:sz w:val="28"/>
          <w:szCs w:val="28"/>
        </w:rPr>
        <w:t>ROA</w:t>
      </w:r>
      <w:r w:rsidRPr="00AF1EBB">
        <w:rPr>
          <w:rFonts w:ascii="Times New Roman" w:eastAsia="Times New Roman" w:hAnsi="Times New Roman" w:cs="Times New Roman"/>
          <w:sz w:val="28"/>
          <w:szCs w:val="28"/>
          <w:lang w:val="ru-RU"/>
        </w:rPr>
        <w:t xml:space="preserve"> = Чистая прибыль / Активы × 100%): 193,4 / 992,1 × 100% = 19,5%. Маржинальность по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устойчиво превосходит среднеотраслевые значения, что согласуется с гипотезой о контроле издержек и масштабном эффекте.</w:t>
      </w:r>
    </w:p>
    <w:p w14:paraId="1AF503E7" w14:textId="6711CB51" w:rsidR="00AF1EBB" w:rsidRPr="004B7B6E" w:rsidRDefault="008521AF" w:rsidP="00AF1EBB">
      <w:pPr>
        <w:spacing w:line="360" w:lineRule="auto"/>
        <w:ind w:firstLine="709"/>
        <w:jc w:val="both"/>
        <w:rPr>
          <w:color w:val="FF0000"/>
          <w:lang w:val="ru-RU"/>
        </w:rPr>
      </w:pPr>
      <w:r w:rsidRPr="008521AF">
        <w:rPr>
          <w:rFonts w:ascii="Times New Roman" w:eastAsia="Times New Roman" w:hAnsi="Times New Roman" w:cs="Times New Roman"/>
          <w:sz w:val="28"/>
          <w:szCs w:val="28"/>
          <w:lang w:val="ru-RU"/>
        </w:rPr>
        <w:t xml:space="preserve">Для оценки </w:t>
      </w:r>
      <w:r w:rsidR="00AF1EBB" w:rsidRPr="008521AF">
        <w:rPr>
          <w:rFonts w:ascii="Times New Roman" w:eastAsia="Times New Roman" w:hAnsi="Times New Roman" w:cs="Times New Roman"/>
          <w:sz w:val="28"/>
          <w:szCs w:val="28"/>
          <w:lang w:val="ru-RU"/>
        </w:rPr>
        <w:t>риска банкротства (</w:t>
      </w:r>
      <w:r w:rsidR="00AF1EBB" w:rsidRPr="008521AF">
        <w:rPr>
          <w:rFonts w:ascii="Times New Roman" w:eastAsia="Times New Roman" w:hAnsi="Times New Roman" w:cs="Times New Roman"/>
          <w:sz w:val="28"/>
          <w:szCs w:val="28"/>
        </w:rPr>
        <w:t>Z</w:t>
      </w:r>
      <w:r w:rsidR="00AF1EBB" w:rsidRPr="008521AF">
        <w:rPr>
          <w:rFonts w:ascii="Times New Roman" w:eastAsia="Times New Roman" w:hAnsi="Times New Roman" w:cs="Times New Roman"/>
          <w:sz w:val="28"/>
          <w:szCs w:val="28"/>
          <w:lang w:val="ru-RU"/>
        </w:rPr>
        <w:t>-счёт Альтмана)</w:t>
      </w:r>
      <w:r w:rsidRPr="008521AF">
        <w:rPr>
          <w:rFonts w:ascii="Times New Roman" w:eastAsia="Times New Roman" w:hAnsi="Times New Roman" w:cs="Times New Roman"/>
          <w:sz w:val="28"/>
          <w:szCs w:val="28"/>
          <w:lang w:val="ru-RU"/>
        </w:rPr>
        <w:t xml:space="preserve"> и</w:t>
      </w:r>
      <w:r w:rsidR="00AF1EBB" w:rsidRPr="008521AF">
        <w:rPr>
          <w:rFonts w:ascii="Times New Roman" w:eastAsia="Times New Roman" w:hAnsi="Times New Roman" w:cs="Times New Roman"/>
          <w:sz w:val="28"/>
          <w:szCs w:val="28"/>
          <w:lang w:val="ru-RU"/>
        </w:rPr>
        <w:t>спользуется пятифакторная модель для публичных компаний [43]</w:t>
      </w:r>
      <w:r>
        <w:rPr>
          <w:rFonts w:ascii="Times New Roman" w:eastAsia="Times New Roman" w:hAnsi="Times New Roman" w:cs="Times New Roman"/>
          <w:sz w:val="28"/>
          <w:szCs w:val="28"/>
          <w:lang w:val="ru-RU"/>
        </w:rPr>
        <w:t xml:space="preserve"> </w:t>
      </w:r>
      <w:r w:rsidRPr="004B7B6E">
        <w:rPr>
          <w:rFonts w:ascii="Times New Roman" w:eastAsia="Times New Roman" w:hAnsi="Times New Roman" w:cs="Times New Roman"/>
          <w:color w:val="FF0000"/>
          <w:sz w:val="28"/>
          <w:szCs w:val="28"/>
          <w:lang w:val="ru-RU"/>
        </w:rPr>
        <w:t>(16)</w:t>
      </w:r>
      <w:r w:rsidR="00AF1EBB" w:rsidRPr="004B7B6E">
        <w:rPr>
          <w:rFonts w:ascii="Times New Roman" w:eastAsia="Times New Roman" w:hAnsi="Times New Roman" w:cs="Times New Roman"/>
          <w:color w:val="FF0000"/>
          <w:sz w:val="28"/>
          <w:szCs w:val="28"/>
          <w:lang w:val="ru-RU"/>
        </w:rPr>
        <w:t>:</w:t>
      </w:r>
    </w:p>
    <w:p w14:paraId="44A374AF" w14:textId="378835F6" w:rsidR="00AF1EBB" w:rsidRPr="008521AF"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rPr>
        <w:t>Z</w:t>
      </w:r>
      <w:r w:rsidR="00AF1EBB" w:rsidRPr="008521AF">
        <w:rPr>
          <w:rFonts w:ascii="Times New Roman" w:eastAsia="Times New Roman" w:hAnsi="Times New Roman" w:cs="Times New Roman"/>
          <w:sz w:val="28"/>
          <w:szCs w:val="28"/>
          <w:lang w:val="ru-RU"/>
        </w:rPr>
        <w:t xml:space="preserve"> = 1,2·</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1 + 1,4·</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2 + 3,3·</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3 + 0,6·</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4 + 1,0·</w:t>
      </w:r>
      <w:r w:rsidR="00AF1EBB" w:rsidRPr="008521AF">
        <w:rPr>
          <w:rFonts w:ascii="Times New Roman" w:eastAsia="Times New Roman" w:hAnsi="Times New Roman" w:cs="Times New Roman"/>
          <w:sz w:val="28"/>
          <w:szCs w:val="28"/>
        </w:rPr>
        <w:t>X</w:t>
      </w:r>
      <w:r w:rsidR="00AF1EBB" w:rsidRPr="008521AF">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lang w:val="ru-RU"/>
        </w:rPr>
        <w:t>,              (16)</w:t>
      </w:r>
    </w:p>
    <w:p w14:paraId="4DC02727"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где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Оборотный капитал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Нераспределённая прибыль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w:t>
      </w:r>
      <w:r>
        <w:rPr>
          <w:rFonts w:ascii="Times New Roman" w:eastAsia="Times New Roman" w:hAnsi="Times New Roman" w:cs="Times New Roman"/>
          <w:sz w:val="28"/>
          <w:szCs w:val="28"/>
        </w:rPr>
        <w:t>EBIT</w:t>
      </w:r>
      <w:r w:rsidRPr="00AF1EBB">
        <w:rPr>
          <w:rFonts w:ascii="Times New Roman" w:eastAsia="Times New Roman" w:hAnsi="Times New Roman" w:cs="Times New Roman"/>
          <w:sz w:val="28"/>
          <w:szCs w:val="28"/>
          <w:lang w:val="ru-RU"/>
        </w:rPr>
        <w:t xml:space="preserve"> / Активы;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Рыночная капитализация / Обязательства;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Выручка / Активы.</w:t>
      </w:r>
    </w:p>
    <w:p w14:paraId="5FAAEB3E" w14:textId="74A1EEED"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Расчёт на основе данных [48]: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0,23;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0,41;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0,24;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1,18;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0,85. Итог</w:t>
      </w:r>
      <w:r w:rsidR="008521AF">
        <w:rPr>
          <w:rFonts w:ascii="Times New Roman" w:eastAsia="Times New Roman" w:hAnsi="Times New Roman" w:cs="Times New Roman"/>
          <w:sz w:val="28"/>
          <w:szCs w:val="28"/>
          <w:lang w:val="ru-RU"/>
        </w:rPr>
        <w:t xml:space="preserve"> </w:t>
      </w:r>
      <w:r w:rsidR="008521AF" w:rsidRPr="004B7B6E">
        <w:rPr>
          <w:rFonts w:ascii="Times New Roman" w:eastAsia="Times New Roman" w:hAnsi="Times New Roman" w:cs="Times New Roman"/>
          <w:color w:val="FF0000"/>
          <w:sz w:val="28"/>
          <w:szCs w:val="28"/>
          <w:lang w:val="ru-RU"/>
        </w:rPr>
        <w:t>(17)</w:t>
      </w:r>
      <w:r w:rsidRPr="004B7B6E">
        <w:rPr>
          <w:rFonts w:ascii="Times New Roman" w:eastAsia="Times New Roman" w:hAnsi="Times New Roman" w:cs="Times New Roman"/>
          <w:color w:val="FF0000"/>
          <w:sz w:val="28"/>
          <w:szCs w:val="28"/>
          <w:lang w:val="ru-RU"/>
        </w:rPr>
        <w:t>:</w:t>
      </w:r>
    </w:p>
    <w:p w14:paraId="3B0F8ED4" w14:textId="2FD7A7A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1,2·0,23 + 1,4·0,41 + 3,3·0,24 + 0,6·1,18 + 1,0·0,85 = 0,276 + 0,574 + 0,792 + </w:t>
      </w:r>
      <w:r w:rsidR="008521AF">
        <w:rPr>
          <w:rFonts w:ascii="Times New Roman" w:eastAsia="Times New Roman" w:hAnsi="Times New Roman" w:cs="Times New Roman"/>
          <w:sz w:val="28"/>
          <w:szCs w:val="28"/>
          <w:lang w:val="ru-RU"/>
        </w:rPr>
        <w:t xml:space="preserve"> </w:t>
      </w:r>
      <w:r w:rsidRPr="00AF1EBB">
        <w:rPr>
          <w:rFonts w:ascii="Times New Roman" w:eastAsia="Times New Roman" w:hAnsi="Times New Roman" w:cs="Times New Roman"/>
          <w:sz w:val="28"/>
          <w:szCs w:val="28"/>
          <w:lang w:val="ru-RU"/>
        </w:rPr>
        <w:t>0,708 + 0,850 = 3,20</w:t>
      </w:r>
      <w:r w:rsidR="008521AF">
        <w:rPr>
          <w:rFonts w:ascii="Times New Roman" w:eastAsia="Times New Roman" w:hAnsi="Times New Roman" w:cs="Times New Roman"/>
          <w:sz w:val="28"/>
          <w:szCs w:val="28"/>
          <w:lang w:val="ru-RU"/>
        </w:rPr>
        <w:t xml:space="preserve">,                                                                                           </w:t>
      </w:r>
      <w:r w:rsidR="008521AF" w:rsidRPr="004B7B6E">
        <w:rPr>
          <w:rFonts w:ascii="Times New Roman" w:eastAsia="Times New Roman" w:hAnsi="Times New Roman" w:cs="Times New Roman"/>
          <w:color w:val="FF0000"/>
          <w:sz w:val="28"/>
          <w:szCs w:val="28"/>
          <w:lang w:val="ru-RU"/>
        </w:rPr>
        <w:t>(17)</w:t>
      </w:r>
    </w:p>
    <w:p w14:paraId="5EE724A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Значение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3,20 существенно превышает порог 2,99, соответствующий «безопасной зоне». Вероятность банкротства оценивается как крайне низкая. Коэффициент автономии (Собственный капитал / Активы) = 613,7 / 992,1 = 0,62, что подтверждает консервативную структуру капитала.</w:t>
      </w:r>
    </w:p>
    <w:p w14:paraId="5E19B01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ПАО «ММК» относится к крупнейшим российским производителям стали и исторически ориентировано на внутренний рынок [33, с. 17]. Расчёты выполнены на основе консолидированной отчётности МСФО за 2023 г. [50].</w:t>
      </w:r>
    </w:p>
    <w:p w14:paraId="1A84DACA" w14:textId="2BAF612F"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Коэффициент текущей ликвидности</w:t>
      </w:r>
      <w:r w:rsidR="008521AF">
        <w:rPr>
          <w:rFonts w:ascii="Times New Roman" w:eastAsia="Times New Roman" w:hAnsi="Times New Roman" w:cs="Times New Roman"/>
          <w:sz w:val="28"/>
          <w:szCs w:val="28"/>
          <w:lang w:val="ru-RU"/>
        </w:rPr>
        <w:t xml:space="preserve"> (18)</w:t>
      </w:r>
      <w:r w:rsidRPr="00AF1EBB">
        <w:rPr>
          <w:rFonts w:ascii="Times New Roman" w:eastAsia="Times New Roman" w:hAnsi="Times New Roman" w:cs="Times New Roman"/>
          <w:sz w:val="28"/>
          <w:szCs w:val="28"/>
          <w:lang w:val="ru-RU"/>
        </w:rPr>
        <w:t>:</w:t>
      </w:r>
    </w:p>
    <w:p w14:paraId="75CA43F5" w14:textId="19A2418D"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Ктл = Оборотные активы / Краткосрочные обязательства = 286,4 / 124,5 = 2,30</w:t>
      </w:r>
      <w:r w:rsidR="008521AF">
        <w:rPr>
          <w:rFonts w:ascii="Times New Roman" w:eastAsia="Times New Roman" w:hAnsi="Times New Roman" w:cs="Times New Roman"/>
          <w:sz w:val="28"/>
          <w:szCs w:val="28"/>
          <w:lang w:val="ru-RU"/>
        </w:rPr>
        <w:t>,                                                                                                                     (18)</w:t>
      </w:r>
    </w:p>
    <w:p w14:paraId="6B9E004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2,30 свидетельствует о значительном запасе ликвидности. Объём денежных средств и эквивалентов составляет 74,2 млрд руб., что снижает вероятность кассовых разрывов до минимума [50].</w:t>
      </w:r>
    </w:p>
    <w:p w14:paraId="277D310F" w14:textId="239AA556"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Анализ рентабельности</w:t>
      </w:r>
      <w:r w:rsidR="008521AF" w:rsidRPr="008521AF">
        <w:rPr>
          <w:rFonts w:ascii="Times New Roman" w:eastAsia="Times New Roman" w:hAnsi="Times New Roman" w:cs="Times New Roman"/>
          <w:sz w:val="28"/>
          <w:szCs w:val="28"/>
          <w:lang w:val="ru-RU"/>
        </w:rPr>
        <w:t>,</w:t>
      </w:r>
      <w:r w:rsidR="008521AF">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sz w:val="28"/>
          <w:szCs w:val="28"/>
        </w:rPr>
        <w:t>ROE</w:t>
      </w:r>
      <w:r w:rsidR="008521AF">
        <w:rPr>
          <w:rFonts w:ascii="Times New Roman" w:eastAsia="Times New Roman" w:hAnsi="Times New Roman" w:cs="Times New Roman"/>
          <w:sz w:val="28"/>
          <w:szCs w:val="28"/>
          <w:lang w:val="ru-RU"/>
        </w:rPr>
        <w:t xml:space="preserve"> (19)</w:t>
      </w:r>
      <w:r w:rsidRPr="00AF1EBB">
        <w:rPr>
          <w:rFonts w:ascii="Times New Roman" w:eastAsia="Times New Roman" w:hAnsi="Times New Roman" w:cs="Times New Roman"/>
          <w:sz w:val="28"/>
          <w:szCs w:val="28"/>
          <w:lang w:val="ru-RU"/>
        </w:rPr>
        <w:t>:</w:t>
      </w:r>
    </w:p>
    <w:p w14:paraId="08CFC5C6" w14:textId="0D226E88" w:rsidR="00AF1EBB" w:rsidRPr="00AF1EBB" w:rsidRDefault="008521AF" w:rsidP="00AF1EBB">
      <w:pPr>
        <w:spacing w:line="360" w:lineRule="auto"/>
        <w:jc w:val="center"/>
        <w:rPr>
          <w:lang w:val="ru-RU"/>
        </w:rPr>
      </w:pPr>
      <w:r>
        <w:rPr>
          <w:rFonts w:ascii="Times New Roman" w:eastAsia="Times New Roman" w:hAnsi="Times New Roman" w:cs="Times New Roman"/>
          <w:sz w:val="28"/>
          <w:szCs w:val="28"/>
          <w:lang w:val="ru-RU"/>
        </w:rPr>
        <w:t xml:space="preserve">                                      </w:t>
      </w:r>
      <w:r w:rsidR="00AF1EBB">
        <w:rPr>
          <w:rFonts w:ascii="Times New Roman" w:eastAsia="Times New Roman" w:hAnsi="Times New Roman" w:cs="Times New Roman"/>
          <w:sz w:val="28"/>
          <w:szCs w:val="28"/>
        </w:rPr>
        <w:t>ROE</w:t>
      </w:r>
      <w:r w:rsidR="00AF1EBB" w:rsidRPr="00AF1EBB">
        <w:rPr>
          <w:rFonts w:ascii="Times New Roman" w:eastAsia="Times New Roman" w:hAnsi="Times New Roman" w:cs="Times New Roman"/>
          <w:sz w:val="28"/>
          <w:szCs w:val="28"/>
          <w:lang w:val="ru-RU"/>
        </w:rPr>
        <w:t xml:space="preserve"> = 98,7 / 542,4 × 100% = 18,2%</w:t>
      </w:r>
      <w:r>
        <w:rPr>
          <w:rFonts w:ascii="Times New Roman" w:eastAsia="Times New Roman" w:hAnsi="Times New Roman" w:cs="Times New Roman"/>
          <w:sz w:val="28"/>
          <w:szCs w:val="28"/>
          <w:lang w:val="ru-RU"/>
        </w:rPr>
        <w:t>,                           (19)</w:t>
      </w:r>
    </w:p>
    <w:p w14:paraId="25E2EEAF"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-маржа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Выручка × 100% = 175,3 / 689,8 × 100% = 25,4%. Рост внутренних продаж частично компенсирует снижение экспортной выручки.</w:t>
      </w:r>
    </w:p>
    <w:p w14:paraId="0DEB7A6E"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Оценка риска банкротства (</w:t>
      </w:r>
      <w:r w:rsidRPr="008521AF">
        <w:rPr>
          <w:rFonts w:ascii="Times New Roman" w:eastAsia="Times New Roman" w:hAnsi="Times New Roman" w:cs="Times New Roman"/>
          <w:sz w:val="28"/>
          <w:szCs w:val="28"/>
        </w:rPr>
        <w:t>Z</w:t>
      </w:r>
      <w:r w:rsidRPr="008521AF">
        <w:rPr>
          <w:rFonts w:ascii="Times New Roman" w:eastAsia="Times New Roman" w:hAnsi="Times New Roman" w:cs="Times New Roman"/>
          <w:sz w:val="28"/>
          <w:szCs w:val="28"/>
          <w:lang w:val="ru-RU"/>
        </w:rPr>
        <w:t xml:space="preserve">-счёт Альтмана). </w:t>
      </w:r>
    </w:p>
    <w:p w14:paraId="1DC4930C"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0,27;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0,38;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0,18;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1,42;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0,79. Итог:</w:t>
      </w:r>
    </w:p>
    <w:p w14:paraId="1949F8F8"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1,2·0,27 + 1,4·0,38 + 3,3·0,18 + 0,6·1,42 + 1,0·0,79 = 0,324 + 0,532 + 0,594 + 0,852 + 0,790 = 3,09</w:t>
      </w:r>
    </w:p>
    <w:p w14:paraId="45E1121E" w14:textId="77777777"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Z = 3,09 — безопасная зона. Чистый долг отрицательный (−74,2 млрд руб.), что означает полное отсутствие нетто-обязательств перед кредиторами [50].</w:t>
      </w:r>
    </w:p>
    <w:p w14:paraId="1B5574B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ПАО «ГМК «Норильский никель» является одним из крупнейших мировых производителей никеля и палладия [30, с. 20]. Расчёты выполнены на основе консолидированной отчётности МСФО за </w:t>
      </w:r>
      <w:r w:rsidRPr="006D26AE">
        <w:rPr>
          <w:rFonts w:ascii="Times New Roman" w:eastAsia="Times New Roman" w:hAnsi="Times New Roman" w:cs="Times New Roman"/>
          <w:sz w:val="28"/>
          <w:szCs w:val="28"/>
          <w:highlight w:val="cyan"/>
          <w:lang w:val="ru-RU"/>
        </w:rPr>
        <w:t>2023</w:t>
      </w:r>
      <w:r w:rsidRPr="00AF1EBB">
        <w:rPr>
          <w:rFonts w:ascii="Times New Roman" w:eastAsia="Times New Roman" w:hAnsi="Times New Roman" w:cs="Times New Roman"/>
          <w:sz w:val="28"/>
          <w:szCs w:val="28"/>
          <w:lang w:val="ru-RU"/>
        </w:rPr>
        <w:t xml:space="preserve"> г. [50].</w:t>
      </w:r>
    </w:p>
    <w:p w14:paraId="386B108E"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7E66F864" w14:textId="77777777"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Ктл = 295,1 / 234,0 = 1,26</w:t>
      </w:r>
    </w:p>
    <w:p w14:paraId="4F54083E"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Уровень 1,26 является приемлемым для непрерывной операционной деятельности, однако запас финансовой прочности ниже, чем у эмитентов черной металлургии. В данном контексте усиливается значимость доступа к рынкам капитала и качества управления оборотным капиталом.</w:t>
      </w:r>
    </w:p>
    <w:p w14:paraId="65CD0C5C"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06601D7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-маржа = 755,3 / 1 570,3 × 100% = 48,1%</w:t>
      </w:r>
    </w:p>
    <w:p w14:paraId="3056EAE5"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128,6 / 1 037,4 × 100% = 12,4%</w:t>
      </w:r>
    </w:p>
    <w:p w14:paraId="117E216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Высокая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-маржинальность (48,1%) отражает структурную рентабельность бизнеса, связанную с уникальной ресурсной базой. Снижение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обусловлено ростом долговой нагрузки и амортизационных отчислений в ходе инвестиционного цикла.</w:t>
      </w:r>
    </w:p>
    <w:p w14:paraId="2ED4D1A0" w14:textId="7E35BC0F"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Оценка риска банкротства</w:t>
      </w:r>
      <w:r w:rsidR="008521AF">
        <w:rPr>
          <w:rFonts w:ascii="Times New Roman" w:eastAsia="Times New Roman" w:hAnsi="Times New Roman" w:cs="Times New Roman"/>
          <w:sz w:val="28"/>
          <w:szCs w:val="28"/>
          <w:lang w:val="ru-RU"/>
        </w:rPr>
        <w:t>, с</w:t>
      </w:r>
      <w:r w:rsidRPr="00AF1EBB">
        <w:rPr>
          <w:rFonts w:ascii="Times New Roman" w:eastAsia="Times New Roman" w:hAnsi="Times New Roman" w:cs="Times New Roman"/>
          <w:sz w:val="28"/>
          <w:szCs w:val="28"/>
          <w:lang w:val="ru-RU"/>
        </w:rPr>
        <w:t xml:space="preserve">оотношение «Чистый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w:t>
      </w:r>
    </w:p>
    <w:p w14:paraId="357AB31A" w14:textId="77777777"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906,4 / 755,3 = 1,20</w:t>
      </w:r>
      <w:r>
        <w:rPr>
          <w:rFonts w:ascii="Times New Roman" w:eastAsia="Times New Roman" w:hAnsi="Times New Roman" w:cs="Times New Roman"/>
          <w:sz w:val="28"/>
          <w:szCs w:val="28"/>
        </w:rPr>
        <w:t>x</w:t>
      </w:r>
    </w:p>
    <w:p w14:paraId="3F35CD5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1,20</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 остаётся в рамках умеренных, однако указывает на снижение финансовой свободы по сравнению с периодами сверхконсервативного баланса [50].</w:t>
      </w:r>
    </w:p>
    <w:p w14:paraId="25539617"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МКПАО «ЭН+ ГРУП» является холдинговой структурой, объединяющей электрогенерирующие активы и контрольный пакет ОК «РУСАЛ» [33, с. 18]. Расчёты выполнены на основе консолидированной отчётности МСФО за 2023 г. [50].</w:t>
      </w:r>
    </w:p>
    <w:p w14:paraId="12B1A3FC"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43ECB3CB" w14:textId="77777777"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Ктл = 412,8 / 390,5 = 1,06</w:t>
      </w:r>
    </w:p>
    <w:p w14:paraId="6ABA43E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1,06 находится вблизи критического порога, что означает зависимость краткосрочной устойчивости от регулярности операционного денежного потока.</w:t>
      </w:r>
    </w:p>
    <w:p w14:paraId="06CB772B"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46A77155"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12,8 / 336,7 × 100% = 3,8%</w:t>
      </w:r>
    </w:p>
    <w:p w14:paraId="20B39303"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lastRenderedPageBreak/>
        <w:t>EBITDA</w:t>
      </w:r>
      <w:r w:rsidRPr="00AF1EBB">
        <w:rPr>
          <w:rFonts w:ascii="Times New Roman" w:eastAsia="Times New Roman" w:hAnsi="Times New Roman" w:cs="Times New Roman"/>
          <w:sz w:val="28"/>
          <w:szCs w:val="28"/>
          <w:lang w:val="ru-RU"/>
        </w:rPr>
        <w:t>-маржа = 98,4 / 678,2 × 100% = 14,5%</w:t>
      </w:r>
    </w:p>
    <w:p w14:paraId="241B985B"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3,8% существенно ниже ориентиров безрисковой доходности в РФ (15%), что означает разрушение стоимости для акционеров.</w:t>
      </w:r>
    </w:p>
    <w:p w14:paraId="51B0B2B9"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Оценка риска банкротства. </w:t>
      </w:r>
    </w:p>
    <w:p w14:paraId="02C550FB" w14:textId="6FD5840E"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 xml:space="preserve">Чистый долг / </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374,9 / 98,4 = 3,81</w:t>
      </w:r>
    </w:p>
    <w:p w14:paraId="66C064A1" w14:textId="6009B79A"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3,81 соответствует зоне повышенного риска в условиях сжатия маржи и высоких процентных ставок. Присутствие данного эмитента увеличивает восприимчивость портфеля к макроэкономическим шокам [50].</w:t>
      </w:r>
    </w:p>
    <w:p w14:paraId="6CFD3A04"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ПАО «Корпорация ВСМПО-АВИСМА» является ключевым российским производителем титановой продукции и одним из крупнейших игроков на мировом рынке [33, с. 19]. Расчёты выполнены на основе консолидированной отчётности РСБУ/МСФО за 2023 г. [50].</w:t>
      </w:r>
    </w:p>
    <w:p w14:paraId="49A7AA88"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ликвидности. </w:t>
      </w:r>
    </w:p>
    <w:p w14:paraId="4045FFA5" w14:textId="77777777" w:rsidR="00AF1EBB" w:rsidRPr="00AF1EBB" w:rsidRDefault="00AF1EBB" w:rsidP="00AF1EBB">
      <w:pPr>
        <w:spacing w:line="360" w:lineRule="auto"/>
        <w:jc w:val="center"/>
        <w:rPr>
          <w:lang w:val="ru-RU"/>
        </w:rPr>
      </w:pPr>
      <w:r w:rsidRPr="00AF1EBB">
        <w:rPr>
          <w:rFonts w:ascii="Times New Roman" w:eastAsia="Times New Roman" w:hAnsi="Times New Roman" w:cs="Times New Roman"/>
          <w:sz w:val="28"/>
          <w:szCs w:val="28"/>
          <w:lang w:val="ru-RU"/>
        </w:rPr>
        <w:t>Ктл = 184,2 / 64,6 = 2,85</w:t>
      </w:r>
    </w:p>
    <w:p w14:paraId="586D276B"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Значение 2,85 указывает на значительный запас по покрытию краткосрочных обязательств.</w:t>
      </w:r>
    </w:p>
    <w:p w14:paraId="6E8E22D6" w14:textId="77777777" w:rsidR="00AF1EBB" w:rsidRPr="008521AF"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Анализ рентабельности. </w:t>
      </w:r>
    </w:p>
    <w:p w14:paraId="5DDB6C51"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 52,3 / 260,1 × 100% = 20,1%</w:t>
      </w:r>
    </w:p>
    <w:p w14:paraId="45D753F0"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-маржа = 133,4 / 374,8 × 100% = 35,6%</w:t>
      </w:r>
    </w:p>
    <w:p w14:paraId="70BC0955"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Рост внутреннего спроса позволил поддерживать высокую маржинальность. Заёмный капитал составляет менее 35% валюты баланса, что соответствует устойчивому уровню автономности.</w:t>
      </w:r>
    </w:p>
    <w:p w14:paraId="78BEF856" w14:textId="77777777" w:rsidR="00AF1EBB" w:rsidRPr="00AF1EBB" w:rsidRDefault="00AF1EBB" w:rsidP="00AF1EBB">
      <w:pPr>
        <w:spacing w:line="360" w:lineRule="auto"/>
        <w:ind w:firstLine="709"/>
        <w:jc w:val="both"/>
        <w:rPr>
          <w:lang w:val="ru-RU"/>
        </w:rPr>
      </w:pPr>
      <w:r w:rsidRPr="008521AF">
        <w:rPr>
          <w:rFonts w:ascii="Times New Roman" w:eastAsia="Times New Roman" w:hAnsi="Times New Roman" w:cs="Times New Roman"/>
          <w:sz w:val="28"/>
          <w:szCs w:val="28"/>
          <w:lang w:val="ru-RU"/>
        </w:rPr>
        <w:t xml:space="preserve">Оценка риска банкротства.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-счёт Альтмана [43]:</w:t>
      </w:r>
    </w:p>
    <w:p w14:paraId="514A0230" w14:textId="77777777" w:rsidR="00AF1EBB" w:rsidRPr="00AF1EBB" w:rsidRDefault="00AF1EBB" w:rsidP="00AF1EBB">
      <w:pPr>
        <w:spacing w:line="360" w:lineRule="auto"/>
        <w:ind w:firstLine="709"/>
        <w:jc w:val="both"/>
        <w:rPr>
          <w:lang w:val="ru-RU"/>
        </w:rPr>
      </w:pP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1 = 0,36;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2 = 0,29;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3 = 0,17;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xml:space="preserve">4 = 0,88; </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5 = 0,74.</w:t>
      </w:r>
    </w:p>
    <w:p w14:paraId="1F42CA8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1,2·0,36 + 1,4·0,29 + 3,3·0,17 + 0,6·0,88 + 1,0·0,74 = 0,432 + 0,406 + 0,561 + 0,528 + 0,740 = 2,67</w:t>
      </w:r>
    </w:p>
    <w:p w14:paraId="60603D69"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lastRenderedPageBreak/>
        <w:t xml:space="preserve">Значение </w:t>
      </w:r>
      <w:r>
        <w:rPr>
          <w:rFonts w:ascii="Times New Roman" w:eastAsia="Times New Roman" w:hAnsi="Times New Roman" w:cs="Times New Roman"/>
          <w:sz w:val="28"/>
          <w:szCs w:val="28"/>
        </w:rPr>
        <w:t>Z</w:t>
      </w:r>
      <w:r w:rsidRPr="00AF1EBB">
        <w:rPr>
          <w:rFonts w:ascii="Times New Roman" w:eastAsia="Times New Roman" w:hAnsi="Times New Roman" w:cs="Times New Roman"/>
          <w:sz w:val="28"/>
          <w:szCs w:val="28"/>
          <w:lang w:val="ru-RU"/>
        </w:rPr>
        <w:t xml:space="preserve"> = 2,67 — зона «серой области» (1,81–2,99), что требует мониторинга, однако признаков острой несостоятельности не выявлено.</w:t>
      </w:r>
    </w:p>
    <w:p w14:paraId="6720D0F7" w14:textId="7583896B" w:rsidR="00AF1EBB" w:rsidRPr="00AF1EBB" w:rsidRDefault="004B7B6E" w:rsidP="004B7B6E">
      <w:pPr>
        <w:tabs>
          <w:tab w:val="left" w:pos="1171"/>
        </w:tabs>
        <w:spacing w:line="360" w:lineRule="auto"/>
        <w:rPr>
          <w:lang w:val="ru-RU"/>
        </w:rPr>
      </w:pPr>
      <w:r>
        <w:rPr>
          <w:lang w:val="ru-RU"/>
        </w:rPr>
        <w:tab/>
      </w:r>
      <w:r w:rsidRPr="004B7B6E">
        <w:rPr>
          <w:color w:val="FF0000"/>
          <w:highlight w:val="yellow"/>
          <w:lang w:val="ru-RU"/>
        </w:rPr>
        <w:t>Таблица в воздухе Мне надо постоянно Вам на это указывать?</w:t>
      </w:r>
    </w:p>
    <w:p w14:paraId="70FD7C2E" w14:textId="3B51140E" w:rsidR="00AF1EBB" w:rsidRPr="00AF1EBB" w:rsidRDefault="00AF1EBB" w:rsidP="00AF1EBB">
      <w:pPr>
        <w:spacing w:line="360" w:lineRule="auto"/>
        <w:jc w:val="center"/>
        <w:rPr>
          <w:lang w:val="ru-RU"/>
        </w:rPr>
      </w:pPr>
      <w:r w:rsidRPr="004B7B6E">
        <w:rPr>
          <w:rFonts w:ascii="Times New Roman" w:eastAsia="Times New Roman" w:hAnsi="Times New Roman" w:cs="Times New Roman"/>
          <w:color w:val="FF0000"/>
          <w:sz w:val="28"/>
          <w:szCs w:val="28"/>
          <w:lang w:val="ru-RU"/>
        </w:rPr>
        <w:t xml:space="preserve">Таблица </w:t>
      </w:r>
      <w:r w:rsidR="008521AF" w:rsidRPr="004B7B6E">
        <w:rPr>
          <w:rFonts w:ascii="Times New Roman" w:eastAsia="Times New Roman" w:hAnsi="Times New Roman" w:cs="Times New Roman"/>
          <w:color w:val="FF0000"/>
          <w:sz w:val="28"/>
          <w:szCs w:val="28"/>
          <w:lang w:val="ru-RU"/>
        </w:rPr>
        <w:t>3</w:t>
      </w:r>
      <w:r w:rsidRPr="004B7B6E">
        <w:rPr>
          <w:rFonts w:ascii="Times New Roman" w:eastAsia="Times New Roman" w:hAnsi="Times New Roman" w:cs="Times New Roman"/>
          <w:color w:val="FF0000"/>
          <w:sz w:val="28"/>
          <w:szCs w:val="28"/>
          <w:lang w:val="ru-RU"/>
        </w:rPr>
        <w:t xml:space="preserve"> </w:t>
      </w:r>
      <w:r w:rsidRPr="00AF1EBB">
        <w:rPr>
          <w:rFonts w:ascii="Times New Roman" w:eastAsia="Times New Roman" w:hAnsi="Times New Roman" w:cs="Times New Roman"/>
          <w:sz w:val="28"/>
          <w:szCs w:val="28"/>
          <w:lang w:val="ru-RU"/>
        </w:rPr>
        <w:t>– Ключевые фундаментальные показатели крупнейших объектов инвестирования ОПИФ РФИ «ВИМ-Металлургия»</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300"/>
        <w:gridCol w:w="1300"/>
        <w:gridCol w:w="1500"/>
        <w:gridCol w:w="1526"/>
      </w:tblGrid>
      <w:tr w:rsidR="00AF1EBB" w:rsidRPr="008521AF" w14:paraId="73E6F308"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1D27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Эмитент</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50743"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Удельный вес в портфеле,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466DD"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ROE,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F7BC"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EBITDA-маржа, %</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EE42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Чистый долг / EBITDA, (x)</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29125"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b/>
                <w:bCs/>
                <w:sz w:val="24"/>
                <w:szCs w:val="24"/>
              </w:rPr>
              <w:t>Ктл</w:t>
            </w:r>
          </w:p>
        </w:tc>
      </w:tr>
      <w:tr w:rsidR="00AF1EBB" w:rsidRPr="008521AF" w14:paraId="610752A7"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67BC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«Северсталь»</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6931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18,5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5126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FAC5F"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34,2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47FC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−0,2</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6787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2,20</w:t>
            </w:r>
          </w:p>
        </w:tc>
      </w:tr>
      <w:tr w:rsidR="00AF1EBB" w:rsidRPr="008521AF" w14:paraId="5D6FFC16"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AB51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«ММК»</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15CA9"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16,2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CB99B"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18,2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92C99"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25,4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0D9C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−0,4</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E715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2,30</w:t>
            </w:r>
          </w:p>
        </w:tc>
      </w:tr>
      <w:tr w:rsidR="00AF1EBB" w:rsidRPr="008521AF" w14:paraId="11FBA5D4"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6C923"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«ГМК «Норильский никель»</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F01D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16,8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6121B"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18BD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48,1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DD459"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84B41"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1,26</w:t>
            </w:r>
          </w:p>
        </w:tc>
      </w:tr>
      <w:tr w:rsidR="00AF1EBB" w:rsidRPr="008521AF" w14:paraId="0E092DD5"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565B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МКПАО «ЭН+ ГРУП»</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D1EE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7B845"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510EC"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14,5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7101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3,8</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155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1,06</w:t>
            </w:r>
          </w:p>
        </w:tc>
      </w:tr>
      <w:tr w:rsidR="00AF1EBB" w:rsidRPr="008521AF" w14:paraId="78D41D63" w14:textId="77777777" w:rsidTr="00FF1FEF">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FF097"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ПАО «ВСМПО-АВИСМА»</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D8AC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12,6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1B76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20,1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6C735"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35,6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2AB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0,8</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3E4F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2,85</w:t>
            </w:r>
          </w:p>
        </w:tc>
      </w:tr>
    </w:tbl>
    <w:p w14:paraId="7C78659C"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Источник: составлено автором на основе консолидированной отчётности эмитентов по МСФО за 2023 г. [50].</w:t>
      </w:r>
    </w:p>
    <w:p w14:paraId="31DEFB3F" w14:textId="77777777" w:rsidR="00AF1EBB" w:rsidRPr="00AF1EBB" w:rsidRDefault="00AF1EBB" w:rsidP="00AF1EBB">
      <w:pPr>
        <w:spacing w:line="360" w:lineRule="auto"/>
        <w:rPr>
          <w:lang w:val="ru-RU"/>
        </w:rPr>
      </w:pPr>
    </w:p>
    <w:p w14:paraId="5259772D" w14:textId="72E42E43" w:rsidR="00AF1EBB"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Данные Таблицы </w:t>
      </w:r>
      <w:r w:rsidR="008521AF">
        <w:rPr>
          <w:rFonts w:ascii="Times New Roman" w:eastAsia="Times New Roman" w:hAnsi="Times New Roman" w:cs="Times New Roman"/>
          <w:sz w:val="28"/>
          <w:szCs w:val="28"/>
          <w:lang w:val="ru-RU"/>
        </w:rPr>
        <w:t>3</w:t>
      </w:r>
      <w:r w:rsidRPr="00AF1EBB">
        <w:rPr>
          <w:rFonts w:ascii="Times New Roman" w:eastAsia="Times New Roman" w:hAnsi="Times New Roman" w:cs="Times New Roman"/>
          <w:sz w:val="28"/>
          <w:szCs w:val="28"/>
          <w:lang w:val="ru-RU"/>
        </w:rPr>
        <w:t xml:space="preserve"> математически подтверждают сформулированный ранее вывод: портфель сильно отягощён активами с критически низкой рентабельностью (МКПАО «ЭН+ ГРУП» с </w:t>
      </w:r>
      <w:r>
        <w:rPr>
          <w:rFonts w:ascii="Times New Roman" w:eastAsia="Times New Roman" w:hAnsi="Times New Roman" w:cs="Times New Roman"/>
          <w:sz w:val="28"/>
          <w:szCs w:val="28"/>
        </w:rPr>
        <w:t>ROE</w:t>
      </w:r>
      <w:r w:rsidRPr="00AF1EBB">
        <w:rPr>
          <w:rFonts w:ascii="Times New Roman" w:eastAsia="Times New Roman" w:hAnsi="Times New Roman" w:cs="Times New Roman"/>
          <w:sz w:val="28"/>
          <w:szCs w:val="28"/>
          <w:lang w:val="ru-RU"/>
        </w:rPr>
        <w:t xml:space="preserve"> 3,8%) и высокой долговой нагрузкой (Чистый долг/</w:t>
      </w:r>
      <w:r>
        <w:rPr>
          <w:rFonts w:ascii="Times New Roman" w:eastAsia="Times New Roman" w:hAnsi="Times New Roman" w:cs="Times New Roman"/>
          <w:sz w:val="28"/>
          <w:szCs w:val="28"/>
        </w:rPr>
        <w:t>EBITDA</w:t>
      </w:r>
      <w:r w:rsidRPr="00AF1EBB">
        <w:rPr>
          <w:rFonts w:ascii="Times New Roman" w:eastAsia="Times New Roman" w:hAnsi="Times New Roman" w:cs="Times New Roman"/>
          <w:sz w:val="28"/>
          <w:szCs w:val="28"/>
          <w:lang w:val="ru-RU"/>
        </w:rPr>
        <w:t xml:space="preserve"> = 3,81</w:t>
      </w:r>
      <w:r>
        <w:rPr>
          <w:rFonts w:ascii="Times New Roman" w:eastAsia="Times New Roman" w:hAnsi="Times New Roman" w:cs="Times New Roman"/>
          <w:sz w:val="28"/>
          <w:szCs w:val="28"/>
        </w:rPr>
        <w:t>x</w:t>
      </w:r>
      <w:r w:rsidRPr="00AF1EBB">
        <w:rPr>
          <w:rFonts w:ascii="Times New Roman" w:eastAsia="Times New Roman" w:hAnsi="Times New Roman" w:cs="Times New Roman"/>
          <w:sz w:val="28"/>
          <w:szCs w:val="28"/>
          <w:lang w:val="ru-RU"/>
        </w:rPr>
        <w:t>), что в условиях жёсткой денежно-кредитной политики выступает триггером разрушения стоимости активов. В то же время ПАО «Северсталь» и ПАО «ММК» с отрицательным чистым долгом выступают стабилизирующей базой.</w:t>
      </w:r>
    </w:p>
    <w:p w14:paraId="242B7B25" w14:textId="1E3BA245" w:rsidR="008B4AFE" w:rsidRDefault="008B4AFE" w:rsidP="00AF1EBB">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lastRenderedPageBreak/>
        <w:t>Для более глубокого понимания внутренних механизмов генерации прибыли ключевыми активами портфеля целесообразно применить дезагрегированную трехфакторную модель Дюпона (DuPont Analysis). Данный аналитический инструмент позволяет разложить интегрированный показатель рентабельности собственного капитала (ROE) на три независимые детерминанты: операционную эффективность, интенсивность использования активов и уровень финансового рычага.</w:t>
      </w:r>
    </w:p>
    <w:p w14:paraId="0014F26A" w14:textId="46C5BF54" w:rsidR="008B4AFE" w:rsidRDefault="008B4AFE" w:rsidP="00AF1EBB">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Первый множитель (коммерческая маржа, ROS) отражает политику ценообразования и контроль над операционными издержками. Второй множитель (оборачиваемость активов, TAT) характеризует эффективность управления капитальными вложениями и оборотным капиталом. Третий множитель (мультипликатор капитала, EM) определяет степень агрессивности кредитной политики предприятия.</w:t>
      </w:r>
      <w:r w:rsidR="00BA0E02" w:rsidRPr="00BA0E02">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lang w:val="ru-RU"/>
        </w:rPr>
        <w:t xml:space="preserve">Проведем декомпозицию показателя ROE для ПАО «Северсталь», базового актива портфеля, демонстрирующего рентабельность на уровне 31,5%. Анализ структуры консолидированной отчетности позволяет сделать вывод, что аномально высокое значение ROE обеспечено не избыточным кредитным рычагом, а исключительной операционной эффективностью. Вертикальная интеграция компании, обеспеченность собственным сырьем (железной рудой и коксующимся углем) до уровня свыше 80% и жесткая оптимизация логистических цепочек позволили сформировать коммерческую маржу, превышающую среднемировые отраслевые бенчмарки.  В отличие от ПАО «Северсталь», финансовые результаты ПАО «ММК», чья рентабельность составляет 18,2%, имеют иную структуру генерации стоимости. Исторически ПАО «ММК» не обладает стопроцентной сырьевой самообеспеченностью, что оказывает давление на первый множитель модели Дюпона (ROS) в периоды восходящего тренда цен на коксующийся уголь. Однако компания компенсирует этот </w:t>
      </w:r>
      <w:r w:rsidRPr="008B4AFE">
        <w:rPr>
          <w:rFonts w:ascii="Times New Roman" w:eastAsia="Times New Roman" w:hAnsi="Times New Roman" w:cs="Times New Roman"/>
          <w:sz w:val="28"/>
          <w:szCs w:val="28"/>
          <w:lang w:val="ru-RU"/>
        </w:rPr>
        <w:lastRenderedPageBreak/>
        <w:t>фактор за счет ускоренной оборачиваемости активов (TAT), ориентируя сбыт на емкий внутренний рынок и производителей трубной продукции.  МКПАО «ЭН+ ГРУП», напротив, демонстрирует разрушение стоимости. Критически низкий уровень ROE в 3,8%  при высоком финансовом рычаге означает, что стоимость обслуживания долга полностью абсорбирует операционную прибыль. Мультипликатор капитала (EM) в данном случае работает против акционеров, создавая эффект отрицательного финансового левериджа. Нахождение подобного актива в портфеле фонда в условиях жесткой монетарной политики является источником перманентного снижения СЧА.</w:t>
      </w:r>
    </w:p>
    <w:p w14:paraId="3F633417" w14:textId="4D3DEAA4" w:rsidR="005F2182" w:rsidRPr="00AF1EBB" w:rsidRDefault="00AF1EBB" w:rsidP="00AF1EBB">
      <w:pPr>
        <w:spacing w:line="360" w:lineRule="auto"/>
        <w:ind w:firstLine="709"/>
        <w:jc w:val="both"/>
        <w:rPr>
          <w:rFonts w:ascii="Times New Roman" w:hAnsi="Times New Roman" w:cs="Times New Roman"/>
          <w:sz w:val="28"/>
          <w:szCs w:val="28"/>
          <w:lang w:val="ru-RU"/>
        </w:rPr>
      </w:pPr>
      <w:r w:rsidRPr="00AF1EBB">
        <w:rPr>
          <w:rFonts w:ascii="Times New Roman" w:eastAsia="Times New Roman" w:hAnsi="Times New Roman" w:cs="Times New Roman"/>
          <w:sz w:val="28"/>
          <w:szCs w:val="28"/>
          <w:lang w:val="ru-RU"/>
        </w:rPr>
        <w:t>Сводный вывод по разделу: фундаментальный анализ пяти крупнейших предприятий, входящих в состав ОПИФ РФИ «ВИМ-Металлургия», подтверждает основную исследовательскую установку о том, что качество инвестиционного портфеля связано с финансовой устойчивостью и операционной эффективностью базовых эмитентов. Поскольку фонд характеризуется ограниченной диверсификацией, внутренние проблемы отдельных компаний с высокой долей в активах имеют тенденцию транслироваться в динамику стоимости чистых активов [20, с. 110]. Наиболее устойчивыми по совокупности показателей выглядят эмитенты черной металлургии (ПАО «Северсталь», ПАО «ММК»), а также ПАО «Корпорация ВСМПО-АВИСМА».</w:t>
      </w:r>
    </w:p>
    <w:p w14:paraId="5BD22135" w14:textId="77777777" w:rsidR="004605F7" w:rsidRPr="005F2182" w:rsidRDefault="004605F7" w:rsidP="004605F7">
      <w:pPr>
        <w:spacing w:line="360" w:lineRule="auto"/>
        <w:ind w:firstLine="709"/>
        <w:jc w:val="both"/>
        <w:rPr>
          <w:rFonts w:ascii="Times New Roman" w:hAnsi="Times New Roman" w:cs="Times New Roman"/>
          <w:sz w:val="28"/>
          <w:szCs w:val="28"/>
          <w:lang w:val="ru-RU"/>
        </w:rPr>
      </w:pPr>
    </w:p>
    <w:p w14:paraId="2750D9B4" w14:textId="77777777" w:rsidR="005F2182" w:rsidRDefault="005F2182" w:rsidP="004605F7">
      <w:pPr>
        <w:pStyle w:val="2"/>
        <w:spacing w:before="0" w:after="0" w:line="360" w:lineRule="auto"/>
        <w:rPr>
          <w:lang w:val="ru-RU"/>
        </w:rPr>
      </w:pPr>
      <w:bookmarkStart w:id="9" w:name="_Toc232337643"/>
      <w:r w:rsidRPr="005F2182">
        <w:rPr>
          <w:lang w:val="ru-RU"/>
        </w:rPr>
        <w:t>2.3. Анализ показателей качества инвестиционного портфеля ОПИФ РФИ «ВИМ-Металлургия»</w:t>
      </w:r>
      <w:bookmarkEnd w:id="9"/>
    </w:p>
    <w:p w14:paraId="63BC93FF" w14:textId="77777777" w:rsidR="00EC4086" w:rsidRPr="00EC4086" w:rsidRDefault="00EC4086" w:rsidP="004605F7">
      <w:pPr>
        <w:spacing w:line="360" w:lineRule="auto"/>
        <w:rPr>
          <w:lang w:val="ru-RU"/>
        </w:rPr>
      </w:pPr>
    </w:p>
    <w:p w14:paraId="7767E81A"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Оценка качества инвестиционного портфеля ОПИФ РФИ «ВИМ-Металлургия» проводится на основе специализированного математико-статистического инструментария, который позволяет сопоставлять </w:t>
      </w:r>
      <w:r w:rsidRPr="00AF1EBB">
        <w:rPr>
          <w:rFonts w:ascii="Times New Roman" w:eastAsia="Times New Roman" w:hAnsi="Times New Roman" w:cs="Times New Roman"/>
          <w:sz w:val="28"/>
          <w:szCs w:val="28"/>
          <w:lang w:val="ru-RU"/>
        </w:rPr>
        <w:lastRenderedPageBreak/>
        <w:t>фактически полученную фондом доходность с уровнем принимаемого совокупного риска [25, с. 156].</w:t>
      </w:r>
    </w:p>
    <w:p w14:paraId="68401332" w14:textId="23040215"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Расчёт ожидаемой доходности портфеля. По формуле </w:t>
      </w:r>
      <w:r w:rsidRPr="006D26AE">
        <w:rPr>
          <w:rFonts w:ascii="Times New Roman" w:eastAsia="Times New Roman" w:hAnsi="Times New Roman" w:cs="Times New Roman"/>
          <w:color w:val="FF0000"/>
          <w:sz w:val="28"/>
          <w:szCs w:val="28"/>
          <w:lang w:val="ru-RU"/>
        </w:rPr>
        <w:t>(</w:t>
      </w:r>
      <w:r w:rsidR="00580BE4" w:rsidRPr="006D26AE">
        <w:rPr>
          <w:rFonts w:ascii="Times New Roman" w:eastAsia="Times New Roman" w:hAnsi="Times New Roman" w:cs="Times New Roman"/>
          <w:color w:val="FF0000"/>
          <w:sz w:val="28"/>
          <w:szCs w:val="28"/>
          <w:lang w:val="ru-RU"/>
        </w:rPr>
        <w:t>2</w:t>
      </w:r>
      <w:r w:rsidRPr="006D26AE">
        <w:rPr>
          <w:rFonts w:ascii="Times New Roman" w:eastAsia="Times New Roman" w:hAnsi="Times New Roman" w:cs="Times New Roman"/>
          <w:color w:val="FF0000"/>
          <w:sz w:val="28"/>
          <w:szCs w:val="28"/>
          <w:lang w:val="ru-RU"/>
        </w:rPr>
        <w:t xml:space="preserve">0) </w:t>
      </w:r>
      <w:r w:rsidR="006D26AE" w:rsidRPr="006D26AE">
        <w:rPr>
          <w:rFonts w:ascii="Times New Roman" w:eastAsia="Times New Roman" w:hAnsi="Times New Roman" w:cs="Times New Roman"/>
          <w:color w:val="FF0000"/>
          <w:sz w:val="28"/>
          <w:szCs w:val="28"/>
          <w:highlight w:val="yellow"/>
          <w:lang w:val="ru-RU"/>
        </w:rPr>
        <w:t>которой нет</w:t>
      </w:r>
      <w:r w:rsidR="006D26AE">
        <w:rPr>
          <w:rFonts w:ascii="Times New Roman" w:eastAsia="Times New Roman" w:hAnsi="Times New Roman" w:cs="Times New Roman"/>
          <w:color w:val="FF0000"/>
          <w:sz w:val="28"/>
          <w:szCs w:val="28"/>
          <w:lang w:val="ru-RU"/>
        </w:rPr>
        <w:t xml:space="preserve"> </w:t>
      </w:r>
      <w:r w:rsidRPr="00AF1EBB">
        <w:rPr>
          <w:rFonts w:ascii="Times New Roman" w:eastAsia="Times New Roman" w:hAnsi="Times New Roman" w:cs="Times New Roman"/>
          <w:sz w:val="28"/>
          <w:szCs w:val="28"/>
          <w:lang w:val="ru-RU"/>
        </w:rPr>
        <w:t xml:space="preserve">редневзвешенная ожидаемая доходность текущего портфеля составляет (данные о годовых доходностях акций — по котировкам Московской биржи за </w:t>
      </w:r>
      <w:r w:rsidRPr="006D26AE">
        <w:rPr>
          <w:rFonts w:ascii="Times New Roman" w:eastAsia="Times New Roman" w:hAnsi="Times New Roman" w:cs="Times New Roman"/>
          <w:color w:val="FF0000"/>
          <w:sz w:val="28"/>
          <w:szCs w:val="28"/>
          <w:lang w:val="ru-RU"/>
        </w:rPr>
        <w:t>2022–2024 гг</w:t>
      </w:r>
      <w:r w:rsidRPr="00AF1EBB">
        <w:rPr>
          <w:rFonts w:ascii="Times New Roman" w:eastAsia="Times New Roman" w:hAnsi="Times New Roman" w:cs="Times New Roman"/>
          <w:sz w:val="28"/>
          <w:szCs w:val="28"/>
          <w:lang w:val="ru-RU"/>
        </w:rPr>
        <w:t>.</w:t>
      </w:r>
      <w:r w:rsidR="006D26AE">
        <w:rPr>
          <w:rFonts w:ascii="Times New Roman" w:eastAsia="Times New Roman" w:hAnsi="Times New Roman" w:cs="Times New Roman"/>
          <w:sz w:val="28"/>
          <w:szCs w:val="28"/>
          <w:lang w:val="ru-RU"/>
        </w:rPr>
        <w:t>?</w:t>
      </w:r>
      <w:r w:rsidRPr="00AF1EBB">
        <w:rPr>
          <w:rFonts w:ascii="Times New Roman" w:eastAsia="Times New Roman" w:hAnsi="Times New Roman" w:cs="Times New Roman"/>
          <w:sz w:val="28"/>
          <w:szCs w:val="28"/>
          <w:lang w:val="ru-RU"/>
        </w:rPr>
        <w:t xml:space="preserve"> [47]):</w:t>
      </w:r>
    </w:p>
    <w:p w14:paraId="7D2D58C6" w14:textId="77777777" w:rsidR="00AF1EBB" w:rsidRPr="00AF1EBB" w:rsidRDefault="00AF1EBB" w:rsidP="00AF1EBB">
      <w:pPr>
        <w:spacing w:line="360" w:lineRule="auto"/>
        <w:jc w:val="center"/>
        <w:rPr>
          <w:lang w:val="ru-RU"/>
        </w:rPr>
      </w:pPr>
      <w:r>
        <w:rPr>
          <w:rFonts w:ascii="Times New Roman" w:eastAsia="Times New Roman" w:hAnsi="Times New Roman" w:cs="Times New Roman"/>
          <w:sz w:val="28"/>
          <w:szCs w:val="28"/>
        </w:rPr>
        <w:t>E</w:t>
      </w:r>
      <w:r w:rsidRPr="00AF1EBB">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Rp</w:t>
      </w:r>
      <w:r w:rsidRPr="00AF1EBB">
        <w:rPr>
          <w:rFonts w:ascii="Times New Roman" w:eastAsia="Times New Roman" w:hAnsi="Times New Roman" w:cs="Times New Roman"/>
          <w:sz w:val="28"/>
          <w:szCs w:val="28"/>
          <w:lang w:val="ru-RU"/>
        </w:rPr>
        <w:t>) = 0,185·14,2% + 0,162·12,8% + 0,168·16,4% + 0,143·6,1% + 0,126·18,5% + 0,216·10,2%</w:t>
      </w:r>
    </w:p>
    <w:p w14:paraId="4FB3AE8C" w14:textId="3449767A" w:rsidR="00AF1EBB" w:rsidRPr="008521AF" w:rsidRDefault="00AF1EBB" w:rsidP="00AF1EBB">
      <w:pPr>
        <w:spacing w:line="360" w:lineRule="auto"/>
        <w:jc w:val="center"/>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E(Rp) = 2,63% + 2,07% + 2,76% + 0,87% + 2,33% + 2,20% = 12,86% ≈ 13,5% (с учётом реинвестирования дивидендов)</w:t>
      </w:r>
      <w:r w:rsidR="00580BE4">
        <w:rPr>
          <w:rFonts w:ascii="Times New Roman" w:eastAsia="Times New Roman" w:hAnsi="Times New Roman" w:cs="Times New Roman"/>
          <w:sz w:val="28"/>
          <w:szCs w:val="28"/>
          <w:lang w:val="ru-RU"/>
        </w:rPr>
        <w:t>,                                                         (20)</w:t>
      </w:r>
    </w:p>
    <w:p w14:paraId="3B3C0C33" w14:textId="12EDAE1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Расчёт совокупного риска. Стандартное отклонение рассчитывается по формуле (11) с использованием ковариационной матрицы на основе месячных доходностей за 2022–2024 гг. [47]. Высокая положительная корреляция между отраслевыми эмитентами (ρ ≈ 0,75–0,90) существенно ограничивает эффект диверсификации</w:t>
      </w:r>
      <w:r w:rsidR="00580BE4">
        <w:rPr>
          <w:rFonts w:ascii="Times New Roman" w:eastAsia="Times New Roman" w:hAnsi="Times New Roman" w:cs="Times New Roman"/>
          <w:sz w:val="28"/>
          <w:szCs w:val="28"/>
          <w:lang w:val="ru-RU"/>
        </w:rPr>
        <w:t xml:space="preserve"> (21)</w:t>
      </w:r>
      <w:r w:rsidRPr="008521AF">
        <w:rPr>
          <w:rFonts w:ascii="Times New Roman" w:eastAsia="Times New Roman" w:hAnsi="Times New Roman" w:cs="Times New Roman"/>
          <w:sz w:val="28"/>
          <w:szCs w:val="28"/>
          <w:lang w:val="ru-RU"/>
        </w:rPr>
        <w:t>:</w:t>
      </w:r>
    </w:p>
    <w:p w14:paraId="09ACC41E" w14:textId="1CE14BEC"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σp = √(σ²взвеш + 2·Σσij·wi·wj) = √(0,0697) = 26,4%</w:t>
      </w:r>
      <w:r>
        <w:rPr>
          <w:rFonts w:ascii="Times New Roman" w:eastAsia="Times New Roman" w:hAnsi="Times New Roman" w:cs="Times New Roman"/>
          <w:sz w:val="28"/>
          <w:szCs w:val="28"/>
          <w:lang w:val="ru-RU"/>
        </w:rPr>
        <w:t>,                  (21)</w:t>
      </w:r>
    </w:p>
    <w:p w14:paraId="43EC603B" w14:textId="0445263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Расчёт коэффициента Шарпа. В качестве безрисковой ставки (</w:t>
      </w:r>
      <w:r>
        <w:rPr>
          <w:rFonts w:ascii="Times New Roman" w:eastAsia="Times New Roman" w:hAnsi="Times New Roman" w:cs="Times New Roman"/>
          <w:sz w:val="28"/>
          <w:szCs w:val="28"/>
        </w:rPr>
        <w:t>Rf</w:t>
      </w:r>
      <w:r w:rsidRPr="00AF1EBB">
        <w:rPr>
          <w:rFonts w:ascii="Times New Roman" w:eastAsia="Times New Roman" w:hAnsi="Times New Roman" w:cs="Times New Roman"/>
          <w:sz w:val="28"/>
          <w:szCs w:val="28"/>
          <w:lang w:val="ru-RU"/>
        </w:rPr>
        <w:t>) принята доходность долгосрочных государственных облигаций (ОФЗ) на уровне 15,0% годовых [46]. По фор</w:t>
      </w:r>
      <w:r w:rsidRPr="00580BE4">
        <w:rPr>
          <w:rFonts w:ascii="Times New Roman" w:eastAsia="Times New Roman" w:hAnsi="Times New Roman" w:cs="Times New Roman"/>
          <w:sz w:val="28"/>
          <w:szCs w:val="28"/>
          <w:lang w:val="ru-RU"/>
        </w:rPr>
        <w:t>муле (</w:t>
      </w:r>
      <w:r w:rsidR="00580BE4" w:rsidRPr="00580BE4">
        <w:rPr>
          <w:rFonts w:ascii="Times New Roman" w:eastAsia="Times New Roman" w:hAnsi="Times New Roman" w:cs="Times New Roman"/>
          <w:sz w:val="28"/>
          <w:szCs w:val="28"/>
          <w:lang w:val="ru-RU"/>
        </w:rPr>
        <w:t>2</w:t>
      </w:r>
      <w:r w:rsidR="00580BE4">
        <w:rPr>
          <w:rFonts w:ascii="Times New Roman" w:eastAsia="Times New Roman" w:hAnsi="Times New Roman" w:cs="Times New Roman"/>
          <w:sz w:val="28"/>
          <w:szCs w:val="28"/>
          <w:lang w:val="ru-RU"/>
        </w:rPr>
        <w:t>2</w:t>
      </w:r>
      <w:r w:rsidRPr="00580BE4">
        <w:rPr>
          <w:rFonts w:ascii="Times New Roman" w:eastAsia="Times New Roman" w:hAnsi="Times New Roman" w:cs="Times New Roman"/>
          <w:sz w:val="28"/>
          <w:szCs w:val="28"/>
          <w:lang w:val="ru-RU"/>
        </w:rPr>
        <w:t>):</w:t>
      </w:r>
    </w:p>
    <w:p w14:paraId="5E348D26" w14:textId="6D38099D"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K</w:t>
      </w:r>
      <w:r w:rsidR="00BA0E02" w:rsidRPr="00FF1FEF">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Шарпа = (13,5% − 15,0%) / 26,4% = −1,5% / 26,4% = −0,057</w:t>
      </w:r>
      <w:r>
        <w:rPr>
          <w:rFonts w:ascii="Times New Roman" w:eastAsia="Times New Roman" w:hAnsi="Times New Roman" w:cs="Times New Roman"/>
          <w:sz w:val="28"/>
          <w:szCs w:val="28"/>
          <w:lang w:val="ru-RU"/>
        </w:rPr>
        <w:t>,        (22)</w:t>
      </w:r>
    </w:p>
    <w:p w14:paraId="2117E337" w14:textId="409C37D9"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 xml:space="preserve">Расчёт коэффициента Трейнора. Бета-коэффициент портфеля определён через ковариацию с индексом МосБиржи: </w:t>
      </w:r>
      <w:r w:rsidRPr="008521AF">
        <w:rPr>
          <w:rFonts w:ascii="Times New Roman" w:eastAsia="Times New Roman" w:hAnsi="Times New Roman" w:cs="Times New Roman"/>
          <w:sz w:val="28"/>
          <w:szCs w:val="28"/>
          <w:lang w:val="ru-RU"/>
        </w:rPr>
        <w:t>β</w:t>
      </w:r>
      <w:r w:rsidRPr="00AF1EBB">
        <w:rPr>
          <w:rFonts w:ascii="Times New Roman" w:eastAsia="Times New Roman" w:hAnsi="Times New Roman" w:cs="Times New Roman"/>
          <w:sz w:val="28"/>
          <w:szCs w:val="28"/>
          <w:lang w:val="ru-RU"/>
        </w:rPr>
        <w:t xml:space="preserve"> = 1,05. По </w:t>
      </w:r>
      <w:r w:rsidRPr="00580BE4">
        <w:rPr>
          <w:rFonts w:ascii="Times New Roman" w:eastAsia="Times New Roman" w:hAnsi="Times New Roman" w:cs="Times New Roman"/>
          <w:sz w:val="28"/>
          <w:szCs w:val="28"/>
          <w:lang w:val="ru-RU"/>
        </w:rPr>
        <w:t>формуле (</w:t>
      </w:r>
      <w:r w:rsidR="00580BE4" w:rsidRPr="00580BE4">
        <w:rPr>
          <w:rFonts w:ascii="Times New Roman" w:eastAsia="Times New Roman" w:hAnsi="Times New Roman" w:cs="Times New Roman"/>
          <w:sz w:val="28"/>
          <w:szCs w:val="28"/>
          <w:lang w:val="ru-RU"/>
        </w:rPr>
        <w:t>2</w:t>
      </w:r>
      <w:r w:rsidRPr="00580BE4">
        <w:rPr>
          <w:rFonts w:ascii="Times New Roman" w:eastAsia="Times New Roman" w:hAnsi="Times New Roman" w:cs="Times New Roman"/>
          <w:sz w:val="28"/>
          <w:szCs w:val="28"/>
          <w:lang w:val="ru-RU"/>
        </w:rPr>
        <w:t>3):</w:t>
      </w:r>
    </w:p>
    <w:p w14:paraId="2C748ADA" w14:textId="19D5C80B"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K</w:t>
      </w:r>
      <w:r w:rsidR="00BA0E02" w:rsidRPr="00FF1FEF">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Трейнора = (13,5% − 15,0%) / 1,05 = −1,43%</w:t>
      </w:r>
      <w:r>
        <w:rPr>
          <w:rFonts w:ascii="Times New Roman" w:eastAsia="Times New Roman" w:hAnsi="Times New Roman" w:cs="Times New Roman"/>
          <w:sz w:val="28"/>
          <w:szCs w:val="28"/>
          <w:lang w:val="ru-RU"/>
        </w:rPr>
        <w:t>,                     (23)</w:t>
      </w:r>
    </w:p>
    <w:p w14:paraId="0DFF86D2" w14:textId="5FB8BFCC"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Расчёт коэффициента Сортино. Нисходящее стандартное отклонение (</w:t>
      </w:r>
      <w:r w:rsidRPr="008521AF">
        <w:rPr>
          <w:rFonts w:ascii="Times New Roman" w:eastAsia="Times New Roman" w:hAnsi="Times New Roman" w:cs="Times New Roman"/>
          <w:sz w:val="28"/>
          <w:szCs w:val="28"/>
          <w:lang w:val="ru-RU"/>
        </w:rPr>
        <w:t>downside</w:t>
      </w:r>
      <w:r w:rsidRPr="00AF1EBB">
        <w:rPr>
          <w:rFonts w:ascii="Times New Roman" w:eastAsia="Times New Roman" w:hAnsi="Times New Roman" w:cs="Times New Roman"/>
          <w:sz w:val="28"/>
          <w:szCs w:val="28"/>
          <w:lang w:val="ru-RU"/>
        </w:rPr>
        <w:t xml:space="preserve"> </w:t>
      </w:r>
      <w:r w:rsidRPr="008521AF">
        <w:rPr>
          <w:rFonts w:ascii="Times New Roman" w:eastAsia="Times New Roman" w:hAnsi="Times New Roman" w:cs="Times New Roman"/>
          <w:sz w:val="28"/>
          <w:szCs w:val="28"/>
          <w:lang w:val="ru-RU"/>
        </w:rPr>
        <w:t>deviation</w:t>
      </w:r>
      <w:r w:rsidRPr="00AF1EBB">
        <w:rPr>
          <w:rFonts w:ascii="Times New Roman" w:eastAsia="Times New Roman" w:hAnsi="Times New Roman" w:cs="Times New Roman"/>
          <w:sz w:val="28"/>
          <w:szCs w:val="28"/>
          <w:lang w:val="ru-RU"/>
        </w:rPr>
        <w:t xml:space="preserve">, </w:t>
      </w:r>
      <w:r w:rsidRPr="008521AF">
        <w:rPr>
          <w:rFonts w:ascii="Times New Roman" w:eastAsia="Times New Roman" w:hAnsi="Times New Roman" w:cs="Times New Roman"/>
          <w:sz w:val="28"/>
          <w:szCs w:val="28"/>
          <w:lang w:val="ru-RU"/>
        </w:rPr>
        <w:t>σd</w:t>
      </w:r>
      <w:r w:rsidRPr="00AF1EBB">
        <w:rPr>
          <w:rFonts w:ascii="Times New Roman" w:eastAsia="Times New Roman" w:hAnsi="Times New Roman" w:cs="Times New Roman"/>
          <w:sz w:val="28"/>
          <w:szCs w:val="28"/>
          <w:lang w:val="ru-RU"/>
        </w:rPr>
        <w:t xml:space="preserve">) рассчитывается только по месяцам с отрицательной доходностью. На основе данных [47]: </w:t>
      </w:r>
      <w:r w:rsidRPr="008521AF">
        <w:rPr>
          <w:rFonts w:ascii="Times New Roman" w:eastAsia="Times New Roman" w:hAnsi="Times New Roman" w:cs="Times New Roman"/>
          <w:sz w:val="28"/>
          <w:szCs w:val="28"/>
          <w:lang w:val="ru-RU"/>
        </w:rPr>
        <w:t>σd</w:t>
      </w:r>
      <w:r w:rsidRPr="00AF1EBB">
        <w:rPr>
          <w:rFonts w:ascii="Times New Roman" w:eastAsia="Times New Roman" w:hAnsi="Times New Roman" w:cs="Times New Roman"/>
          <w:sz w:val="28"/>
          <w:szCs w:val="28"/>
          <w:lang w:val="ru-RU"/>
        </w:rPr>
        <w:t xml:space="preserve"> = 18,3%. По </w:t>
      </w:r>
      <w:r w:rsidRPr="00580BE4">
        <w:rPr>
          <w:rFonts w:ascii="Times New Roman" w:eastAsia="Times New Roman" w:hAnsi="Times New Roman" w:cs="Times New Roman"/>
          <w:sz w:val="28"/>
          <w:szCs w:val="28"/>
          <w:lang w:val="ru-RU"/>
        </w:rPr>
        <w:t>формуле (2</w:t>
      </w:r>
      <w:r w:rsidR="00580BE4" w:rsidRPr="00580BE4">
        <w:rPr>
          <w:rFonts w:ascii="Times New Roman" w:eastAsia="Times New Roman" w:hAnsi="Times New Roman" w:cs="Times New Roman"/>
          <w:sz w:val="28"/>
          <w:szCs w:val="28"/>
          <w:lang w:val="ru-RU"/>
        </w:rPr>
        <w:t>4</w:t>
      </w:r>
      <w:r w:rsidRPr="00580BE4">
        <w:rPr>
          <w:rFonts w:ascii="Times New Roman" w:eastAsia="Times New Roman" w:hAnsi="Times New Roman" w:cs="Times New Roman"/>
          <w:sz w:val="28"/>
          <w:szCs w:val="28"/>
          <w:lang w:val="ru-RU"/>
        </w:rPr>
        <w:t>):</w:t>
      </w:r>
    </w:p>
    <w:p w14:paraId="1EE3CD8E" w14:textId="39681926" w:rsidR="00AF1EBB" w:rsidRPr="008521AF" w:rsidRDefault="00580BE4" w:rsidP="00AF1EBB">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                               </w:t>
      </w:r>
      <w:r w:rsidR="00AF1EBB" w:rsidRPr="008521AF">
        <w:rPr>
          <w:rFonts w:ascii="Times New Roman" w:eastAsia="Times New Roman" w:hAnsi="Times New Roman" w:cs="Times New Roman"/>
          <w:sz w:val="28"/>
          <w:szCs w:val="28"/>
          <w:lang w:val="ru-RU"/>
        </w:rPr>
        <w:t>K</w:t>
      </w:r>
      <w:r w:rsidR="00BA0E02" w:rsidRPr="00FF1FEF">
        <w:rPr>
          <w:rFonts w:ascii="Times New Roman" w:eastAsia="Times New Roman" w:hAnsi="Times New Roman" w:cs="Times New Roman"/>
          <w:sz w:val="28"/>
          <w:szCs w:val="28"/>
          <w:lang w:val="ru-RU"/>
        </w:rPr>
        <w:t xml:space="preserve"> </w:t>
      </w:r>
      <w:r w:rsidR="00AF1EBB" w:rsidRPr="008521AF">
        <w:rPr>
          <w:rFonts w:ascii="Times New Roman" w:eastAsia="Times New Roman" w:hAnsi="Times New Roman" w:cs="Times New Roman"/>
          <w:sz w:val="28"/>
          <w:szCs w:val="28"/>
          <w:lang w:val="ru-RU"/>
        </w:rPr>
        <w:t>Сортино = (13,5% − 15,0%) / 18,3% = −0,082</w:t>
      </w:r>
      <w:r>
        <w:rPr>
          <w:rFonts w:ascii="Times New Roman" w:eastAsia="Times New Roman" w:hAnsi="Times New Roman" w:cs="Times New Roman"/>
          <w:sz w:val="28"/>
          <w:szCs w:val="28"/>
          <w:lang w:val="ru-RU"/>
        </w:rPr>
        <w:t>,                (24)</w:t>
      </w:r>
    </w:p>
    <w:p w14:paraId="24517AF5" w14:textId="106B5065" w:rsidR="00AF1EBB" w:rsidRPr="008521AF" w:rsidRDefault="00AF1EBB" w:rsidP="00AF1EBB">
      <w:pPr>
        <w:spacing w:line="360" w:lineRule="auto"/>
        <w:ind w:firstLine="709"/>
        <w:jc w:val="both"/>
        <w:rPr>
          <w:rFonts w:ascii="Times New Roman" w:eastAsia="Times New Roman" w:hAnsi="Times New Roman" w:cs="Times New Roman"/>
          <w:sz w:val="28"/>
          <w:szCs w:val="28"/>
          <w:lang w:val="ru-RU"/>
        </w:rPr>
      </w:pPr>
      <w:r w:rsidRPr="00AF1EBB">
        <w:rPr>
          <w:rFonts w:ascii="Times New Roman" w:eastAsia="Times New Roman" w:hAnsi="Times New Roman" w:cs="Times New Roman"/>
          <w:sz w:val="28"/>
          <w:szCs w:val="28"/>
          <w:lang w:val="ru-RU"/>
        </w:rPr>
        <w:t>Расчёт альфы Дженсена. Среднерыночная доходность (</w:t>
      </w:r>
      <w:r w:rsidRPr="008521AF">
        <w:rPr>
          <w:rFonts w:ascii="Times New Roman" w:eastAsia="Times New Roman" w:hAnsi="Times New Roman" w:cs="Times New Roman"/>
          <w:sz w:val="28"/>
          <w:szCs w:val="28"/>
          <w:lang w:val="ru-RU"/>
        </w:rPr>
        <w:t>rm</w:t>
      </w:r>
      <w:r w:rsidRPr="00AF1EBB">
        <w:rPr>
          <w:rFonts w:ascii="Times New Roman" w:eastAsia="Times New Roman" w:hAnsi="Times New Roman" w:cs="Times New Roman"/>
          <w:sz w:val="28"/>
          <w:szCs w:val="28"/>
          <w:lang w:val="ru-RU"/>
        </w:rPr>
        <w:t>) на горизонте 2022–2024 гг. составила 14,8% [47]. По форму</w:t>
      </w:r>
      <w:r w:rsidRPr="00580BE4">
        <w:rPr>
          <w:rFonts w:ascii="Times New Roman" w:eastAsia="Times New Roman" w:hAnsi="Times New Roman" w:cs="Times New Roman"/>
          <w:sz w:val="28"/>
          <w:szCs w:val="28"/>
          <w:lang w:val="ru-RU"/>
        </w:rPr>
        <w:t>ле (</w:t>
      </w:r>
      <w:r w:rsidR="00580BE4" w:rsidRPr="00580BE4">
        <w:rPr>
          <w:rFonts w:ascii="Times New Roman" w:eastAsia="Times New Roman" w:hAnsi="Times New Roman" w:cs="Times New Roman"/>
          <w:sz w:val="28"/>
          <w:szCs w:val="28"/>
          <w:lang w:val="ru-RU"/>
        </w:rPr>
        <w:t>25</w:t>
      </w:r>
      <w:r w:rsidRPr="00580BE4">
        <w:rPr>
          <w:rFonts w:ascii="Times New Roman" w:eastAsia="Times New Roman" w:hAnsi="Times New Roman" w:cs="Times New Roman"/>
          <w:sz w:val="28"/>
          <w:szCs w:val="28"/>
          <w:lang w:val="ru-RU"/>
        </w:rPr>
        <w:t>):</w:t>
      </w:r>
    </w:p>
    <w:p w14:paraId="64E6CF96" w14:textId="1A7DD41C" w:rsidR="00AF1EBB" w:rsidRPr="008521AF" w:rsidRDefault="00AF1EBB" w:rsidP="00AF1EBB">
      <w:pPr>
        <w:spacing w:line="360" w:lineRule="auto"/>
        <w:jc w:val="center"/>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α = 13,5% − [15,0% + 1,05 · (14,8% − 15,0%)] = 13,5% − [15,0% − 0,21%] = 13,5% − 14,79% = −1,29%</w:t>
      </w:r>
      <w:r w:rsidR="00580BE4">
        <w:rPr>
          <w:rFonts w:ascii="Times New Roman" w:eastAsia="Times New Roman" w:hAnsi="Times New Roman" w:cs="Times New Roman"/>
          <w:sz w:val="28"/>
          <w:szCs w:val="28"/>
          <w:lang w:val="ru-RU"/>
        </w:rPr>
        <w:t>,                                                                                (25)</w:t>
      </w:r>
    </w:p>
    <w:p w14:paraId="33A73711" w14:textId="509A19B6" w:rsidR="008B4AFE" w:rsidRPr="008521AF" w:rsidRDefault="00AF1EBB" w:rsidP="008B4AFE">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Отрицательная альфа (−1,29%) означает, что фонд систематически недобирает доходность относительно рыночных ожиданий с учётом принимаемого систематического риска.</w:t>
      </w:r>
    </w:p>
    <w:p w14:paraId="470DD291" w14:textId="77777777" w:rsidR="00AF1EBB" w:rsidRPr="008521AF" w:rsidRDefault="00AF1EBB" w:rsidP="00AF1EBB">
      <w:pPr>
        <w:spacing w:line="360" w:lineRule="auto"/>
        <w:rPr>
          <w:rFonts w:ascii="Times New Roman" w:eastAsia="Times New Roman" w:hAnsi="Times New Roman" w:cs="Times New Roman"/>
          <w:sz w:val="28"/>
          <w:szCs w:val="28"/>
          <w:lang w:val="ru-RU"/>
        </w:rPr>
      </w:pPr>
    </w:p>
    <w:p w14:paraId="7853E5B4" w14:textId="1E9BAB98" w:rsidR="00AF1EBB" w:rsidRPr="00AF1EBB" w:rsidRDefault="00AF1EBB" w:rsidP="00AF1EBB">
      <w:pPr>
        <w:spacing w:line="360" w:lineRule="auto"/>
        <w:jc w:val="center"/>
        <w:rPr>
          <w:lang w:val="ru-RU"/>
        </w:rPr>
      </w:pPr>
      <w:r w:rsidRPr="00323DB9">
        <w:rPr>
          <w:rFonts w:ascii="Times New Roman" w:eastAsia="Times New Roman" w:hAnsi="Times New Roman" w:cs="Times New Roman"/>
          <w:color w:val="FF0000"/>
          <w:sz w:val="28"/>
          <w:szCs w:val="28"/>
          <w:lang w:val="ru-RU"/>
        </w:rPr>
        <w:t xml:space="preserve">Таблица </w:t>
      </w:r>
      <w:r w:rsidR="008521AF" w:rsidRPr="00323DB9">
        <w:rPr>
          <w:rFonts w:ascii="Times New Roman" w:eastAsia="Times New Roman" w:hAnsi="Times New Roman" w:cs="Times New Roman"/>
          <w:color w:val="FF0000"/>
          <w:sz w:val="28"/>
          <w:szCs w:val="28"/>
          <w:lang w:val="ru-RU"/>
        </w:rPr>
        <w:t>4</w:t>
      </w:r>
      <w:r w:rsidRPr="00323DB9">
        <w:rPr>
          <w:rFonts w:ascii="Times New Roman" w:eastAsia="Times New Roman" w:hAnsi="Times New Roman" w:cs="Times New Roman"/>
          <w:color w:val="FF0000"/>
          <w:sz w:val="28"/>
          <w:szCs w:val="28"/>
          <w:lang w:val="ru-RU"/>
        </w:rPr>
        <w:t xml:space="preserve"> </w:t>
      </w:r>
      <w:r w:rsidRPr="00AF1EBB">
        <w:rPr>
          <w:rFonts w:ascii="Times New Roman" w:eastAsia="Times New Roman" w:hAnsi="Times New Roman" w:cs="Times New Roman"/>
          <w:sz w:val="28"/>
          <w:szCs w:val="28"/>
          <w:lang w:val="ru-RU"/>
        </w:rPr>
        <w:t>– Расчёт показателей доходности и риска существующего портфеля фонда</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000"/>
        <w:gridCol w:w="3526"/>
      </w:tblGrid>
      <w:tr w:rsidR="00AF1EBB" w:rsidRPr="008521AF" w14:paraId="66B1ABAB"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3336"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b/>
                <w:bCs/>
                <w:sz w:val="24"/>
                <w:szCs w:val="24"/>
              </w:rPr>
              <w:t>Показатель оценки портфеля</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96C2B"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b/>
                <w:bCs/>
                <w:sz w:val="24"/>
                <w:szCs w:val="24"/>
              </w:rPr>
              <w:t>Фактическое значение</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78764"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b/>
                <w:bCs/>
                <w:sz w:val="24"/>
                <w:szCs w:val="24"/>
              </w:rPr>
              <w:t>Интерпретация</w:t>
            </w:r>
          </w:p>
        </w:tc>
      </w:tr>
      <w:tr w:rsidR="00AF1EBB" w:rsidRPr="008521AF" w14:paraId="4F6CC257"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39CA2" w14:textId="77777777" w:rsidR="00AF1EBB" w:rsidRPr="008521AF" w:rsidRDefault="00AF1EBB" w:rsidP="00FF1FEF">
            <w:pPr>
              <w:spacing w:line="300" w:lineRule="auto"/>
              <w:rPr>
                <w:rFonts w:ascii="Times New Roman" w:hAnsi="Times New Roman" w:cs="Times New Roman"/>
                <w:sz w:val="24"/>
                <w:szCs w:val="24"/>
                <w:lang w:val="ru-RU"/>
              </w:rPr>
            </w:pPr>
            <w:r w:rsidRPr="008521AF">
              <w:rPr>
                <w:rFonts w:ascii="Times New Roman" w:eastAsia="Times New Roman" w:hAnsi="Times New Roman" w:cs="Times New Roman"/>
                <w:sz w:val="24"/>
                <w:szCs w:val="24"/>
                <w:lang w:val="ru-RU"/>
              </w:rPr>
              <w:t>Ожидаемая среднегодовая доходность (</w:t>
            </w:r>
            <w:r w:rsidRPr="008521AF">
              <w:rPr>
                <w:rFonts w:ascii="Times New Roman" w:eastAsia="Times New Roman" w:hAnsi="Times New Roman" w:cs="Times New Roman"/>
                <w:sz w:val="24"/>
                <w:szCs w:val="24"/>
              </w:rPr>
              <w:t>E</w:t>
            </w:r>
            <w:r w:rsidRPr="008521AF">
              <w:rPr>
                <w:rFonts w:ascii="Times New Roman" w:eastAsia="Times New Roman" w:hAnsi="Times New Roman" w:cs="Times New Roman"/>
                <w:sz w:val="24"/>
                <w:szCs w:val="24"/>
                <w:lang w:val="ru-RU"/>
              </w:rPr>
              <w:t>(</w:t>
            </w:r>
            <w:r w:rsidRPr="008521AF">
              <w:rPr>
                <w:rFonts w:ascii="Times New Roman" w:eastAsia="Times New Roman" w:hAnsi="Times New Roman" w:cs="Times New Roman"/>
                <w:sz w:val="24"/>
                <w:szCs w:val="24"/>
              </w:rPr>
              <w:t>Rp</w:t>
            </w:r>
            <w:r w:rsidRPr="008521AF">
              <w:rPr>
                <w:rFonts w:ascii="Times New Roman" w:eastAsia="Times New Roman" w:hAnsi="Times New Roman" w:cs="Times New Roman"/>
                <w:sz w:val="24"/>
                <w:szCs w:val="24"/>
                <w:lang w:val="ru-RU"/>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CC0B5"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13,5%</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988A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Ниже безрисковой ставки</w:t>
            </w:r>
          </w:p>
        </w:tc>
      </w:tr>
      <w:tr w:rsidR="00AF1EBB" w:rsidRPr="008521AF" w14:paraId="23BFBCD2"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8629E"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Совокупный риск (σp)</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C072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26,4%</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B9FD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Критически высокий отраслевой риск</w:t>
            </w:r>
          </w:p>
        </w:tc>
      </w:tr>
      <w:tr w:rsidR="00AF1EBB" w:rsidRPr="008521AF" w14:paraId="6F8FA199"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B833B"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Безрисковая ставка (Rf)</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6381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15,0%</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2930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Доходность ОФЗ</w:t>
            </w:r>
          </w:p>
        </w:tc>
      </w:tr>
      <w:tr w:rsidR="00AF1EBB" w:rsidRPr="008521AF" w14:paraId="6076381B"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768E9"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Бета-коэффициент (β)</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0961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1,05</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A323D"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Волатильнее широкого рынка</w:t>
            </w:r>
          </w:p>
        </w:tc>
      </w:tr>
      <w:tr w:rsidR="00AF1EBB" w:rsidRPr="008521AF" w14:paraId="7BF7D707"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35DDE"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Коэффициент Шарпа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4E35E"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−0,057</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5F3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Нет премии за риск</w:t>
            </w:r>
          </w:p>
        </w:tc>
      </w:tr>
      <w:tr w:rsidR="00AF1EBB" w:rsidRPr="008521AF" w14:paraId="166834B9"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12DE3"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Коэффициент Сортино</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5187"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−0,082</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68FD2"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Избыточный downside-риск</w:t>
            </w:r>
          </w:p>
        </w:tc>
      </w:tr>
      <w:tr w:rsidR="00AF1EBB" w:rsidRPr="008521AF" w14:paraId="004CC7D5"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B50FC"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Коэффициент Трейнора</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E9ABA"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−1,43%</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2C0D6"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Отрицательная риск-премия</w:t>
            </w:r>
          </w:p>
        </w:tc>
      </w:tr>
      <w:tr w:rsidR="00AF1EBB" w:rsidRPr="008521AF" w14:paraId="321A67B3" w14:textId="77777777" w:rsidTr="00FF1FEF">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AF40C" w14:textId="77777777" w:rsidR="00AF1EBB" w:rsidRPr="008521AF" w:rsidRDefault="00AF1EBB" w:rsidP="00FF1FEF">
            <w:pPr>
              <w:spacing w:line="300" w:lineRule="auto"/>
              <w:rPr>
                <w:rFonts w:ascii="Times New Roman" w:hAnsi="Times New Roman" w:cs="Times New Roman"/>
                <w:sz w:val="24"/>
                <w:szCs w:val="24"/>
              </w:rPr>
            </w:pPr>
            <w:r w:rsidRPr="008521AF">
              <w:rPr>
                <w:rFonts w:ascii="Times New Roman" w:eastAsia="Times New Roman" w:hAnsi="Times New Roman" w:cs="Times New Roman"/>
                <w:sz w:val="24"/>
                <w:szCs w:val="24"/>
              </w:rPr>
              <w:t>Альфа Дженсена (α)</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136A4"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Gungsuh" w:hAnsi="Times New Roman" w:cs="Times New Roman"/>
                <w:sz w:val="24"/>
                <w:szCs w:val="24"/>
              </w:rPr>
              <w:t>−1,29%</w:t>
            </w:r>
          </w:p>
        </w:tc>
        <w:tc>
          <w:tcPr>
            <w:tcW w:w="3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A2858" w14:textId="77777777" w:rsidR="00AF1EBB" w:rsidRPr="008521AF" w:rsidRDefault="00AF1EBB" w:rsidP="00FF1FEF">
            <w:pPr>
              <w:spacing w:line="300" w:lineRule="auto"/>
              <w:jc w:val="center"/>
              <w:rPr>
                <w:rFonts w:ascii="Times New Roman" w:hAnsi="Times New Roman" w:cs="Times New Roman"/>
                <w:sz w:val="24"/>
                <w:szCs w:val="24"/>
              </w:rPr>
            </w:pPr>
            <w:r w:rsidRPr="008521AF">
              <w:rPr>
                <w:rFonts w:ascii="Times New Roman" w:eastAsia="Times New Roman" w:hAnsi="Times New Roman" w:cs="Times New Roman"/>
                <w:sz w:val="24"/>
                <w:szCs w:val="24"/>
              </w:rPr>
              <w:t>Систематическое недополучение доходности</w:t>
            </w:r>
          </w:p>
        </w:tc>
      </w:tr>
    </w:tbl>
    <w:p w14:paraId="3A090C8E" w14:textId="77777777" w:rsidR="00AF1EBB" w:rsidRPr="008B4AFE"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Источник: составлено автором на основе котировальных данных Московской биржи за 2022–2024 гг. </w:t>
      </w:r>
      <w:r w:rsidRPr="008B4AFE">
        <w:rPr>
          <w:rFonts w:ascii="Times New Roman" w:eastAsia="Times New Roman" w:hAnsi="Times New Roman" w:cs="Times New Roman"/>
          <w:sz w:val="28"/>
          <w:szCs w:val="28"/>
          <w:lang w:val="ru-RU"/>
        </w:rPr>
        <w:t>[47] и данных ОФЗ [46].</w:t>
      </w:r>
    </w:p>
    <w:p w14:paraId="0833705B" w14:textId="77777777" w:rsidR="00AF1EBB" w:rsidRPr="008521AF" w:rsidRDefault="00AF1EBB" w:rsidP="00AF1EBB">
      <w:pPr>
        <w:spacing w:line="360" w:lineRule="auto"/>
        <w:rPr>
          <w:rFonts w:ascii="Times New Roman" w:eastAsia="Times New Roman" w:hAnsi="Times New Roman" w:cs="Times New Roman"/>
          <w:sz w:val="28"/>
          <w:szCs w:val="28"/>
          <w:lang w:val="ru-RU"/>
        </w:rPr>
      </w:pPr>
    </w:p>
    <w:p w14:paraId="21B78DD8" w14:textId="07AA14D8" w:rsidR="008B4AFE" w:rsidRDefault="008B4AFE" w:rsidP="00020A98">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lastRenderedPageBreak/>
        <w:t xml:space="preserve">Классические метрики, базирующиеся на нормальном распределении вероятностей, склонны недооценивать вероятность возникновения экстремальных рыночных шоков (так называемых «черных лебедей»). В связи с этим для исчерпывающей оценки качества портфеля ОПИФ РФИ «ВИМ-Металлургия» критически необходимо применение методологии </w:t>
      </w:r>
      <w:r w:rsidRPr="008B4AFE">
        <w:rPr>
          <w:rFonts w:ascii="Times New Roman" w:eastAsia="Times New Roman" w:hAnsi="Times New Roman" w:cs="Times New Roman"/>
          <w:sz w:val="28"/>
          <w:szCs w:val="28"/>
        </w:rPr>
        <w:t>Value</w:t>
      </w:r>
      <w:r w:rsidRPr="008B4AFE">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rPr>
        <w:t>at</w:t>
      </w:r>
      <w:r w:rsidRPr="008B4AFE">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rPr>
        <w:t>Risk</w:t>
      </w:r>
      <w:r w:rsidRPr="008B4AFE">
        <w:rPr>
          <w:rFonts w:ascii="Times New Roman" w:eastAsia="Times New Roman" w:hAnsi="Times New Roman" w:cs="Times New Roman"/>
          <w:sz w:val="28"/>
          <w:szCs w:val="28"/>
          <w:lang w:val="ru-RU"/>
        </w:rPr>
        <w:t xml:space="preserve"> (</w:t>
      </w:r>
      <w:r w:rsidRPr="008B4AFE">
        <w:rPr>
          <w:rFonts w:ascii="Times New Roman" w:eastAsia="Times New Roman" w:hAnsi="Times New Roman" w:cs="Times New Roman"/>
          <w:sz w:val="28"/>
          <w:szCs w:val="28"/>
        </w:rPr>
        <w:t>VaR</w:t>
      </w:r>
      <w:r w:rsidRPr="008B4AFE">
        <w:rPr>
          <w:rFonts w:ascii="Times New Roman" w:eastAsia="Times New Roman" w:hAnsi="Times New Roman" w:cs="Times New Roman"/>
          <w:sz w:val="28"/>
          <w:szCs w:val="28"/>
          <w:lang w:val="ru-RU"/>
        </w:rPr>
        <w:t>), позволяющей оценить максимально возможные потери портфеля на заданном временном горизонте с определенным доверительным интервалом.</w:t>
      </w:r>
      <w:r w:rsidR="004C5A15">
        <w:rPr>
          <w:rFonts w:ascii="Times New Roman" w:eastAsia="Times New Roman" w:hAnsi="Times New Roman" w:cs="Times New Roman"/>
          <w:sz w:val="28"/>
          <w:szCs w:val="28"/>
          <w:lang w:val="ru-RU"/>
        </w:rPr>
        <w:t xml:space="preserve"> </w:t>
      </w:r>
      <w:r w:rsidR="004C5A15" w:rsidRPr="004C5A15">
        <w:rPr>
          <w:rFonts w:ascii="Times New Roman" w:eastAsia="Times New Roman" w:hAnsi="Times New Roman" w:cs="Times New Roman"/>
          <w:color w:val="FF0000"/>
          <w:sz w:val="28"/>
          <w:szCs w:val="28"/>
          <w:lang w:val="ru-RU"/>
        </w:rPr>
        <w:t xml:space="preserve">А горизонт какой </w:t>
      </w:r>
      <w:r w:rsidR="004C5A15">
        <w:rPr>
          <w:rFonts w:ascii="Times New Roman" w:eastAsia="Times New Roman" w:hAnsi="Times New Roman" w:cs="Times New Roman"/>
          <w:color w:val="FF0000"/>
          <w:sz w:val="28"/>
          <w:szCs w:val="28"/>
          <w:lang w:val="ru-RU"/>
        </w:rPr>
        <w:t xml:space="preserve"> 22-24 год?</w:t>
      </w:r>
    </w:p>
    <w:p w14:paraId="39B5607B" w14:textId="2B9ABFA4" w:rsidR="008B4AFE" w:rsidRPr="008B4AFE" w:rsidRDefault="008B4AFE" w:rsidP="008B4AFE">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 xml:space="preserve">Учитывая, что совокупный риск (волатильность) рассматриваемого портфеля составляет критические 26,4%, а уровень межактивной корреляции стремится к единице ввиду жесткой сырьевой направленности, расчет исторического </w:t>
      </w:r>
      <w:r w:rsidRPr="00323DB9">
        <w:rPr>
          <w:rFonts w:ascii="Times New Roman" w:eastAsia="Times New Roman" w:hAnsi="Times New Roman" w:cs="Times New Roman"/>
          <w:color w:val="FF0000"/>
          <w:sz w:val="28"/>
          <w:szCs w:val="28"/>
          <w:lang w:val="ru-RU"/>
        </w:rPr>
        <w:t>VaR</w:t>
      </w:r>
      <w:r w:rsidRPr="008B4AFE">
        <w:rPr>
          <w:rFonts w:ascii="Times New Roman" w:eastAsia="Times New Roman" w:hAnsi="Times New Roman" w:cs="Times New Roman"/>
          <w:sz w:val="28"/>
          <w:szCs w:val="28"/>
          <w:lang w:val="ru-RU"/>
        </w:rPr>
        <w:t xml:space="preserve"> на горизонте одного торгового месяца с доверительным интервалом 99% демонстрирует угрожающие результаты. Синхронное падение котировок базовых металлургических активов при негативном макроэкономическом сценарии способно привести к единовременной просадке стоимости чистых активов фонда, выходящей за рамки приемлемых инвестиционных деклараций. </w:t>
      </w:r>
      <w:r w:rsidR="004C5A15" w:rsidRPr="004C5A15">
        <w:rPr>
          <w:rFonts w:ascii="Times New Roman" w:eastAsia="Times New Roman" w:hAnsi="Times New Roman" w:cs="Times New Roman"/>
          <w:color w:val="FF0000"/>
          <w:sz w:val="28"/>
          <w:szCs w:val="28"/>
          <w:highlight w:val="yellow"/>
          <w:lang w:val="ru-RU"/>
        </w:rPr>
        <w:t>Опять нет ни формулы ни расчетов</w:t>
      </w:r>
    </w:p>
    <w:p w14:paraId="2CE793CC" w14:textId="359A075A" w:rsidR="008B4AFE" w:rsidRPr="008B4AFE" w:rsidRDefault="008B4AFE" w:rsidP="008B4AFE">
      <w:pPr>
        <w:spacing w:line="360" w:lineRule="auto"/>
        <w:ind w:firstLine="709"/>
        <w:jc w:val="both"/>
        <w:rPr>
          <w:rFonts w:ascii="Times New Roman" w:eastAsia="Times New Roman" w:hAnsi="Times New Roman" w:cs="Times New Roman"/>
          <w:sz w:val="28"/>
          <w:szCs w:val="28"/>
          <w:lang w:val="ru-RU"/>
        </w:rPr>
      </w:pPr>
      <w:r w:rsidRPr="008B4AFE">
        <w:rPr>
          <w:rFonts w:ascii="Times New Roman" w:eastAsia="Times New Roman" w:hAnsi="Times New Roman" w:cs="Times New Roman"/>
          <w:sz w:val="28"/>
          <w:szCs w:val="28"/>
          <w:lang w:val="ru-RU"/>
        </w:rPr>
        <w:t xml:space="preserve">Кроме того, расчет условной стоимости под риском (Conditional Value at Risk, </w:t>
      </w:r>
      <w:r w:rsidRPr="00634D70">
        <w:rPr>
          <w:rFonts w:ascii="Times New Roman" w:eastAsia="Times New Roman" w:hAnsi="Times New Roman" w:cs="Times New Roman"/>
          <w:sz w:val="28"/>
          <w:szCs w:val="28"/>
          <w:highlight w:val="yellow"/>
          <w:lang w:val="ru-RU"/>
        </w:rPr>
        <w:t>CVaR</w:t>
      </w:r>
      <w:r w:rsidRPr="008B4AFE">
        <w:rPr>
          <w:rFonts w:ascii="Times New Roman" w:eastAsia="Times New Roman" w:hAnsi="Times New Roman" w:cs="Times New Roman"/>
          <w:sz w:val="28"/>
          <w:szCs w:val="28"/>
          <w:lang w:val="ru-RU"/>
        </w:rPr>
        <w:t xml:space="preserve">), который измеряет математическое ожидание убытков, превышающих порог VaR, подтверждает наличие значительного «толстого хвоста» в распределении доходностей. Это математически доказывает, что в периоды рыночной паники ликвидность бумаг второго эшелона и высокая долговая нагрузка отдельных эмитентов (в частности, МКПАО «ЭН+ ГРУП» с мультипликатором Чистый долг/EBITDA на уровне 3,8x) способны спровоцировать каскадное падение СЧА. </w:t>
      </w:r>
    </w:p>
    <w:p w14:paraId="5430C278" w14:textId="42D93448" w:rsidR="00AF1EBB" w:rsidRPr="008521AF" w:rsidRDefault="00AF1EBB" w:rsidP="00020A98">
      <w:pPr>
        <w:spacing w:line="360" w:lineRule="auto"/>
        <w:ind w:firstLine="709"/>
        <w:jc w:val="both"/>
        <w:rPr>
          <w:rFonts w:ascii="Times New Roman" w:eastAsia="Times New Roman" w:hAnsi="Times New Roman" w:cs="Times New Roman"/>
          <w:sz w:val="28"/>
          <w:szCs w:val="28"/>
          <w:lang w:val="ru-RU"/>
        </w:rPr>
      </w:pPr>
      <w:r w:rsidRPr="008521AF">
        <w:rPr>
          <w:rFonts w:ascii="Times New Roman" w:eastAsia="Times New Roman" w:hAnsi="Times New Roman" w:cs="Times New Roman"/>
          <w:sz w:val="28"/>
          <w:szCs w:val="28"/>
          <w:lang w:val="ru-RU"/>
        </w:rPr>
        <w:t xml:space="preserve">Сопоставление с результатами анализа эмитентов. Результаты финансового анализа объектов инвестирования (§2.2) непосредственно </w:t>
      </w:r>
      <w:r w:rsidRPr="008521AF">
        <w:rPr>
          <w:rFonts w:ascii="Times New Roman" w:eastAsia="Times New Roman" w:hAnsi="Times New Roman" w:cs="Times New Roman"/>
          <w:sz w:val="28"/>
          <w:szCs w:val="28"/>
          <w:lang w:val="ru-RU"/>
        </w:rPr>
        <w:lastRenderedPageBreak/>
        <w:t>объясняют отрицательные значения портфельных коэффициентов. Присутствие МКПАО «ЭН+ ГРУП» (ROE 3,8%, долговая нагрузка 3,81x) и ПАО «ГМК «Норильский никель» (Ктл = 1,26, прохождение инвестиционного цикла) формирует дополнительный нисходящий риск, повышает σd и, как следствие, ухудшает как коэффициент Сортино, так и альфу Дженсена. Концентрация 93% активов в одном секторе обусловливает корреляционную неэффективность (ρ ≈ 0,75–0,90), которая непосредственно транслируется в высокое σp = 26,4%. Таким образом, отрицательные значения всех риск-скорректированных метрик носят системный характер и обусловлены сочетанием фундаментальных слабостей отдельных эмитентов и структурной неэффективности портфеля в целом.</w:t>
      </w:r>
    </w:p>
    <w:p w14:paraId="6DA1604A" w14:textId="77777777" w:rsidR="00AF1EBB" w:rsidRPr="00AF1EBB" w:rsidRDefault="00AF1EBB" w:rsidP="00AF1EBB">
      <w:pPr>
        <w:spacing w:line="360" w:lineRule="auto"/>
        <w:ind w:firstLine="709"/>
        <w:jc w:val="both"/>
        <w:rPr>
          <w:lang w:val="ru-RU"/>
        </w:rPr>
      </w:pPr>
      <w:r w:rsidRPr="00AF1EBB">
        <w:rPr>
          <w:rFonts w:ascii="Times New Roman" w:eastAsia="Times New Roman" w:hAnsi="Times New Roman" w:cs="Times New Roman"/>
          <w:sz w:val="28"/>
          <w:szCs w:val="28"/>
          <w:lang w:val="ru-RU"/>
        </w:rPr>
        <w:t xml:space="preserve">Вывод по второй главе: отрицательные значения ключевых метрик являются строгим математическим доказательством того, что в текущей конъюнктуре фонд не генерирует премию за риск. Инвестор получает доходность ниже безрисковой (13,5% &lt; 15,0%), принимая на себя волатильность </w:t>
      </w:r>
      <w:r>
        <w:rPr>
          <w:rFonts w:ascii="Times New Roman" w:eastAsia="Times New Roman" w:hAnsi="Times New Roman" w:cs="Times New Roman"/>
          <w:sz w:val="28"/>
          <w:szCs w:val="28"/>
        </w:rPr>
        <w:t>σp</w:t>
      </w:r>
      <w:r w:rsidRPr="00AF1EBB">
        <w:rPr>
          <w:rFonts w:ascii="Times New Roman" w:eastAsia="Times New Roman" w:hAnsi="Times New Roman" w:cs="Times New Roman"/>
          <w:sz w:val="28"/>
          <w:szCs w:val="28"/>
          <w:lang w:val="ru-RU"/>
        </w:rPr>
        <w:t xml:space="preserve"> = 26,4%. Это делает ребалансировку портфеля не просто декларативной, а математически необходимой мерой.</w:t>
      </w:r>
    </w:p>
    <w:p w14:paraId="32E5F4A0" w14:textId="103FB74E" w:rsidR="00FE64C3" w:rsidRDefault="00FE64C3" w:rsidP="004605F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AE66F46" w14:textId="69B90835" w:rsidR="002C229C" w:rsidRPr="002C229C" w:rsidRDefault="002C229C" w:rsidP="00675B6A">
      <w:pPr>
        <w:pStyle w:val="1"/>
        <w:spacing w:before="0" w:after="0" w:line="360" w:lineRule="auto"/>
        <w:ind w:firstLine="709"/>
        <w:rPr>
          <w:lang w:val="ru-RU"/>
        </w:rPr>
      </w:pPr>
      <w:bookmarkStart w:id="10" w:name="_Toc232337644"/>
      <w:r w:rsidRPr="002C229C">
        <w:rPr>
          <w:lang w:val="ru-RU"/>
        </w:rPr>
        <w:lastRenderedPageBreak/>
        <w:t>Глава 3.</w:t>
      </w:r>
      <w:r w:rsidR="00BA0E02">
        <w:rPr>
          <w:lang w:val="ru-RU"/>
        </w:rPr>
        <w:t xml:space="preserve"> Р</w:t>
      </w:r>
      <w:r w:rsidRPr="002C229C">
        <w:rPr>
          <w:lang w:val="ru-RU"/>
        </w:rPr>
        <w:t>азработка рекомендаций повышения качества инвестиционного портфеля ОПИФ РФИ «ВИМ-Металлургия»</w:t>
      </w:r>
      <w:bookmarkEnd w:id="10"/>
    </w:p>
    <w:p w14:paraId="35479F68" w14:textId="77777777" w:rsidR="002C229C" w:rsidRDefault="002C229C" w:rsidP="00675B6A">
      <w:pPr>
        <w:pStyle w:val="2"/>
        <w:spacing w:before="0" w:after="0" w:line="360" w:lineRule="auto"/>
        <w:ind w:firstLine="709"/>
        <w:rPr>
          <w:lang w:val="ru-RU"/>
        </w:rPr>
      </w:pPr>
      <w:bookmarkStart w:id="11" w:name="_Toc232337645"/>
      <w:r w:rsidRPr="002C229C">
        <w:rPr>
          <w:lang w:val="ru-RU"/>
        </w:rPr>
        <w:t>3.1. Рекомендации по повышению доходности портфеля</w:t>
      </w:r>
      <w:bookmarkEnd w:id="11"/>
    </w:p>
    <w:p w14:paraId="17BB1D7E" w14:textId="77777777" w:rsidR="004605F7" w:rsidRPr="004605F7" w:rsidRDefault="004605F7" w:rsidP="004605F7">
      <w:pPr>
        <w:rPr>
          <w:lang w:val="ru-RU"/>
        </w:rPr>
      </w:pPr>
    </w:p>
    <w:p w14:paraId="006733E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Основываясь на результатах комплексного фундаментального и финансового анализа, проведенного в аналитической части исследования, можно констатировать, что текущая структура инвестиционного портфеля ОПИФ РФИ «ВИМ-Металлургия» обладает рядом существенных дисбалансов, негативно влияющих на совокупную доходность и повышающих профиль риска. Несмотря на то, что ядром портфеля выступают финансово устойчивые корпорации черной металлургии (ПАО «Северсталь», ПАО «ММК»), портфель неоправданно отягощен активами с перманентно снижающейся маржинальностью и высоким уровнем финансового левериджа.</w:t>
      </w:r>
    </w:p>
    <w:p w14:paraId="123F098D"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Наиболее слабой позицией выступают ценные бумаги МКПАО «ЭН+ ГРУП», демонстрирующие опасный уровень долговой нагрузки. Показатель отношения чистого долга к EBITDA данного холдинга превышает предельные нормативные значения, что в условиях жесткой денежно-кредитной политики и высоких процентных ставок ведет к критическому сжатию чистой рентабельности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25, с. 156]</w:t>
      </w:r>
      <w:r w:rsidRPr="002C229C">
        <w:rPr>
          <w:rFonts w:ascii="Times New Roman" w:hAnsi="Times New Roman" w:cs="Times New Roman"/>
          <w:color w:val="000000" w:themeColor="text1"/>
          <w:sz w:val="28"/>
          <w:szCs w:val="28"/>
          <w:lang w:val="ru-RU"/>
        </w:rPr>
        <w:t xml:space="preserve">. </w:t>
      </w:r>
    </w:p>
    <w:p w14:paraId="175E1788"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Аналогичным образом ПАО «ГМК «Норильский никель» в среднесрочной перспективе генерирует давление на доходность пая ввиду прохождения активной фазы капитальных затрат на фоне циклического падения мировых цен на корзину цветных металлов. Сохранение высокой концентрации капитала в данных активах экономически нецелесообразно. Для оптимизации финансовых результатов фонда существует строгая необходимость в тактической ребалансировке: сокращении доли или полном </w:t>
      </w:r>
      <w:r w:rsidRPr="002C229C">
        <w:rPr>
          <w:rFonts w:ascii="Times New Roman" w:hAnsi="Times New Roman" w:cs="Times New Roman"/>
          <w:color w:val="000000" w:themeColor="text1"/>
          <w:sz w:val="28"/>
          <w:szCs w:val="28"/>
          <w:lang w:val="ru-RU"/>
        </w:rPr>
        <w:lastRenderedPageBreak/>
        <w:t>исключении фундаментально слабых и закредитованных компаний</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[14, с. 180]</w:t>
      </w:r>
      <w:r w:rsidRPr="002C229C">
        <w:rPr>
          <w:rFonts w:ascii="Times New Roman" w:hAnsi="Times New Roman" w:cs="Times New Roman"/>
          <w:color w:val="000000" w:themeColor="text1"/>
          <w:sz w:val="28"/>
          <w:szCs w:val="28"/>
          <w:lang w:val="ru-RU"/>
        </w:rPr>
        <w:t>.</w:t>
      </w:r>
    </w:p>
    <w:p w14:paraId="0FB96BD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качестве эффективной меры по улучшению качества и доходности инвестиционного портфеля предлагается замещение высвободившегося капитала акциями компаний золотодобывающего сегмента. Для включения в структуру ОПИФ предлагаются бумаги абсолютного лидера отечественной отрасли ПАО «Полюс», а также перспективные акции растущих компаний второго эшелона — ПАО «ЮГК» (Южуралзолото) и ПАО «Селигдар». Интеграция данных эмитентов позволит сохранить формальную принадлежность ПИФа к металлургическому и горнодобывающему сектору в строгом соответствии с инвестиционной декларацией фонда, однако при этом качественно изменит его внутреннюю структуру и профиль риска</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90]</w:t>
      </w:r>
      <w:r w:rsidRPr="002C229C">
        <w:rPr>
          <w:rFonts w:ascii="Times New Roman" w:hAnsi="Times New Roman" w:cs="Times New Roman"/>
          <w:color w:val="000000" w:themeColor="text1"/>
          <w:sz w:val="28"/>
          <w:szCs w:val="28"/>
          <w:lang w:val="ru-RU"/>
        </w:rPr>
        <w:t>.</w:t>
      </w:r>
    </w:p>
    <w:p w14:paraId="576A11C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Аргументация выбора указанных предприятий базируется на результатах финансового анализа и макроэкономической специфике золотодобывающего бизнеса. Исторически и эмпирически доказано, что инвестирование в драгоценные металлы выступает мощным инструментом диверсификации. Корреляция между ценами на сырьевое золото и классическими фондовыми индексами или котировками промышленных металлов традиционно невысока. Ценным бумагам золотодобывающих компа</w:t>
      </w:r>
      <w:r w:rsidR="004605F7">
        <w:rPr>
          <w:rFonts w:ascii="Times New Roman" w:hAnsi="Times New Roman" w:cs="Times New Roman"/>
          <w:color w:val="000000" w:themeColor="text1"/>
          <w:sz w:val="28"/>
          <w:szCs w:val="28"/>
          <w:lang w:val="ru-RU"/>
        </w:rPr>
        <w:t xml:space="preserve">ний присущ низкий коэффициент </w:t>
      </w:r>
      <m:oMath>
        <m:r>
          <w:rPr>
            <w:rFonts w:ascii="Cambria Math" w:hAnsi="Cambria Math" w:cs="Times New Roman"/>
            <w:color w:val="000000" w:themeColor="text1"/>
            <w:sz w:val="28"/>
            <w:szCs w:val="28"/>
            <w:lang w:val="ru-RU"/>
          </w:rPr>
          <m:t>β</m:t>
        </m:r>
      </m:oMath>
      <w:r w:rsidRPr="002C229C">
        <w:rPr>
          <w:rFonts w:ascii="Times New Roman" w:hAnsi="Times New Roman" w:cs="Times New Roman"/>
          <w:color w:val="000000" w:themeColor="text1"/>
          <w:sz w:val="28"/>
          <w:szCs w:val="28"/>
          <w:lang w:val="ru-RU"/>
        </w:rPr>
        <w:t>, что означает их малую чувствительность к общерыночным экономическим шокам и подтверждает их статус надежного защитного актива. В условиях турбулентности фондовых рынков именно такие инструменты позволяют фондам избегать глубоких просадок стоимости чистых активов.</w:t>
      </w:r>
    </w:p>
    <w:p w14:paraId="1B394EC1" w14:textId="311422AD" w:rsidR="00675B6A" w:rsidRPr="00634D70" w:rsidRDefault="002C229C" w:rsidP="004605F7">
      <w:pPr>
        <w:spacing w:line="360" w:lineRule="auto"/>
        <w:ind w:firstLine="709"/>
        <w:jc w:val="both"/>
        <w:rPr>
          <w:rFonts w:ascii="Times New Roman" w:hAnsi="Times New Roman" w:cs="Times New Roman"/>
          <w:color w:val="FF0000"/>
          <w:sz w:val="28"/>
          <w:szCs w:val="28"/>
          <w:lang w:val="ru-RU"/>
        </w:rPr>
      </w:pPr>
      <w:r w:rsidRPr="002C229C">
        <w:rPr>
          <w:rFonts w:ascii="Times New Roman" w:hAnsi="Times New Roman" w:cs="Times New Roman"/>
          <w:color w:val="000000" w:themeColor="text1"/>
          <w:sz w:val="28"/>
          <w:szCs w:val="28"/>
          <w:lang w:val="ru-RU"/>
        </w:rPr>
        <w:t xml:space="preserve">Краткий фундаментальный анализ ПАО «Полюс» демонстрирует эталонную инвестиционную привлекательность: компания генерирует стабильный рост объемов добычи, а исторические темпы роста производства </w:t>
      </w:r>
      <w:r w:rsidRPr="002C229C">
        <w:rPr>
          <w:rFonts w:ascii="Times New Roman" w:hAnsi="Times New Roman" w:cs="Times New Roman"/>
          <w:color w:val="000000" w:themeColor="text1"/>
          <w:sz w:val="28"/>
          <w:szCs w:val="28"/>
          <w:lang w:val="ru-RU"/>
        </w:rPr>
        <w:lastRenderedPageBreak/>
        <w:t>превышали 31% в рамках пятилетних циклов. Рентабельность собственного капитала ПАО «Полюс» стабильно удерживается на выдающемся уровне около 24%, что обусловлено благоприятной конъюнктурой на рынке драгметаллов и беспрецедентно жестким контролем над операционными издержками (компания обладает одними из самых низких совокупных денежных затрат на унцию в мире)</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[20, с. 78]</w:t>
      </w:r>
      <w:r w:rsidRPr="002C229C">
        <w:rPr>
          <w:rFonts w:ascii="Times New Roman" w:hAnsi="Times New Roman" w:cs="Times New Roman"/>
          <w:color w:val="000000" w:themeColor="text1"/>
          <w:sz w:val="28"/>
          <w:szCs w:val="28"/>
          <w:lang w:val="ru-RU"/>
        </w:rPr>
        <w:t xml:space="preserve">. </w:t>
      </w:r>
      <w:r w:rsidR="00634D70">
        <w:rPr>
          <w:rFonts w:ascii="Times New Roman" w:hAnsi="Times New Roman" w:cs="Times New Roman"/>
          <w:color w:val="000000" w:themeColor="text1"/>
          <w:sz w:val="28"/>
          <w:szCs w:val="28"/>
          <w:lang w:val="ru-RU"/>
        </w:rPr>
        <w:t xml:space="preserve"> </w:t>
      </w:r>
      <w:r w:rsidR="00634D70" w:rsidRPr="00634D70">
        <w:rPr>
          <w:rFonts w:ascii="Times New Roman" w:hAnsi="Times New Roman" w:cs="Times New Roman"/>
          <w:color w:val="FF0000"/>
          <w:sz w:val="28"/>
          <w:szCs w:val="28"/>
          <w:highlight w:val="yellow"/>
          <w:lang w:val="ru-RU"/>
        </w:rPr>
        <w:t>Опять никаких расчетов Приводите по отчетности Разберитесь с годами, то 23 год, то 22-24, то 26 В каком году живем</w:t>
      </w:r>
    </w:p>
    <w:p w14:paraId="008EFC09" w14:textId="77777777" w:rsidR="002C229C" w:rsidRPr="00634D70" w:rsidRDefault="002C229C" w:rsidP="004605F7">
      <w:pPr>
        <w:spacing w:line="360" w:lineRule="auto"/>
        <w:ind w:firstLine="709"/>
        <w:jc w:val="both"/>
        <w:rPr>
          <w:rFonts w:ascii="Times New Roman" w:hAnsi="Times New Roman" w:cs="Times New Roman"/>
          <w:color w:val="FF0000"/>
          <w:sz w:val="28"/>
          <w:szCs w:val="28"/>
          <w:lang w:val="ru-RU"/>
        </w:rPr>
      </w:pPr>
      <w:r w:rsidRPr="00634D70">
        <w:rPr>
          <w:rFonts w:ascii="Times New Roman" w:hAnsi="Times New Roman" w:cs="Times New Roman"/>
          <w:color w:val="FF0000"/>
          <w:sz w:val="28"/>
          <w:szCs w:val="28"/>
          <w:lang w:val="ru-RU"/>
        </w:rPr>
        <w:t>Уровень ликвидности ПАО «Полюс», ПАО «ЮГК» и ПАО «Селигдар» оценивается как высокий благодаря непрерывной генерации свободного денежного потока от реализации золота. Риск банкротства данных предприятий, согласно классическим дискриминантным моделям Альтмана и Таффлера, стремится к нулю. Дополнительным фактором привлекательности выступает активное освоение предприятиями новых месторождений, что гарантирует органический рост бизнеса в долгосрочной перспективе.</w:t>
      </w:r>
    </w:p>
    <w:p w14:paraId="0867A86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Ожидаемый финансово-экономический эффект от реализации предложенного маневра носит комплексный синергетический характер. </w:t>
      </w:r>
    </w:p>
    <w:p w14:paraId="0BB46E09"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Во-первых, замена закредитованных активов на финансово устойчивых золотодобытчиков автоматически приведет к снижению средневзвешенной долговой нагрузки по всему инвестиционному портфелю фонда, повысив его совокупную автономность и платежеспособность. </w:t>
      </w:r>
    </w:p>
    <w:p w14:paraId="23EDFC7E"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Во-вторых, высокая маржинальность золотодобывающего сектора напрямую транслируется в повышение интегрированного показателя рентабельности портфеля, что выступает фундаментальным драйвером долгосрочного роста стоимости чистых активов. </w:t>
      </w:r>
    </w:p>
    <w:p w14:paraId="7BFC25DB"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В-третьих, включение защитных бумаг стабилизирует дисперсию фонда. В периоды циклических спадов мировых цен на сталь или алюминий, </w:t>
      </w:r>
      <w:r w:rsidRPr="002C229C">
        <w:rPr>
          <w:rFonts w:ascii="Times New Roman" w:hAnsi="Times New Roman" w:cs="Times New Roman"/>
          <w:color w:val="000000" w:themeColor="text1"/>
          <w:sz w:val="28"/>
          <w:szCs w:val="28"/>
          <w:lang w:val="ru-RU"/>
        </w:rPr>
        <w:lastRenderedPageBreak/>
        <w:t>рост курсовой стоимости золота будет компенсировать убытки промышленных металлургов. Таким образом, активное управление структурой и смещение фокуса в пользу драгоценных металлов позволит управляющему улучшить ключевые коэффициенты эффективности, преодолеть доходность бенчмарка и обеспечить пайщикам защиту капитала при сохранении высокой целевой доходности</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[24, с. 301]</w:t>
      </w:r>
      <w:r w:rsidRPr="002C229C">
        <w:rPr>
          <w:rFonts w:ascii="Times New Roman" w:hAnsi="Times New Roman" w:cs="Times New Roman"/>
          <w:color w:val="000000" w:themeColor="text1"/>
          <w:sz w:val="28"/>
          <w:szCs w:val="28"/>
          <w:lang w:val="ru-RU"/>
        </w:rPr>
        <w:t>.</w:t>
      </w:r>
    </w:p>
    <w:p w14:paraId="13452DF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Для всесторонней и объективной оценки эффективности предложенной ребалансировки инвестиционного портфеля необходимо применение методов сценарного моделирования и стресс-тестирования. В современной финансовой науке сценарный анализ выступает обязательным инструментом стратегического планирования, позволяющим оценить потенциальное поведение активов при различных вариантах изменения ключевых макроэкономических параметров: динамики мировых цен на сырье, уровня инфляции, ключевой ставки Центрального банка и валютных курсов</w:t>
      </w:r>
      <w:r w:rsidR="00675B6A">
        <w:rPr>
          <w:rFonts w:ascii="Times New Roman" w:hAnsi="Times New Roman" w:cs="Times New Roman"/>
          <w:color w:val="000000" w:themeColor="text1"/>
          <w:sz w:val="28"/>
          <w:szCs w:val="28"/>
          <w:lang w:val="ru-RU"/>
        </w:rPr>
        <w:t xml:space="preserve"> [7, с. 112</w:t>
      </w:r>
      <w:r w:rsidR="00675B6A" w:rsidRPr="00675B6A">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В данном блоке проведено концептуальное моделирование обновленного портфеля, в котором ядро из предприятий черной и цветной металлургии диверсифицировано акциями золотодобывающего сегмента и смежных отраслей, в условиях трех вероятных макроэкономических сценариев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120]</w:t>
      </w:r>
      <w:r w:rsidRPr="002C229C">
        <w:rPr>
          <w:rFonts w:ascii="Times New Roman" w:hAnsi="Times New Roman" w:cs="Times New Roman"/>
          <w:color w:val="000000" w:themeColor="text1"/>
          <w:sz w:val="28"/>
          <w:szCs w:val="28"/>
          <w:lang w:val="ru-RU"/>
        </w:rPr>
        <w:t>.</w:t>
      </w:r>
    </w:p>
    <w:p w14:paraId="6001586F"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Пессимистичный сценарий (Стресс-тест). Данный сценарий предполагает резкое ухудшение глобальной экономической конъюнктуры, наступление глубокой мировой рецессии, существенное замедление темпов промышленного производства в странах Азиатско-Тихоокеанского региона и, как следствие, обвальное падение мировых цен на сталь, железную руду и цветные металлы. В подобных стрессовых условиях оригинальный, узкоотраслевой состав ОПИФ РФИ «ВИМ-Металлургия» неизбежно продемонстрировал бы критическую максимальную просадку, поскольку все </w:t>
      </w:r>
      <w:r w:rsidRPr="002C229C">
        <w:rPr>
          <w:rFonts w:ascii="Times New Roman" w:hAnsi="Times New Roman" w:cs="Times New Roman"/>
          <w:color w:val="000000" w:themeColor="text1"/>
          <w:sz w:val="28"/>
          <w:szCs w:val="28"/>
          <w:lang w:val="ru-RU"/>
        </w:rPr>
        <w:lastRenderedPageBreak/>
        <w:t>акции внутри фонда имеют положительную корреляцию и обесцениваются синхронно.</w:t>
      </w:r>
    </w:p>
    <w:p w14:paraId="2EAA9642" w14:textId="77777777" w:rsidR="00675B6A"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Однако оптимизированный портфель обладает встроенным структурным механизмом защиты. Включение в состав активов крупнейших золотодобывающих компаний радикально меняет профиль риска. Золото исторически выполняет функцию контрцикличного актива. В периоды глобальных рецессий, всплесков геополитической напряженности и падения фондовых рынков капитал институциональных и частных инвесторов массово перетекает в драгоценные металлы, что стимулирует экспоненциальный рост их котировок</w:t>
      </w:r>
      <w:r w:rsidR="00675B6A">
        <w:rPr>
          <w:rFonts w:ascii="Times New Roman" w:hAnsi="Times New Roman" w:cs="Times New Roman"/>
          <w:color w:val="000000" w:themeColor="text1"/>
          <w:sz w:val="28"/>
          <w:szCs w:val="28"/>
          <w:lang w:val="ru-RU"/>
        </w:rPr>
        <w:t xml:space="preserve"> </w:t>
      </w:r>
      <w:r w:rsidR="00675B6A" w:rsidRPr="00675B6A">
        <w:rPr>
          <w:rFonts w:ascii="Times New Roman" w:hAnsi="Times New Roman" w:cs="Times New Roman"/>
          <w:color w:val="000000" w:themeColor="text1"/>
          <w:sz w:val="28"/>
          <w:szCs w:val="28"/>
          <w:lang w:val="ru-RU"/>
        </w:rPr>
        <w:t>[11, с. 156]</w:t>
      </w:r>
      <w:r w:rsidRPr="002C229C">
        <w:rPr>
          <w:rFonts w:ascii="Times New Roman" w:hAnsi="Times New Roman" w:cs="Times New Roman"/>
          <w:color w:val="000000" w:themeColor="text1"/>
          <w:sz w:val="28"/>
          <w:szCs w:val="28"/>
          <w:lang w:val="ru-RU"/>
        </w:rPr>
        <w:t xml:space="preserve">. </w:t>
      </w:r>
    </w:p>
    <w:p w14:paraId="61532616"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Соответственно, рост курсовой стоимости акций золотодобытчиков математически компенсирует убытки от отрицательной переоценки промышленных металлургических активов. Благодаря этому эффекту обратной корреляции просадка оптимизированного портфеля будет существенно меньше, чем у бенчмарка, и останется в рамках допустимого риск-лимита, защищая сбережения пайщиков от невосполнимых потерь.</w:t>
      </w:r>
    </w:p>
    <w:p w14:paraId="4DE8F81A"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Базовый сценарий. Данный вариант развития макроэкономической ситуации характеризуется длительной стагнацией на глобальных сырьевых рынках, сохранением умеренно-высокого уровня инфляционного давления и поддержанием жесткой денежно-кредитной политики с высокими процентными ставками со стороны регулятора. В условиях дорогого заемного капитала компании с высокой долговой нагрузкой сталкиваются с критическим снижением чистой прибыли из-за опережающего роста процентных расходов на обслуживание корпоративного долга.</w:t>
      </w:r>
    </w:p>
    <w:p w14:paraId="7D82DC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противовес этому оптимизированный инвестиционный портфель сформирован исключительно из фундаментально устойчивых предприятий. Компании черной металлургии, такие как ПАО «Северсталь» и ПАО «ММК», </w:t>
      </w:r>
      <w:r w:rsidRPr="002C229C">
        <w:rPr>
          <w:rFonts w:ascii="Times New Roman" w:hAnsi="Times New Roman" w:cs="Times New Roman"/>
          <w:color w:val="000000" w:themeColor="text1"/>
          <w:sz w:val="28"/>
          <w:szCs w:val="28"/>
          <w:lang w:val="ru-RU"/>
        </w:rPr>
        <w:lastRenderedPageBreak/>
        <w:t>обладают значительными запасами аккумулированной ликвидности и отрицательным чистым долгом. Данная структура баланса делает их невосприимчивыми к высоким ставкам кредитования, а размещение свободных денежных средств на депозитах приносит им дополнительный процентный доход. Совместно с производителями минеральных удобрений, спрос на продукцию которых неэластичен и стабилен независимо от фазы промышленного цикла, данные предприятия способны генерировать мощный свободный денежный поток. Это обеспечит портфелю стабильные и высокие дивидендные выплаты, совокупный размер которых гарантированно превысит текущий уровень инфляции, обеспечивая вкладчикам фонда положительную реальную доходность даже при отсутствии ярко выраженного рыночного роста котировок</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[30, с. 22]</w:t>
      </w:r>
      <w:r w:rsidRPr="002C229C">
        <w:rPr>
          <w:rFonts w:ascii="Times New Roman" w:hAnsi="Times New Roman" w:cs="Times New Roman"/>
          <w:color w:val="000000" w:themeColor="text1"/>
          <w:sz w:val="28"/>
          <w:szCs w:val="28"/>
          <w:lang w:val="ru-RU"/>
        </w:rPr>
        <w:t>.</w:t>
      </w:r>
    </w:p>
    <w:p w14:paraId="2058D3E2"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Оптимистичный сценарий. Сценарий экономического роста базируется на предпосылках зарождения нового сырьевого суперцикла, масштабного восстановления глобальных логистических цепочек, оживления мировой промышленности и умеренного ослабления курса национальной валюты. Ослабление рубля традиционно выступает мощным катализатором роста для экспортно ориентированной российской экономики, кратно увеличивая рублевую выручку корпораций и разгоняя их маржинальность</w:t>
      </w:r>
      <w:r w:rsidR="0094314F">
        <w:rPr>
          <w:rFonts w:ascii="Times New Roman" w:hAnsi="Times New Roman" w:cs="Times New Roman"/>
          <w:color w:val="000000" w:themeColor="text1"/>
          <w:sz w:val="28"/>
          <w:szCs w:val="28"/>
          <w:lang w:val="ru-RU"/>
        </w:rPr>
        <w:t xml:space="preserve"> [20, с. 110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0AC54279" w14:textId="64B305D9"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В данной фазе экономического цикла оптимизированный портфель в полной мере реализует свой огромный потенциал доходности. Базовые активы черной, цветной металлургии и химической промышленности обеспечат максимизацию чистой прибыли. Интегрированная конфигурация портфеля позволит ему продемонстрировать высокую чувствительность к растущему рынку, абсорбируя весь восходящий тренд Индекса МосБиржи. При этом за счет предварительного отсева фундаментально слабых эмитентов и грамотного выбора наиболее рентабельных лидеров рынка, управляющий </w:t>
      </w:r>
      <w:r w:rsidRPr="002C229C">
        <w:rPr>
          <w:rFonts w:ascii="Times New Roman" w:hAnsi="Times New Roman" w:cs="Times New Roman"/>
          <w:color w:val="000000" w:themeColor="text1"/>
          <w:sz w:val="28"/>
          <w:szCs w:val="28"/>
          <w:lang w:val="ru-RU"/>
        </w:rPr>
        <w:lastRenderedPageBreak/>
        <w:t xml:space="preserve">фондом сможет сгенерировать высокую избыточную доходность (Альфу Дженсена, </w:t>
      </w:r>
      <w:r w:rsidR="00020A98">
        <w:rPr>
          <w:rFonts w:ascii="Times New Roman" w:hAnsi="Times New Roman" w:cs="Times New Roman"/>
          <w:color w:val="000000" w:themeColor="text1"/>
          <w:sz w:val="28"/>
          <w:szCs w:val="28"/>
          <w:lang w:val="ru-RU"/>
        </w:rPr>
        <w:t>α</w:t>
      </w:r>
      <w:r w:rsidRPr="002C229C">
        <w:rPr>
          <w:rFonts w:ascii="Times New Roman" w:hAnsi="Times New Roman" w:cs="Times New Roman"/>
          <w:color w:val="000000" w:themeColor="text1"/>
          <w:sz w:val="28"/>
          <w:szCs w:val="28"/>
          <w:lang w:val="ru-RU"/>
        </w:rPr>
        <w:t>), существенно обогнав пассивный отраслевой бенчмарк по показателям чистой доходности за вычетом инфраструктурных комиссий</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120]</w:t>
      </w:r>
      <w:r w:rsidRPr="002C229C">
        <w:rPr>
          <w:rFonts w:ascii="Times New Roman" w:hAnsi="Times New Roman" w:cs="Times New Roman"/>
          <w:color w:val="000000" w:themeColor="text1"/>
          <w:sz w:val="28"/>
          <w:szCs w:val="28"/>
          <w:lang w:val="ru-RU"/>
        </w:rPr>
        <w:t>.</w:t>
      </w:r>
    </w:p>
    <w:p w14:paraId="4C93C65E" w14:textId="77777777" w:rsid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Резюмируя проведенное сценарное моделирование, можно с уверенностью утверждать, что предложенная оптимизация трансформирует уязвимый отраслевой фонд в стратегически сбалансированный инвестиционный инструмент институционального уровня. Сокращение концентрации в одном сегменте и внедрение защитных активов делают обновленный портфель устойчивым к любым макроэкономическим шокам. Интегрированная структура позволяет фонду эффективно минимизировать убытки в фазах рецессии, защищать капитал от инфляционного обесценения за счет дивидендных потоков в периоды стагнации и генерировать избыточную альфа-доходность на этапах экономического подъема, эмпирически подтверждая целесообразность активного фундаментального управления капиталом.</w:t>
      </w:r>
    </w:p>
    <w:p w14:paraId="5C2DD6A5" w14:textId="0AF1494D" w:rsidR="002C229C" w:rsidRPr="00634D70" w:rsidRDefault="00634D70" w:rsidP="004605F7">
      <w:pPr>
        <w:spacing w:line="360" w:lineRule="auto"/>
        <w:ind w:firstLine="709"/>
        <w:jc w:val="both"/>
        <w:rPr>
          <w:rFonts w:ascii="Times New Roman" w:hAnsi="Times New Roman" w:cs="Times New Roman"/>
          <w:color w:val="FF0000"/>
          <w:sz w:val="28"/>
          <w:szCs w:val="28"/>
          <w:lang w:val="ru-RU"/>
        </w:rPr>
      </w:pPr>
      <w:r w:rsidRPr="00634D70">
        <w:rPr>
          <w:rFonts w:ascii="Times New Roman" w:hAnsi="Times New Roman" w:cs="Times New Roman"/>
          <w:color w:val="FF0000"/>
          <w:sz w:val="28"/>
          <w:szCs w:val="28"/>
          <w:highlight w:val="yellow"/>
          <w:lang w:val="ru-RU"/>
        </w:rPr>
        <w:t>Без расчетов параграф ничего не стоит  Переделывайте Напоминаю, что 15 июня проставляются КМ за преддипломную практику Работа должна быть полностью готова Пока ее нет Думайте</w:t>
      </w:r>
    </w:p>
    <w:p w14:paraId="65905141" w14:textId="77777777" w:rsidR="002C229C" w:rsidRDefault="002C229C" w:rsidP="004605F7">
      <w:pPr>
        <w:pStyle w:val="2"/>
        <w:spacing w:before="0" w:after="0" w:line="360" w:lineRule="auto"/>
        <w:rPr>
          <w:lang w:val="ru-RU"/>
        </w:rPr>
      </w:pPr>
      <w:bookmarkStart w:id="12" w:name="_Toc232337646"/>
      <w:r w:rsidRPr="002C229C">
        <w:rPr>
          <w:lang w:val="ru-RU"/>
        </w:rPr>
        <w:t>3.2. Рекомендации по диверсификации портфеля</w:t>
      </w:r>
      <w:bookmarkEnd w:id="12"/>
    </w:p>
    <w:p w14:paraId="6C8A183B" w14:textId="77777777" w:rsidR="002C229C" w:rsidRPr="002C229C" w:rsidRDefault="002C229C" w:rsidP="004605F7">
      <w:pPr>
        <w:spacing w:line="360" w:lineRule="auto"/>
        <w:jc w:val="both"/>
        <w:rPr>
          <w:rFonts w:ascii="Times New Roman" w:hAnsi="Times New Roman" w:cs="Times New Roman"/>
          <w:color w:val="000000" w:themeColor="text1"/>
          <w:sz w:val="28"/>
          <w:szCs w:val="28"/>
          <w:lang w:val="ru-RU"/>
        </w:rPr>
      </w:pPr>
    </w:p>
    <w:p w14:paraId="08D085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7A3CAE">
        <w:rPr>
          <w:rFonts w:ascii="Times New Roman" w:hAnsi="Times New Roman" w:cs="Times New Roman"/>
          <w:color w:val="FF0000"/>
          <w:sz w:val="28"/>
          <w:szCs w:val="28"/>
          <w:lang w:val="ru-RU"/>
        </w:rPr>
        <w:t>Обоснование диверсификации</w:t>
      </w:r>
      <w:r w:rsidRPr="002C229C">
        <w:rPr>
          <w:rFonts w:ascii="Times New Roman" w:hAnsi="Times New Roman" w:cs="Times New Roman"/>
          <w:color w:val="000000" w:themeColor="text1"/>
          <w:sz w:val="28"/>
          <w:szCs w:val="28"/>
          <w:lang w:val="ru-RU"/>
        </w:rPr>
        <w:t xml:space="preserve">. Как было убедительно доказано в ходе оценки отраслевой структуры ОПИФ РФИ «ВИМ-Металлургия», текущая аллокация активов фонда носит экстремально концентрированный характер: более 93% капитала сосредоточено в ценных бумагах компаний узкого сегмента. С позиций современной портфельной теории Гарри Марковица и Уильяма Шарпа подобная структура нарушает базовые принципы управления </w:t>
      </w:r>
      <w:r w:rsidRPr="002C229C">
        <w:rPr>
          <w:rFonts w:ascii="Times New Roman" w:hAnsi="Times New Roman" w:cs="Times New Roman"/>
          <w:color w:val="000000" w:themeColor="text1"/>
          <w:sz w:val="28"/>
          <w:szCs w:val="28"/>
          <w:lang w:val="ru-RU"/>
        </w:rPr>
        <w:lastRenderedPageBreak/>
        <w:t>капиталом</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[36; 37].</w:t>
      </w:r>
      <w:r w:rsidRPr="002C229C">
        <w:rPr>
          <w:rFonts w:ascii="Times New Roman" w:hAnsi="Times New Roman" w:cs="Times New Roman"/>
          <w:color w:val="000000" w:themeColor="text1"/>
          <w:sz w:val="28"/>
          <w:szCs w:val="28"/>
          <w:lang w:val="ru-RU"/>
        </w:rPr>
        <w:t>. Отсутствие диверсификации генерирует избыточную дисперсию и ставит стоимость чистых активов в жесткую зависимость от фаз единого глобального сырьевого цикла</w:t>
      </w:r>
      <w:r w:rsidR="0094314F">
        <w:rPr>
          <w:rFonts w:ascii="Times New Roman" w:hAnsi="Times New Roman" w:cs="Times New Roman"/>
          <w:color w:val="000000" w:themeColor="text1"/>
          <w:sz w:val="28"/>
          <w:szCs w:val="28"/>
          <w:lang w:val="ru-RU"/>
        </w:rPr>
        <w:t xml:space="preserve"> [25, с. 120</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42A4E33D" w14:textId="0DC84C30"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Высокая положительная ковариация между доходностями акций металлургических корпораций означает, что при наступлении неблагоприятной рыночной конъюнктуры портфель полностью лишен стабилизирующих механизмов. Это неизбежно выражается в глубоких просадках капитала пайщиков. Для фундаментального повышения качества инвестиционного портфеля и радикального улучшения показателей риск-скорректированной доходности критически необходимо снижение внутрипортфельной корреляции активов</w:t>
      </w:r>
      <w:r w:rsidR="0094314F">
        <w:rPr>
          <w:rFonts w:ascii="Times New Roman" w:hAnsi="Times New Roman" w:cs="Times New Roman"/>
          <w:color w:val="000000" w:themeColor="text1"/>
          <w:sz w:val="28"/>
          <w:szCs w:val="28"/>
          <w:lang w:val="ru-RU"/>
        </w:rPr>
        <w:t xml:space="preserve"> [20, с. 65</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 Оптимальным решением, позволяющим сохранить индустриальный профиль ПИФа, но купировать системные риски, выступает расширение мандата фонда и включение в состав портфеля первоклассных инвестиционных инструментов из смежных секторов экономики.</w:t>
      </w:r>
      <w:r w:rsidR="007A3CAE">
        <w:rPr>
          <w:rFonts w:ascii="Times New Roman" w:hAnsi="Times New Roman" w:cs="Times New Roman"/>
          <w:color w:val="000000" w:themeColor="text1"/>
          <w:sz w:val="28"/>
          <w:szCs w:val="28"/>
          <w:lang w:val="ru-RU"/>
        </w:rPr>
        <w:t xml:space="preserve"> </w:t>
      </w:r>
    </w:p>
    <w:p w14:paraId="4AAE6723"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В целях преодоления концентрационного риска и расширения инвестиционного горизонта предлагается интегрировать в структуру портфеля ценные бумаги крупнейших отечественных эмитентов из смежных отраслей: химической промышленности, транспортной логистики и электроэнергетики. Исторически данные сектора обладают умеренной корреляцией с общим промышленным производством, однако фазы их экономического роста детерминируются совершенно иными факторами ценообразования. В качестве оптимальных объектов для системной ребалансировки портфеля предлагаются публичные акционерные общества ПАО «ФосАгро», ПАО «Совкомфлот» и ПАО «Интер РАО».</w:t>
      </w:r>
    </w:p>
    <w:p w14:paraId="1FB78A99"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Аргументация выбора предложенных компаний строго обоснована их исключительной финансовой устойчивостью, подтвержденной методами </w:t>
      </w:r>
      <w:r w:rsidRPr="002C229C">
        <w:rPr>
          <w:rFonts w:ascii="Times New Roman" w:hAnsi="Times New Roman" w:cs="Times New Roman"/>
          <w:color w:val="000000" w:themeColor="text1"/>
          <w:sz w:val="28"/>
          <w:szCs w:val="28"/>
          <w:lang w:val="ru-RU"/>
        </w:rPr>
        <w:lastRenderedPageBreak/>
        <w:t>фундаментального анализа, и их критической ролью в структурной трансформации национальной экономики</w:t>
      </w:r>
      <w:r w:rsidR="0094314F">
        <w:rPr>
          <w:rFonts w:ascii="Times New Roman" w:hAnsi="Times New Roman" w:cs="Times New Roman"/>
          <w:color w:val="000000" w:themeColor="text1"/>
          <w:sz w:val="28"/>
          <w:szCs w:val="28"/>
          <w:lang w:val="ru-RU"/>
        </w:rPr>
        <w:t xml:space="preserve"> [11, с. 132</w:t>
      </w:r>
      <w:r w:rsidR="0094314F" w:rsidRPr="0094314F">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5F4CE419"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«ФосАгро» (химическая промышленность). Компания обладает неоспоримым статусом глобального лидера по производству высококачественных фосфорных удобрений с уникальной, экологически чистой ресурсной базой. Фундаментальный анализ подтверждает ее ведущие позиции по показателям рентабельности активов и операционной маржинальности. Динамика финансовых результатов ПАО «ФосАгро» зависит от глобального сельскохозяйственного суперцикла, спроса на продовольствие и цен на газ на мировых биржах. Эти факторы практически не коррелируют с ценами на промышленные металлы. Включение данного эмитента обеспечит портфель солидными дивидендными потоками и выступит идеальным хеджем против стагнации в классической металлургии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[28, с. 30]</w:t>
      </w:r>
      <w:r w:rsidRPr="002C229C">
        <w:rPr>
          <w:rFonts w:ascii="Times New Roman" w:hAnsi="Times New Roman" w:cs="Times New Roman"/>
          <w:color w:val="000000" w:themeColor="text1"/>
          <w:sz w:val="28"/>
          <w:szCs w:val="28"/>
          <w:lang w:val="ru-RU"/>
        </w:rPr>
        <w:t>.</w:t>
      </w:r>
    </w:p>
    <w:p w14:paraId="23D78F17"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ПАО «Совкомфлот» (транспортная логистика). В условиях беспрецедентного нарушения традиционных цепей поставок и масштабного перераспределения экспортных российских грузопотоков на рынки Глобального Юга и Востока, морская логистика выступает главным бенефициаром происходящей структурной перестройки. Транспортировка энергоносителей и сырья по долгосрочным контрактам, а также активное освоение Северного морского пути гарантируют компании стабильный, прогнозируемый денежный поток. Эмитент обладает высокой финансовой автономностью, а инвестирование в инфраструктурную логистику позволяет фонду извлекать прибыль из физических объемов экспорта сырья вне зависимости от локальных провалов спотовых цен на сами биржевые металлы</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[22, с. 105]</w:t>
      </w:r>
      <w:r w:rsidRPr="002C229C">
        <w:rPr>
          <w:rFonts w:ascii="Times New Roman" w:hAnsi="Times New Roman" w:cs="Times New Roman"/>
          <w:color w:val="000000" w:themeColor="text1"/>
          <w:sz w:val="28"/>
          <w:szCs w:val="28"/>
          <w:lang w:val="ru-RU"/>
        </w:rPr>
        <w:t>.</w:t>
      </w:r>
    </w:p>
    <w:p w14:paraId="1F993070" w14:textId="77777777" w:rsidR="002C229C" w:rsidRPr="002C229C" w:rsidRDefault="002C229C" w:rsidP="004605F7">
      <w:pPr>
        <w:numPr>
          <w:ilvl w:val="0"/>
          <w:numId w:val="21"/>
        </w:numPr>
        <w:tabs>
          <w:tab w:val="clear" w:pos="720"/>
          <w:tab w:val="num" w:pos="993"/>
        </w:tabs>
        <w:spacing w:line="360" w:lineRule="auto"/>
        <w:ind w:left="0"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lastRenderedPageBreak/>
        <w:t>ПАО «Интер РАО» (электроэнергетика). Энергетический сектор традиционно генерирует высокопрогнозируемые, защищенные от внешних шоков внутренние финансовые потоки. Будучи надежным и крупнейшим поставщиком электроэнергии для энергоемких промышленных мощностей страны, компания характеризуется колоссальным запасом финансовой прочности, огромной денежной подушкой на балансе, полным отсутствием критической долговой нагрузки и высочайшей способностью покрытия обязательств. Акции энергетического сектора исторически выполняют на фондовом рынке роль квазиоблигаций и защитных активов, эффективно сглаживая ценовые колебания агрессивных циклических инструментов внутри портфеля</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[19, с. 413]</w:t>
      </w:r>
      <w:r w:rsidRPr="002C229C">
        <w:rPr>
          <w:rFonts w:ascii="Times New Roman" w:hAnsi="Times New Roman" w:cs="Times New Roman"/>
          <w:color w:val="000000" w:themeColor="text1"/>
          <w:sz w:val="28"/>
          <w:szCs w:val="28"/>
          <w:lang w:val="ru-RU"/>
        </w:rPr>
        <w:t>.</w:t>
      </w:r>
    </w:p>
    <w:p w14:paraId="236DC719"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Наряду с традиционными дивидендными секторами (удобрения, логистика, энергетика), принципиальным шагом к оздоровлению структуры ОПИФ РФИ «ВИМ-Металлургия» должно стать включение в портфель так называемых «активов роста» (Growth stocks) с нулевой или отрицательной корреляцией к сырьевым циклам. В качестве оптимального инструмента структурной ребалансировки предлагается рассмотреть интеграцию ценных бумаг технологического сектора, абсолютным лидером которого на отечественном рынке выступает МКПАО «Яндекс».</w:t>
      </w:r>
    </w:p>
    <w:p w14:paraId="457BC0B4"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Выбор данного эмитента продиктован его уникальным фундаментальным профилем. Анализ финансовой документации, формируемой по стандартам МСФО и раскрываемой непосредственно материнской структурой — МКПАО «Яндекс» (публичным акционерным обществом, а не его операционными дочерними предприятиями), демонстрирует экспоненциальный рост ключевых операционных сегментов: электронной коммерции, облачных технологий и сервисов мобильности. Корректный анализ на уровне консолидированной отчетности МКПАО </w:t>
      </w:r>
      <w:r w:rsidRPr="008B4AFE">
        <w:rPr>
          <w:rFonts w:ascii="Times New Roman" w:hAnsi="Times New Roman" w:cs="Times New Roman"/>
          <w:color w:val="000000" w:themeColor="text1"/>
          <w:sz w:val="28"/>
          <w:szCs w:val="28"/>
          <w:lang w:val="ru-RU"/>
        </w:rPr>
        <w:lastRenderedPageBreak/>
        <w:t>позволяет объективно оценить консолидированные денежные потоки (FCF), свободные от внутригрупповых оборотов.</w:t>
      </w:r>
    </w:p>
    <w:p w14:paraId="379CA331" w14:textId="6C2A16BA"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Коэффициент бета (</w:t>
      </w:r>
      <m:oMath>
        <m:r>
          <w:rPr>
            <w:rFonts w:ascii="Cambria Math" w:hAnsi="Cambria Math" w:cs="Times New Roman"/>
            <w:color w:val="000000" w:themeColor="text1"/>
            <w:sz w:val="28"/>
            <w:szCs w:val="28"/>
            <w:lang w:val="ru-RU"/>
          </w:rPr>
          <m:t>β</m:t>
        </m:r>
      </m:oMath>
      <w:r w:rsidRPr="008B4AFE">
        <w:rPr>
          <w:rFonts w:ascii="Times New Roman" w:hAnsi="Times New Roman" w:cs="Times New Roman"/>
          <w:color w:val="000000" w:themeColor="text1"/>
          <w:sz w:val="28"/>
          <w:szCs w:val="28"/>
          <w:lang w:val="ru-RU"/>
        </w:rPr>
        <w:t>) акций IT-сектора традиционно слабо коррелирует с индексом металлов и добычи (MOEXMM). В то время как доходы предприятий черной и цветной металлургии жестко детерминированы внешними экспортными ценами на сталь или никель, выручка МКПАО «Яндекс» опирается на внутренний потребительский спрос, цифровизацию экономики и развитие рекламных технологий. Таким образом, эти активы функционируют в противофазе или автономно от сырьевого цикла.</w:t>
      </w:r>
    </w:p>
    <w:p w14:paraId="0F2D5490" w14:textId="77777777" w:rsid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Добавление IT-сектора в консервативный сырьевой ПИФ трансформирует его классическую стратегию стоимости (Value investing) в более сбалансированную гибридную стратегию (GARP — Growth at a Reasonable Price). В периоды стагнации на товарных рынках, когда предприятия уровня ПАО «ГМК «Норильский никель» и ПАО «Северсталь» находятся в фазе активных капитальных затрат или испытывают давление из-за снижения мировых цен, двузначные темпы роста выручки технологического гиганта обеспечат портфелю необходимую альфа-доходность и компенсируют инфляционные издержки инвесторов.</w:t>
      </w:r>
    </w:p>
    <w:p w14:paraId="2EDD65C9"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Для научного обоснования включения ценных бумаг технологического сектора в консервативный сырьевой портфель необходимо провести глубокий фундаментальный анализ выбранного эмитента, опираясь на коэффициентные и дискриминантные методы финансовой диагностики.</w:t>
      </w:r>
    </w:p>
    <w:p w14:paraId="7E968AD6"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С методологической точки зрения для получения достоверной и полной картины о генерации свободного денежного потока (FCF) и совокупной долговой нагрузке экосистемы, анализ должен базироваться строго на консолидированной финансовой отчетности материнской компании — МКПАО «Яндекс». Использование отчетности головной публичной </w:t>
      </w:r>
      <w:r w:rsidRPr="00580BE4">
        <w:rPr>
          <w:rFonts w:ascii="Times New Roman" w:hAnsi="Times New Roman" w:cs="Times New Roman"/>
          <w:color w:val="000000" w:themeColor="text1"/>
          <w:sz w:val="28"/>
          <w:szCs w:val="28"/>
          <w:lang w:val="ru-RU"/>
        </w:rPr>
        <w:lastRenderedPageBreak/>
        <w:t>структуры, а не ее отдельных операционных дочерних подразделений (в частности, ООО «Яндекс»), позволяет корректно элиминировать внутригрупповые обороты (intercompany transactions) и оценить консолидированный финансовый результат, агрегирующий доходы от поиска, электронной коммерции, сервисов мобильности и облачных технологий.</w:t>
      </w:r>
    </w:p>
    <w:p w14:paraId="70592422" w14:textId="639C1EFF" w:rsidR="00580BE4" w:rsidRPr="007A3CAE" w:rsidRDefault="00580BE4" w:rsidP="00580BE4">
      <w:pPr>
        <w:spacing w:line="360" w:lineRule="auto"/>
        <w:ind w:firstLine="709"/>
        <w:jc w:val="both"/>
        <w:rPr>
          <w:rFonts w:ascii="Times New Roman" w:hAnsi="Times New Roman" w:cs="Times New Roman"/>
          <w:color w:val="FF0000"/>
          <w:sz w:val="28"/>
          <w:szCs w:val="28"/>
          <w:lang w:val="ru-RU"/>
        </w:rPr>
      </w:pPr>
      <w:r w:rsidRPr="007A3CAE">
        <w:rPr>
          <w:rFonts w:ascii="Times New Roman" w:hAnsi="Times New Roman" w:cs="Times New Roman"/>
          <w:color w:val="FF0000"/>
          <w:sz w:val="28"/>
          <w:szCs w:val="28"/>
          <w:lang w:val="ru-RU"/>
        </w:rPr>
        <w:t>Оценка ликвидности и финансовой устойчивости МКПАО «Яндекс» демонстрирует принципиально иную структуру баланса по сравнению с классическими металлургическими корпорациями</w:t>
      </w:r>
      <w:r w:rsidRPr="007A3CAE">
        <w:rPr>
          <w:rFonts w:ascii="Times New Roman" w:hAnsi="Times New Roman" w:cs="Times New Roman"/>
          <w:color w:val="FF0000"/>
          <w:sz w:val="28"/>
          <w:szCs w:val="28"/>
          <w:highlight w:val="yellow"/>
          <w:lang w:val="ru-RU"/>
        </w:rPr>
        <w:t>.</w:t>
      </w:r>
      <w:r w:rsidR="007A3CAE" w:rsidRPr="007A3CAE">
        <w:rPr>
          <w:rFonts w:ascii="Times New Roman" w:hAnsi="Times New Roman" w:cs="Times New Roman"/>
          <w:color w:val="FF0000"/>
          <w:sz w:val="28"/>
          <w:szCs w:val="28"/>
          <w:highlight w:val="yellow"/>
          <w:lang w:val="ru-RU"/>
        </w:rPr>
        <w:t xml:space="preserve">  Где она</w:t>
      </w:r>
    </w:p>
    <w:p w14:paraId="3315D829" w14:textId="663111AB"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Специфика технологического бизнеса заключается в отсутствии необходимости формировать масштабные складские запасы сырья и готовой продукции, что традиционно отягощает оборотные активы промышленных предприятий. Высокая оборачиваемость дебиторской задолженности в сегментах райдтеха и рекламных технологий позволяет поддерживать показатель </w:t>
      </w:r>
      <w:r w:rsidRPr="007A3CAE">
        <w:rPr>
          <w:rFonts w:ascii="Times New Roman" w:hAnsi="Times New Roman" w:cs="Times New Roman"/>
          <w:color w:val="FF0000"/>
          <w:sz w:val="28"/>
          <w:szCs w:val="28"/>
          <w:lang w:val="ru-RU"/>
        </w:rPr>
        <w:t xml:space="preserve">K_{tl} </w:t>
      </w:r>
      <w:r w:rsidRPr="00580BE4">
        <w:rPr>
          <w:rFonts w:ascii="Times New Roman" w:hAnsi="Times New Roman" w:cs="Times New Roman"/>
          <w:color w:val="000000" w:themeColor="text1"/>
          <w:sz w:val="28"/>
          <w:szCs w:val="28"/>
          <w:lang w:val="ru-RU"/>
        </w:rPr>
        <w:t>на комфортном уровне свыше 1,5. Это свидетельствует о способности эмитента бесперебойно финансировать текущую операционную деятельность и капитальные затраты (в первую очередь, закупку серверного оборудования) исключительно за счет внутренних источников.</w:t>
      </w:r>
    </w:p>
    <w:p w14:paraId="681268A5" w14:textId="6999A7C2"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Ключевым маркером инвестиционной привлекательности МКПАО «Яндекс» для портфеля ОПИФ РФИ «ВИМ-Металлургия» выступает уровень долговой нагрузки. В то время как включенный в базовый портфель фонд МКПАО «ЭН+ ГРУП» демонстрирует критический мультипликатор «Чистый долг / EBITDA» на уровне 3,81, технологический гигант исторически функционирует с отрицательным или околонулевым чистым долгом. Высокая концентрация денежных средств и их эквивалентов на счетах компании формирует естественный хедж против жесткой денежно-кредитной политики Банка России: при высоких процентных ставках компания не только не несет </w:t>
      </w:r>
      <w:r w:rsidRPr="00580BE4">
        <w:rPr>
          <w:rFonts w:ascii="Times New Roman" w:hAnsi="Times New Roman" w:cs="Times New Roman"/>
          <w:color w:val="000000" w:themeColor="text1"/>
          <w:sz w:val="28"/>
          <w:szCs w:val="28"/>
          <w:lang w:val="ru-RU"/>
        </w:rPr>
        <w:lastRenderedPageBreak/>
        <w:t>избыточных расходов на обслуживание кредитов, но и генерирует существенный процентный доход от размещения свободной ликвидности.</w:t>
      </w:r>
    </w:p>
    <w:p w14:paraId="07B05A53"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Благодаря монопольному положению на рынке поисковых технологий и масштабированию высокомаржинальных сервисов подписки («Яндекс Плюс»), консолидированный показатель ROE МКПАО «Яндекс» устойчиво превышает 20–25%. В отличие от предприятий цветной металлургии (например, ПАО «ГМК «Норильский никель» с ROE 12,4%), маржинальность IT-сектора не подвержена разрушительному влиянию мировых товарных циклов и экспортных ограничений.</w:t>
      </w:r>
    </w:p>
    <w:p w14:paraId="1385CF30" w14:textId="39656351" w:rsidR="00580BE4" w:rsidRPr="00BA0E02" w:rsidRDefault="00580BE4" w:rsidP="00580BE4">
      <w:pPr>
        <w:spacing w:line="360" w:lineRule="auto"/>
        <w:ind w:firstLine="709"/>
        <w:jc w:val="both"/>
        <w:rPr>
          <w:rFonts w:ascii="Times New Roman" w:hAnsi="Times New Roman" w:cs="Times New Roman"/>
          <w:color w:val="000000" w:themeColor="text1"/>
          <w:sz w:val="28"/>
          <w:szCs w:val="28"/>
          <w:highlight w:val="yellow"/>
          <w:lang w:val="ru-RU"/>
        </w:rPr>
      </w:pPr>
      <w:r w:rsidRPr="00580BE4">
        <w:rPr>
          <w:rFonts w:ascii="Times New Roman" w:hAnsi="Times New Roman" w:cs="Times New Roman"/>
          <w:color w:val="000000" w:themeColor="text1"/>
          <w:sz w:val="28"/>
          <w:szCs w:val="28"/>
          <w:lang w:val="ru-RU"/>
        </w:rPr>
        <w:t>Для математического подтверждения надежности эмитента и исключения риска дефолта целесообразно применить четырехфакторную модель Альтмана (Z-score), специально адаптированную для непроизводственных (сервисных) компаний. Использование классической пятифакторной модели, применявшейся в Главе 2 для заводов, здесь будет методологически некорректным ввиду иной структуры активов. Уравнение</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ru-RU"/>
        </w:rPr>
        <w:t>имеет</w:t>
      </w:r>
      <w:r w:rsidRPr="00BA0E02">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ru-RU"/>
        </w:rPr>
        <w:t>вид</w:t>
      </w:r>
      <w:r w:rsidRPr="00BA0E02">
        <w:rPr>
          <w:rFonts w:ascii="Times New Roman" w:hAnsi="Times New Roman" w:cs="Times New Roman"/>
          <w:color w:val="000000" w:themeColor="text1"/>
          <w:sz w:val="28"/>
          <w:szCs w:val="28"/>
          <w:lang w:val="ru-RU"/>
        </w:rPr>
        <w:t xml:space="preserve"> (26):</w:t>
      </w:r>
    </w:p>
    <w:p w14:paraId="0F6A1E49" w14:textId="5C00F234" w:rsidR="00580BE4" w:rsidRPr="00FF1FEF" w:rsidRDefault="00580BE4" w:rsidP="00580BE4">
      <w:pPr>
        <w:spacing w:line="360" w:lineRule="auto"/>
        <w:ind w:firstLine="709"/>
        <w:jc w:val="both"/>
        <w:rPr>
          <w:rFonts w:ascii="Times New Roman" w:hAnsi="Times New Roman" w:cs="Times New Roman"/>
          <w:color w:val="000000" w:themeColor="text1"/>
          <w:sz w:val="28"/>
          <w:szCs w:val="28"/>
          <w:lang w:val="en-US"/>
        </w:rPr>
      </w:pPr>
      <w:r w:rsidRPr="00580BE4">
        <w:rPr>
          <w:rFonts w:ascii="Times New Roman" w:hAnsi="Times New Roman" w:cs="Times New Roman"/>
          <w:color w:val="000000" w:themeColor="text1"/>
          <w:sz w:val="28"/>
          <w:szCs w:val="28"/>
          <w:lang w:val="en-US"/>
        </w:rPr>
        <w:t>Z</w:t>
      </w:r>
      <w:r w:rsidRPr="00FF1FEF">
        <w:rPr>
          <w:rFonts w:ascii="Times New Roman" w:hAnsi="Times New Roman" w:cs="Times New Roman"/>
          <w:color w:val="000000" w:themeColor="text1"/>
          <w:sz w:val="28"/>
          <w:szCs w:val="28"/>
          <w:lang w:val="en-US"/>
        </w:rPr>
        <w:t>'' = 6,56 \</w:t>
      </w:r>
      <w:r w:rsidRPr="00580BE4">
        <w:rPr>
          <w:rFonts w:ascii="Times New Roman" w:hAnsi="Times New Roman" w:cs="Times New Roman"/>
          <w:color w:val="000000" w:themeColor="text1"/>
          <w:sz w:val="28"/>
          <w:szCs w:val="28"/>
          <w:lang w:val="en-US"/>
        </w:rPr>
        <w:t>times</w:t>
      </w:r>
      <w:r w:rsidRPr="00FF1FEF">
        <w:rPr>
          <w:rFonts w:ascii="Times New Roman" w:hAnsi="Times New Roman" w:cs="Times New Roman"/>
          <w:color w:val="000000" w:themeColor="text1"/>
          <w:sz w:val="28"/>
          <w:szCs w:val="28"/>
          <w:lang w:val="en-US"/>
        </w:rPr>
        <w:t xml:space="preserve"> </w:t>
      </w:r>
      <w:r w:rsidRPr="00580BE4">
        <w:rPr>
          <w:rFonts w:ascii="Times New Roman" w:hAnsi="Times New Roman" w:cs="Times New Roman"/>
          <w:color w:val="000000" w:themeColor="text1"/>
          <w:sz w:val="28"/>
          <w:szCs w:val="28"/>
          <w:lang w:val="en-US"/>
        </w:rPr>
        <w:t>X</w:t>
      </w:r>
      <w:r w:rsidRPr="00FF1FEF">
        <w:rPr>
          <w:rFonts w:ascii="Times New Roman" w:hAnsi="Times New Roman" w:cs="Times New Roman"/>
          <w:color w:val="000000" w:themeColor="text1"/>
          <w:sz w:val="28"/>
          <w:szCs w:val="28"/>
          <w:lang w:val="en-US"/>
        </w:rPr>
        <w:t>1 + 3,26 \</w:t>
      </w:r>
      <w:r w:rsidRPr="00580BE4">
        <w:rPr>
          <w:rFonts w:ascii="Times New Roman" w:hAnsi="Times New Roman" w:cs="Times New Roman"/>
          <w:color w:val="000000" w:themeColor="text1"/>
          <w:sz w:val="28"/>
          <w:szCs w:val="28"/>
          <w:lang w:val="en-US"/>
        </w:rPr>
        <w:t>times</w:t>
      </w:r>
      <w:r w:rsidRPr="00FF1FEF">
        <w:rPr>
          <w:rFonts w:ascii="Times New Roman" w:hAnsi="Times New Roman" w:cs="Times New Roman"/>
          <w:color w:val="000000" w:themeColor="text1"/>
          <w:sz w:val="28"/>
          <w:szCs w:val="28"/>
          <w:lang w:val="en-US"/>
        </w:rPr>
        <w:t xml:space="preserve"> </w:t>
      </w:r>
      <w:r w:rsidRPr="00580BE4">
        <w:rPr>
          <w:rFonts w:ascii="Times New Roman" w:hAnsi="Times New Roman" w:cs="Times New Roman"/>
          <w:color w:val="000000" w:themeColor="text1"/>
          <w:sz w:val="28"/>
          <w:szCs w:val="28"/>
          <w:lang w:val="en-US"/>
        </w:rPr>
        <w:t>X</w:t>
      </w:r>
      <w:r w:rsidRPr="00FF1FEF">
        <w:rPr>
          <w:rFonts w:ascii="Times New Roman" w:hAnsi="Times New Roman" w:cs="Times New Roman"/>
          <w:color w:val="000000" w:themeColor="text1"/>
          <w:sz w:val="28"/>
          <w:szCs w:val="28"/>
          <w:lang w:val="en-US"/>
        </w:rPr>
        <w:t>2 + 6,72 \</w:t>
      </w:r>
      <w:r w:rsidRPr="00580BE4">
        <w:rPr>
          <w:rFonts w:ascii="Times New Roman" w:hAnsi="Times New Roman" w:cs="Times New Roman"/>
          <w:color w:val="000000" w:themeColor="text1"/>
          <w:sz w:val="28"/>
          <w:szCs w:val="28"/>
          <w:lang w:val="en-US"/>
        </w:rPr>
        <w:t>times</w:t>
      </w:r>
      <w:r w:rsidRPr="00FF1FEF">
        <w:rPr>
          <w:rFonts w:ascii="Times New Roman" w:hAnsi="Times New Roman" w:cs="Times New Roman"/>
          <w:color w:val="000000" w:themeColor="text1"/>
          <w:sz w:val="28"/>
          <w:szCs w:val="28"/>
          <w:lang w:val="en-US"/>
        </w:rPr>
        <w:t xml:space="preserve"> </w:t>
      </w:r>
      <w:r w:rsidRPr="00580BE4">
        <w:rPr>
          <w:rFonts w:ascii="Times New Roman" w:hAnsi="Times New Roman" w:cs="Times New Roman"/>
          <w:color w:val="000000" w:themeColor="text1"/>
          <w:sz w:val="28"/>
          <w:szCs w:val="28"/>
          <w:lang w:val="en-US"/>
        </w:rPr>
        <w:t>X</w:t>
      </w:r>
      <w:r w:rsidRPr="00FF1FEF">
        <w:rPr>
          <w:rFonts w:ascii="Times New Roman" w:hAnsi="Times New Roman" w:cs="Times New Roman"/>
          <w:color w:val="000000" w:themeColor="text1"/>
          <w:sz w:val="28"/>
          <w:szCs w:val="28"/>
          <w:lang w:val="en-US"/>
        </w:rPr>
        <w:t xml:space="preserve">3 + 1,05 * </w:t>
      </w:r>
      <w:r w:rsidRPr="00580BE4">
        <w:rPr>
          <w:rFonts w:ascii="Times New Roman" w:hAnsi="Times New Roman" w:cs="Times New Roman"/>
          <w:color w:val="000000" w:themeColor="text1"/>
          <w:sz w:val="28"/>
          <w:szCs w:val="28"/>
          <w:lang w:val="en-US"/>
        </w:rPr>
        <w:t>X</w:t>
      </w:r>
      <w:r w:rsidRPr="00FF1FEF">
        <w:rPr>
          <w:rFonts w:ascii="Times New Roman" w:hAnsi="Times New Roman" w:cs="Times New Roman"/>
          <w:color w:val="000000" w:themeColor="text1"/>
          <w:sz w:val="28"/>
          <w:szCs w:val="28"/>
          <w:lang w:val="en-US"/>
        </w:rPr>
        <w:t>4,                    (26)</w:t>
      </w:r>
    </w:p>
    <w:p w14:paraId="751892AF"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где:</w:t>
      </w:r>
    </w:p>
    <w:p w14:paraId="4AC03E4E" w14:textId="2FDD0D03"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X1 — отношение оборотного капитала к сумме активов;</w:t>
      </w:r>
    </w:p>
    <w:p w14:paraId="4C23248E" w14:textId="6FCA2230"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X2 — отношение нераспределенной прибыли к сумме активов;</w:t>
      </w:r>
    </w:p>
    <w:p w14:paraId="7B3E3CD7" w14:textId="3B526EF4"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X3 — отношение операционной прибыли (EBIT) к сумме активов;</w:t>
      </w:r>
    </w:p>
    <w:p w14:paraId="1DB0FB78" w14:textId="18D7F6E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X4 — отношение балансовой стоимости собственного капитала к совокупным обязательствам.</w:t>
      </w:r>
    </w:p>
    <w:p w14:paraId="29ABEBB5" w14:textId="0FB28115"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 xml:space="preserve">Расчет на базе консолидированной отчетности </w:t>
      </w:r>
      <w:r w:rsidRPr="007A3CAE">
        <w:rPr>
          <w:rFonts w:ascii="Times New Roman" w:hAnsi="Times New Roman" w:cs="Times New Roman"/>
          <w:color w:val="FF0000"/>
          <w:sz w:val="28"/>
          <w:szCs w:val="28"/>
          <w:lang w:val="ru-RU"/>
        </w:rPr>
        <w:t xml:space="preserve">МКПАО «Яндекс» </w:t>
      </w:r>
      <w:r w:rsidR="00A70940">
        <w:rPr>
          <w:rFonts w:ascii="Times New Roman" w:hAnsi="Times New Roman" w:cs="Times New Roman"/>
          <w:color w:val="000000" w:themeColor="text1"/>
          <w:sz w:val="28"/>
          <w:szCs w:val="28"/>
          <w:lang w:val="ru-RU"/>
        </w:rPr>
        <w:t xml:space="preserve">? </w:t>
      </w:r>
      <w:r w:rsidRPr="00580BE4">
        <w:rPr>
          <w:rFonts w:ascii="Times New Roman" w:hAnsi="Times New Roman" w:cs="Times New Roman"/>
          <w:color w:val="000000" w:themeColor="text1"/>
          <w:sz w:val="28"/>
          <w:szCs w:val="28"/>
          <w:lang w:val="ru-RU"/>
        </w:rPr>
        <w:t xml:space="preserve">демонстрирует значение Z-индекса, многократно превышающее безопасный порог в 2,6 балла. Это означает, что эмитент находится в зоне абсолютной </w:t>
      </w:r>
      <w:r w:rsidRPr="00580BE4">
        <w:rPr>
          <w:rFonts w:ascii="Times New Roman" w:hAnsi="Times New Roman" w:cs="Times New Roman"/>
          <w:color w:val="000000" w:themeColor="text1"/>
          <w:sz w:val="28"/>
          <w:szCs w:val="28"/>
          <w:lang w:val="ru-RU"/>
        </w:rPr>
        <w:lastRenderedPageBreak/>
        <w:t>финансовой надежности, а вероятность его банкротства в обозримом горизонте стремится к нулю.</w:t>
      </w:r>
    </w:p>
    <w:p w14:paraId="437E52AC" w14:textId="77777777" w:rsidR="00580BE4" w:rsidRPr="00580BE4" w:rsidRDefault="00580BE4" w:rsidP="00580BE4">
      <w:pPr>
        <w:spacing w:line="360" w:lineRule="auto"/>
        <w:ind w:firstLine="709"/>
        <w:jc w:val="both"/>
        <w:rPr>
          <w:rFonts w:ascii="Times New Roman" w:hAnsi="Times New Roman" w:cs="Times New Roman"/>
          <w:color w:val="000000" w:themeColor="text1"/>
          <w:sz w:val="28"/>
          <w:szCs w:val="28"/>
          <w:lang w:val="ru-RU"/>
        </w:rPr>
      </w:pPr>
      <w:r w:rsidRPr="00580BE4">
        <w:rPr>
          <w:rFonts w:ascii="Times New Roman" w:hAnsi="Times New Roman" w:cs="Times New Roman"/>
          <w:color w:val="000000" w:themeColor="text1"/>
          <w:sz w:val="28"/>
          <w:szCs w:val="28"/>
          <w:lang w:val="ru-RU"/>
        </w:rPr>
        <w:t>Таким образом, включение данного актива в портфель решает сразу две системные проблемы фонда. Во-первых, высочайшая операционная эффективность и двузначные темпы роста выручки МКПАО «Яндекс» способны вытянуть общую доходность портфеля, компенсируя убытки стагнирующих сырьевых компаний. Во-вторых, внутренняя бизнес-модель Яндекса сама по себе является глубоко диверсифицированной экосистемой: просадки в сегменте электронной коммерции традиционно нивелируются сверхприбылями рекламной сети и облачных сервисов. Такая «встроенная» диверсификация на уровне одного актива радикально снижает несистематический риск (specific risk), внося существенный вклад в оптимизацию кривой эффективного фронта Марковица для всего ОПИФ РФИ «ВИМ-Металлургия».</w:t>
      </w:r>
    </w:p>
    <w:p w14:paraId="52E3EC50" w14:textId="760A59EA"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Практическая имплементация предложенных мер приведет к ярко выраженному синергетическому эффекту. Замещение части высоковолатильных металлургических активов стабильными бумагами химической промышленности, морской логистики и энергетики позволит кардинально уменьшить амплитуду колебаний стоимости пая. В результате такой тактической и стратегической ребалансировки ожидается существенный рост риск-скорректированной доходности, что выведет анализируемый фонд на принципиально новый уровень качества корпоративного управления инвестициями.</w:t>
      </w:r>
    </w:p>
    <w:p w14:paraId="0CED98AD" w14:textId="77777777"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 xml:space="preserve">Современная теория портфельного инвестирования базируется на строгом математическом моделировании оптимального соотношения ожидаемой доходности и совокупного риска. Главная концептуальная задача управляющего портфелем в рамках данной теории заключается в поиске </w:t>
      </w:r>
      <w:r w:rsidRPr="002C229C">
        <w:rPr>
          <w:rFonts w:ascii="Times New Roman" w:hAnsi="Times New Roman" w:cs="Times New Roman"/>
          <w:color w:val="000000" w:themeColor="text1"/>
          <w:sz w:val="28"/>
          <w:szCs w:val="28"/>
          <w:lang w:val="ru-RU"/>
        </w:rPr>
        <w:lastRenderedPageBreak/>
        <w:t>эффективного фронта Марковица — геометрического места точек в многомерном пространстве параметров, которые соответствуют портфелям, обеспечивающим абсолютный максимум ожидаемой доходности при жестко заданном уровне риска, либо абсолютный минимум риска при целевой требуемой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[20, с. 15]</w:t>
      </w:r>
      <w:r w:rsidRPr="002C229C">
        <w:rPr>
          <w:rFonts w:ascii="Times New Roman" w:hAnsi="Times New Roman" w:cs="Times New Roman"/>
          <w:color w:val="000000" w:themeColor="text1"/>
          <w:sz w:val="28"/>
          <w:szCs w:val="28"/>
          <w:lang w:val="ru-RU"/>
        </w:rPr>
        <w:t>.</w:t>
      </w:r>
    </w:p>
    <w:p w14:paraId="1206CFA3" w14:textId="7E88FB76" w:rsidR="002C229C" w:rsidRPr="002C229C" w:rsidRDefault="002C229C" w:rsidP="004605F7">
      <w:pPr>
        <w:spacing w:line="360" w:lineRule="auto"/>
        <w:ind w:firstLine="709"/>
        <w:jc w:val="both"/>
        <w:rPr>
          <w:rFonts w:ascii="Times New Roman" w:hAnsi="Times New Roman" w:cs="Times New Roman"/>
          <w:color w:val="000000" w:themeColor="text1"/>
          <w:sz w:val="28"/>
          <w:szCs w:val="28"/>
          <w:lang w:val="ru-RU"/>
        </w:rPr>
      </w:pPr>
      <w:r w:rsidRPr="002C229C">
        <w:rPr>
          <w:rFonts w:ascii="Times New Roman" w:hAnsi="Times New Roman" w:cs="Times New Roman"/>
          <w:color w:val="000000" w:themeColor="text1"/>
          <w:sz w:val="28"/>
          <w:szCs w:val="28"/>
          <w:lang w:val="ru-RU"/>
        </w:rPr>
        <w:t>С математической точки зрения ожидаемая доходность инвестиционного портфеля вычисляется как линейная комбинация — средневзвешенная величина математических ожиданий доходностей всех входящих в него финансовых инструментов. Данная зависимость формализуется следующим уравнением</w:t>
      </w:r>
      <w:r w:rsidR="00B67275">
        <w:rPr>
          <w:rFonts w:ascii="Times New Roman" w:hAnsi="Times New Roman" w:cs="Times New Roman"/>
          <w:color w:val="000000" w:themeColor="text1"/>
          <w:sz w:val="28"/>
          <w:szCs w:val="28"/>
          <w:lang w:val="ru-RU"/>
        </w:rPr>
        <w:t xml:space="preserve"> (</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7</w:t>
      </w:r>
      <w:r w:rsidR="00B67275">
        <w:rPr>
          <w:rFonts w:ascii="Times New Roman" w:hAnsi="Times New Roman" w:cs="Times New Roman"/>
          <w:color w:val="000000" w:themeColor="text1"/>
          <w:sz w:val="28"/>
          <w:szCs w:val="28"/>
          <w:lang w:val="ru-RU"/>
        </w:rPr>
        <w:t>)</w:t>
      </w:r>
      <w:r w:rsidRPr="002C229C">
        <w:rPr>
          <w:rFonts w:ascii="Times New Roman" w:hAnsi="Times New Roman" w:cs="Times New Roman"/>
          <w:color w:val="000000" w:themeColor="text1"/>
          <w:sz w:val="28"/>
          <w:szCs w:val="28"/>
          <w:lang w:val="ru-RU"/>
        </w:rPr>
        <w:t>:</w:t>
      </w:r>
    </w:p>
    <w:p w14:paraId="2A5848D4" w14:textId="4E0ECC95" w:rsidR="002C229C" w:rsidRPr="00564EEC" w:rsidRDefault="00564EEC" w:rsidP="00564EEC">
      <w:pPr>
        <w:spacing w:line="360" w:lineRule="auto"/>
        <w:ind w:firstLine="709"/>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p</m:t>
                </m:r>
              </m:sub>
            </m:sSub>
          </m:e>
        </m:d>
        <m:r>
          <w:rPr>
            <w:rFonts w:ascii="Cambria Math" w:hAnsi="Cambria Math" w:cs="Times New Roman"/>
            <w:color w:val="000000" w:themeColor="text1"/>
            <w:sz w:val="28"/>
            <w:szCs w:val="28"/>
            <w:lang w:val="ru-RU"/>
          </w:rPr>
          <m:t xml:space="preserve">= </m:t>
        </m:r>
        <m:nary>
          <m:naryPr>
            <m:chr m:val="∑"/>
            <m:ctrlPr>
              <w:rPr>
                <w:rFonts w:ascii="Cambria Math" w:hAnsi="Cambria Math" w:cs="Times New Roman"/>
                <w:i/>
                <w:color w:val="000000" w:themeColor="text1"/>
                <w:sz w:val="28"/>
                <w:szCs w:val="28"/>
                <w:lang w:val="en-US"/>
              </w:rPr>
            </m:ctrlPr>
          </m:naryPr>
          <m:sub>
            <m:d>
              <m:dPr>
                <m:begChr m:val="{"/>
                <m:endChr m:val="}"/>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i</m:t>
                </m:r>
                <m:r>
                  <w:rPr>
                    <w:rFonts w:ascii="Cambria Math" w:hAnsi="Cambria Math" w:cs="Times New Roman"/>
                    <w:color w:val="000000" w:themeColor="text1"/>
                    <w:sz w:val="28"/>
                    <w:szCs w:val="28"/>
                    <w:lang w:val="ru-RU"/>
                  </w:rPr>
                  <m:t>=1</m:t>
                </m:r>
              </m:e>
            </m:d>
          </m:sub>
          <m:sup>
            <m:r>
              <w:rPr>
                <w:rFonts w:ascii="Cambria Math" w:hAnsi="Cambria Math" w:cs="Times New Roman"/>
                <w:color w:val="000000" w:themeColor="text1"/>
                <w:sz w:val="28"/>
                <w:szCs w:val="28"/>
                <w:lang w:val="en-US"/>
              </w:rPr>
              <m:t>n</m:t>
            </m:r>
          </m:sup>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w</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lang w:val="en-US"/>
              </w:rPr>
              <m:t>E</m:t>
            </m:r>
            <m:d>
              <m:dPr>
                <m:ctrlPr>
                  <w:rPr>
                    <w:rFonts w:ascii="Cambria Math" w:hAnsi="Cambria Math" w:cs="Times New Roman"/>
                    <w:i/>
                    <w:color w:val="000000" w:themeColor="text1"/>
                    <w:sz w:val="28"/>
                    <w:szCs w:val="28"/>
                    <w:lang w:val="en-US"/>
                  </w:rPr>
                </m:ctrlPr>
              </m:dPr>
              <m:e>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R</m:t>
                    </m:r>
                  </m:e>
                  <m:sub>
                    <m:r>
                      <w:rPr>
                        <w:rFonts w:ascii="Cambria Math" w:hAnsi="Cambria Math" w:cs="Times New Roman"/>
                        <w:color w:val="000000" w:themeColor="text1"/>
                        <w:sz w:val="28"/>
                        <w:szCs w:val="28"/>
                        <w:lang w:val="en-US"/>
                      </w:rPr>
                      <m:t>i</m:t>
                    </m:r>
                  </m:sub>
                </m:sSub>
              </m:e>
            </m:d>
          </m:e>
        </m:nary>
      </m:oMath>
      <w:r>
        <w:rPr>
          <w:rFonts w:ascii="Times New Roman" w:hAnsi="Times New Roman" w:cs="Times New Roman"/>
          <w:color w:val="000000" w:themeColor="text1"/>
          <w:sz w:val="28"/>
          <w:szCs w:val="28"/>
          <w:lang w:val="ru-RU"/>
        </w:rPr>
        <w:t xml:space="preserve">      </w:t>
      </w:r>
      <w:r w:rsidR="00580BE4" w:rsidRPr="00A70940">
        <w:rPr>
          <w:rFonts w:ascii="Times New Roman" w:hAnsi="Times New Roman" w:cs="Times New Roman"/>
          <w:color w:val="FF0000"/>
          <w:sz w:val="28"/>
          <w:szCs w:val="28"/>
          <w:lang w:val="ru-RU"/>
        </w:rPr>
        <w:t>,</w:t>
      </w:r>
      <w:r w:rsidRPr="00A70940">
        <w:rPr>
          <w:rFonts w:ascii="Times New Roman" w:hAnsi="Times New Roman" w:cs="Times New Roman"/>
          <w:color w:val="FF0000"/>
          <w:sz w:val="28"/>
          <w:szCs w:val="28"/>
          <w:lang w:val="ru-RU"/>
        </w:rPr>
        <w:t xml:space="preserve">          </w:t>
      </w:r>
      <w:r w:rsidR="00A70940" w:rsidRPr="00A70940">
        <w:rPr>
          <w:rFonts w:ascii="Times New Roman" w:hAnsi="Times New Roman" w:cs="Times New Roman"/>
          <w:color w:val="FF0000"/>
          <w:sz w:val="28"/>
          <w:szCs w:val="28"/>
          <w:lang w:val="ru-RU"/>
        </w:rPr>
        <w:t>уже была</w:t>
      </w:r>
      <w:r w:rsidRPr="00A70940">
        <w:rPr>
          <w:rFonts w:ascii="Times New Roman" w:hAnsi="Times New Roman" w:cs="Times New Roman"/>
          <w:color w:val="FF0000"/>
          <w:sz w:val="28"/>
          <w:szCs w:val="28"/>
          <w:lang w:val="ru-RU"/>
        </w:rPr>
        <w:t xml:space="preserve">                                                          </w:t>
      </w:r>
      <w:r w:rsidR="00B67275">
        <w:rPr>
          <w:rFonts w:ascii="Times New Roman" w:hAnsi="Times New Roman" w:cs="Times New Roman"/>
          <w:color w:val="000000" w:themeColor="text1"/>
          <w:sz w:val="28"/>
          <w:szCs w:val="28"/>
          <w:lang w:val="ru-RU"/>
        </w:rPr>
        <w:t>(</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7</w:t>
      </w:r>
      <w:r w:rsidR="00B67275">
        <w:rPr>
          <w:rFonts w:ascii="Times New Roman" w:hAnsi="Times New Roman" w:cs="Times New Roman"/>
          <w:color w:val="000000" w:themeColor="text1"/>
          <w:sz w:val="28"/>
          <w:szCs w:val="28"/>
          <w:lang w:val="ru-RU"/>
        </w:rPr>
        <w:t>)</w:t>
      </w:r>
    </w:p>
    <w:p w14:paraId="17EEB1BA"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3B24F5B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инвестиционного портфеля;</w:t>
      </w:r>
    </w:p>
    <w:p w14:paraId="13F2B8A9" w14:textId="39F6342D"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w</m:t>
            </m:r>
          </m:e>
          <m:sub>
            <m:r>
              <w:rPr>
                <w:rFonts w:ascii="Cambria Math" w:hAnsi="Cambria Math" w:cs="Times New Roman"/>
                <w:color w:val="000000" w:themeColor="text1"/>
                <w:sz w:val="28"/>
                <w:szCs w:val="28"/>
                <w:lang w:val="ru-RU"/>
              </w:rPr>
              <m:t>i</m:t>
            </m:r>
          </m:sub>
        </m:sSub>
      </m:oMath>
      <w:r w:rsidR="002C229C" w:rsidRPr="00B67275">
        <w:rPr>
          <w:rFonts w:ascii="Times New Roman" w:hAnsi="Times New Roman" w:cs="Times New Roman"/>
          <w:color w:val="000000" w:themeColor="text1"/>
          <w:sz w:val="28"/>
          <w:szCs w:val="28"/>
          <w:lang w:val="ru-RU"/>
        </w:rPr>
        <w:t xml:space="preserve"> — удельный вес i</w:t>
      </w:r>
      <w:r w:rsidR="00BA0E02" w:rsidRPr="00BA0E02">
        <w:rPr>
          <w:rFonts w:ascii="Times New Roman" w:hAnsi="Times New Roman" w:cs="Times New Roman"/>
          <w:color w:val="000000" w:themeColor="text1"/>
          <w:sz w:val="28"/>
          <w:szCs w:val="28"/>
          <w:lang w:val="ru-RU"/>
        </w:rPr>
        <w:t>-</w:t>
      </w:r>
      <w:r w:rsidR="002C229C" w:rsidRPr="00B67275">
        <w:rPr>
          <w:rFonts w:ascii="Times New Roman" w:hAnsi="Times New Roman" w:cs="Times New Roman"/>
          <w:color w:val="000000" w:themeColor="text1"/>
          <w:sz w:val="28"/>
          <w:szCs w:val="28"/>
          <w:lang w:val="ru-RU"/>
        </w:rPr>
        <w:t>го актива в структуре портфеля;</w:t>
      </w:r>
    </w:p>
    <w:p w14:paraId="61A2DCB2" w14:textId="6B52BC2B"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i</m:t>
                </m:r>
              </m:sub>
            </m:sSub>
          </m:e>
        </m:d>
      </m:oMath>
      <w:r w:rsidRPr="00B67275">
        <w:rPr>
          <w:rFonts w:ascii="Times New Roman" w:hAnsi="Times New Roman" w:cs="Times New Roman"/>
          <w:color w:val="000000" w:themeColor="text1"/>
          <w:sz w:val="28"/>
          <w:szCs w:val="28"/>
          <w:lang w:val="ru-RU"/>
        </w:rPr>
        <w:t xml:space="preserve"> — ожидаемая (прогнозируемая) доходность i-го актива;</w:t>
      </w:r>
    </w:p>
    <w:p w14:paraId="3FF9866F"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n</m:t>
        </m:r>
      </m:oMath>
      <w:r w:rsidRPr="00B67275">
        <w:rPr>
          <w:rFonts w:ascii="Times New Roman" w:hAnsi="Times New Roman" w:cs="Times New Roman"/>
          <w:color w:val="000000" w:themeColor="text1"/>
          <w:sz w:val="28"/>
          <w:szCs w:val="28"/>
          <w:lang w:val="ru-RU"/>
        </w:rPr>
        <w:t xml:space="preserve"> — общее количество активов в портфеле.</w:t>
      </w:r>
    </w:p>
    <w:p w14:paraId="62A72E22" w14:textId="77777777" w:rsidR="0094314F"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Однако фундаментальным прорывом классической портфельной теории является строгое математическое доказательство того, что совокупный риск портфеля не равен простой средневзвешенной величине индивидуальных рисков составляющих его активов</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[25, с. 156]</w:t>
      </w:r>
      <w:r w:rsidRPr="00B67275">
        <w:rPr>
          <w:rFonts w:ascii="Times New Roman" w:hAnsi="Times New Roman" w:cs="Times New Roman"/>
          <w:color w:val="000000" w:themeColor="text1"/>
          <w:sz w:val="28"/>
          <w:szCs w:val="28"/>
          <w:lang w:val="ru-RU"/>
        </w:rPr>
        <w:t xml:space="preserve">. </w:t>
      </w:r>
    </w:p>
    <w:p w14:paraId="42A1B813" w14:textId="6C14B7FC"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Риск инвестиционного портфеля, квантифицируемый как дисперсия (</w:t>
      </w: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 xml:space="preserve">) </m:t>
        </m:r>
      </m:oMath>
      <w:r w:rsidRPr="00B67275">
        <w:rPr>
          <w:rFonts w:ascii="Times New Roman" w:hAnsi="Times New Roman" w:cs="Times New Roman"/>
          <w:color w:val="000000" w:themeColor="text1"/>
          <w:sz w:val="28"/>
          <w:szCs w:val="28"/>
          <w:lang w:val="ru-RU"/>
        </w:rPr>
        <w:t>или стандартное отклонение (</w:t>
      </w:r>
      <m:oMath>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en-US"/>
              </w:rPr>
              <m:t>p</m:t>
            </m:r>
          </m:sub>
        </m:sSub>
      </m:oMath>
      <w:r w:rsidRPr="00B67275">
        <w:rPr>
          <w:rFonts w:ascii="Times New Roman" w:hAnsi="Times New Roman" w:cs="Times New Roman"/>
          <w:color w:val="000000" w:themeColor="text1"/>
          <w:sz w:val="28"/>
          <w:szCs w:val="28"/>
          <w:lang w:val="ru-RU"/>
        </w:rPr>
        <w:t>), всецело и нелинейно зависит от степени статистической взаимосвязи между доходностями активов. Математически дисперсия портфеля выражается развернутой формулой</w:t>
      </w:r>
      <w:r w:rsidR="00B67275" w:rsidRPr="00B67275">
        <w:rPr>
          <w:rFonts w:ascii="Times New Roman" w:hAnsi="Times New Roman" w:cs="Times New Roman"/>
          <w:color w:val="000000" w:themeColor="text1"/>
          <w:sz w:val="28"/>
          <w:szCs w:val="28"/>
          <w:lang w:val="ru-RU"/>
        </w:rPr>
        <w:t xml:space="preserve"> (</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8</w:t>
      </w:r>
      <w:r w:rsidR="00B67275" w:rsidRPr="00B67275">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p>
    <w:p w14:paraId="511F960E" w14:textId="6F2C0D96" w:rsidR="002C229C" w:rsidRPr="00564EEC" w:rsidRDefault="00FF1FEF" w:rsidP="002C229C">
      <w:pPr>
        <w:spacing w:line="360" w:lineRule="auto"/>
        <w:ind w:firstLine="709"/>
        <w:rPr>
          <w:rFonts w:ascii="Times New Roman" w:hAnsi="Times New Roman" w:cs="Times New Roman"/>
          <w:color w:val="000000" w:themeColor="text1"/>
          <w:sz w:val="28"/>
          <w:szCs w:val="28"/>
          <w:lang w:val="ru-RU"/>
        </w:rPr>
      </w:pPr>
      <m:oMath>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p</m:t>
            </m:r>
          </m:sub>
          <m:sup>
            <m:r>
              <w:rPr>
                <w:rFonts w:ascii="Cambria Math" w:hAnsi="Cambria Math" w:cs="Times New Roman"/>
                <w:color w:val="000000" w:themeColor="text1"/>
                <w:sz w:val="28"/>
                <w:szCs w:val="28"/>
                <w:lang w:val="ru-RU"/>
              </w:rPr>
              <m:t>2</m:t>
            </m:r>
          </m:sup>
        </m:sSubSup>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sSubSup>
              <m:sSubSupPr>
                <m:ctrlPr>
                  <w:rPr>
                    <w:rFonts w:ascii="Cambria Math" w:hAnsi="Cambria Math"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lang w:val="ru-RU"/>
                  </w:rPr>
                  <m:t>2</m:t>
                </m:r>
              </m:sup>
            </m:sSubSup>
          </m:e>
        </m:nary>
        <m:r>
          <w:rPr>
            <w:rFonts w:ascii="Cambria Math" w:hAnsi="Cambria Math" w:cs="Times New Roman"/>
            <w:color w:val="000000" w:themeColor="text1"/>
            <w:sz w:val="28"/>
            <w:szCs w:val="28"/>
            <w:lang w:val="ru-RU"/>
          </w:rPr>
          <m:t>+</m:t>
        </m:r>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i</m:t>
            </m:r>
            <m:r>
              <w:rPr>
                <w:rFonts w:ascii="Cambria Math" w:hAnsi="Cambria Math" w:cs="Times New Roman"/>
                <w:color w:val="000000" w:themeColor="text1"/>
                <w:sz w:val="28"/>
                <w:szCs w:val="28"/>
                <w:lang w:val="ru-RU"/>
              </w:rPr>
              <m:t>=1</m:t>
            </m:r>
          </m:sub>
          <m:sup>
            <m:r>
              <w:rPr>
                <w:rFonts w:ascii="Cambria Math" w:hAnsi="Cambria Math" w:cs="Times New Roman"/>
                <w:color w:val="000000" w:themeColor="text1"/>
                <w:sz w:val="28"/>
                <w:szCs w:val="28"/>
              </w:rPr>
              <m:t>n</m:t>
            </m:r>
          </m:sup>
          <m:e>
            <m:nary>
              <m:naryPr>
                <m:chr m:val="∑"/>
                <m:ctrlPr>
                  <w:rPr>
                    <w:rFonts w:ascii="Cambria Math" w:hAnsi="Cambria Math" w:cs="Times New Roman"/>
                    <w:i/>
                    <w:color w:val="000000" w:themeColor="text1"/>
                    <w:sz w:val="28"/>
                    <w:szCs w:val="28"/>
                    <w:lang w:val="ru-RU"/>
                  </w:rPr>
                </m:ctrlPr>
              </m:naryPr>
              <m:sub>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=1, </m:t>
                </m:r>
                <m:r>
                  <w:rPr>
                    <w:rFonts w:ascii="Cambria Math" w:hAnsi="Cambria Math" w:cs="Times New Roman"/>
                    <w:color w:val="000000" w:themeColor="text1"/>
                    <w:sz w:val="28"/>
                    <w:szCs w:val="28"/>
                  </w:rPr>
                  <m:t>j</m:t>
                </m:r>
                <m:r>
                  <w:rPr>
                    <w:rFonts w:ascii="Cambria Math" w:hAnsi="Cambria Math" w:cs="Times New Roman"/>
                    <w:color w:val="000000" w:themeColor="text1"/>
                    <w:sz w:val="28"/>
                    <w:szCs w:val="28"/>
                    <w:lang w:val="ru-RU"/>
                  </w:rPr>
                  <m:t xml:space="preserve"> ≠</m:t>
                </m:r>
                <m:r>
                  <w:rPr>
                    <w:rFonts w:ascii="Cambria Math" w:hAnsi="Cambria Math" w:cs="Times New Roman"/>
                    <w:color w:val="000000" w:themeColor="text1"/>
                    <w:sz w:val="28"/>
                    <w:szCs w:val="28"/>
                  </w:rPr>
                  <m:t>i</m:t>
                </m:r>
              </m:sub>
              <m:sup>
                <m:r>
                  <w:rPr>
                    <w:rFonts w:ascii="Cambria Math" w:hAnsi="Cambria Math" w:cs="Times New Roman"/>
                    <w:color w:val="000000" w:themeColor="text1"/>
                    <w:sz w:val="28"/>
                    <w:szCs w:val="28"/>
                  </w:rPr>
                  <m:t>n</m:t>
                </m:r>
              </m:sup>
              <m:e>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rPr>
                      <m:t>w</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i</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rPr>
                      <m:t>j</m:t>
                    </m:r>
                  </m:sub>
                </m:sSub>
                <m:sSub>
                  <m:sSubPr>
                    <m:ctrlPr>
                      <w:rPr>
                        <w:rFonts w:ascii="Cambria Math" w:hAnsi="Cambria Math"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r>
                      <w:rPr>
                        <w:rFonts w:ascii="Cambria Math" w:hAnsi="Cambria Math" w:cs="Times New Roman"/>
                        <w:color w:val="000000" w:themeColor="text1"/>
                        <w:sz w:val="28"/>
                        <w:szCs w:val="28"/>
                      </w:rPr>
                      <m:t>ij</m:t>
                    </m:r>
                  </m:sub>
                </m:sSub>
              </m:e>
            </m:nary>
          </m:e>
        </m:nary>
        <m:r>
          <w:rPr>
            <w:rFonts w:ascii="Cambria Math" w:hAnsi="Cambria Math" w:cs="Times New Roman"/>
            <w:color w:val="000000" w:themeColor="text1"/>
            <w:sz w:val="28"/>
            <w:szCs w:val="28"/>
            <w:lang w:val="ru-RU"/>
          </w:rPr>
          <m:t xml:space="preserve">  </m:t>
        </m:r>
      </m:oMath>
      <w:r w:rsidR="00580BE4">
        <w:rPr>
          <w:rFonts w:ascii="Times New Roman" w:hAnsi="Times New Roman" w:cs="Times New Roman"/>
          <w:color w:val="000000" w:themeColor="text1"/>
          <w:sz w:val="28"/>
          <w:szCs w:val="28"/>
          <w:lang w:val="ru-RU"/>
        </w:rPr>
        <w:t>,</w:t>
      </w:r>
      <w:r w:rsidR="00564EEC">
        <w:rPr>
          <w:rFonts w:ascii="Times New Roman" w:hAnsi="Times New Roman" w:cs="Times New Roman"/>
          <w:color w:val="000000" w:themeColor="text1"/>
          <w:sz w:val="28"/>
          <w:szCs w:val="28"/>
          <w:lang w:val="ru-RU"/>
        </w:rPr>
        <w:t xml:space="preserve">                                       </w:t>
      </w:r>
      <w:r w:rsidR="00B67275" w:rsidRPr="00564EEC">
        <w:rPr>
          <w:rFonts w:ascii="Times New Roman" w:hAnsi="Times New Roman" w:cs="Times New Roman"/>
          <w:color w:val="000000" w:themeColor="text1"/>
          <w:sz w:val="28"/>
          <w:szCs w:val="28"/>
          <w:lang w:val="ru-RU"/>
        </w:rPr>
        <w:t>(</w:t>
      </w:r>
      <w:r w:rsidR="00020A98">
        <w:rPr>
          <w:rFonts w:ascii="Times New Roman" w:hAnsi="Times New Roman" w:cs="Times New Roman"/>
          <w:color w:val="000000" w:themeColor="text1"/>
          <w:sz w:val="28"/>
          <w:szCs w:val="28"/>
          <w:lang w:val="ru-RU"/>
        </w:rPr>
        <w:t>2</w:t>
      </w:r>
      <w:r w:rsidR="00580BE4">
        <w:rPr>
          <w:rFonts w:ascii="Times New Roman" w:hAnsi="Times New Roman" w:cs="Times New Roman"/>
          <w:color w:val="000000" w:themeColor="text1"/>
          <w:sz w:val="28"/>
          <w:szCs w:val="28"/>
          <w:lang w:val="ru-RU"/>
        </w:rPr>
        <w:t>8</w:t>
      </w:r>
      <w:r w:rsidR="00B67275" w:rsidRPr="00564EEC">
        <w:rPr>
          <w:rFonts w:ascii="Times New Roman" w:hAnsi="Times New Roman" w:cs="Times New Roman"/>
          <w:color w:val="000000" w:themeColor="text1"/>
          <w:sz w:val="28"/>
          <w:szCs w:val="28"/>
          <w:lang w:val="ru-RU"/>
        </w:rPr>
        <w:t>)</w:t>
      </w:r>
    </w:p>
    <w:p w14:paraId="43CC792B"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lastRenderedPageBreak/>
        <w:t>где:</w:t>
      </w:r>
    </w:p>
    <w:p w14:paraId="1651378C"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дисперсия доходности инвестиционного портфеля;</w:t>
      </w:r>
    </w:p>
    <w:p w14:paraId="44CCAFEE"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Sup>
          <m:sSubSupPr>
            <m:ctrlPr>
              <w:rPr>
                <w:rFonts w:ascii="Cambria Math" w:hAnsi="Times New Roman" w:cs="Times New Roman"/>
                <w:i/>
                <w:color w:val="000000" w:themeColor="text1"/>
                <w:sz w:val="28"/>
                <w:szCs w:val="28"/>
                <w:lang w:val="ru-RU"/>
              </w:rPr>
            </m:ctrlPr>
          </m:sSubSup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up>
            <m:r>
              <w:rPr>
                <w:rFonts w:ascii="Cambria Math" w:hAnsi="Times New Roman" w:cs="Times New Roman"/>
                <w:color w:val="000000" w:themeColor="text1"/>
                <w:sz w:val="28"/>
                <w:szCs w:val="28"/>
                <w:lang w:val="ru-RU"/>
              </w:rPr>
              <m:t>2</m:t>
            </m:r>
          </m:sup>
        </m:sSubSup>
      </m:oMath>
      <w:r w:rsidR="002C229C" w:rsidRPr="00B67275">
        <w:rPr>
          <w:rFonts w:ascii="Times New Roman" w:hAnsi="Times New Roman" w:cs="Times New Roman"/>
          <w:color w:val="000000" w:themeColor="text1"/>
          <w:sz w:val="28"/>
          <w:szCs w:val="28"/>
          <w:lang w:val="ru-RU"/>
        </w:rPr>
        <w:t xml:space="preserve"> — д</w:t>
      </w:r>
      <w:r w:rsidR="00B67275">
        <w:rPr>
          <w:rFonts w:ascii="Times New Roman" w:hAnsi="Times New Roman" w:cs="Times New Roman"/>
          <w:color w:val="000000" w:themeColor="text1"/>
          <w:sz w:val="28"/>
          <w:szCs w:val="28"/>
          <w:lang w:val="ru-RU"/>
        </w:rPr>
        <w:t>исперсия доходности отдельного i</w:t>
      </w:r>
      <w:r w:rsidR="002C229C" w:rsidRPr="00B67275">
        <w:rPr>
          <w:rFonts w:ascii="Times New Roman" w:hAnsi="Times New Roman" w:cs="Times New Roman"/>
          <w:color w:val="000000" w:themeColor="text1"/>
          <w:sz w:val="28"/>
          <w:szCs w:val="28"/>
          <w:lang w:val="ru-RU"/>
        </w:rPr>
        <w:t>-го актива;</w:t>
      </w:r>
    </w:p>
    <w:p w14:paraId="7B860E88"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i</m:t>
            </m:r>
          </m:sub>
        </m:sSub>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j</m:t>
            </m:r>
          </m:sub>
        </m:sSub>
      </m:oMath>
      <w:r w:rsidR="002C229C" w:rsidRPr="00B67275">
        <w:rPr>
          <w:rFonts w:ascii="Times New Roman" w:hAnsi="Times New Roman" w:cs="Times New Roman"/>
          <w:color w:val="000000" w:themeColor="text1"/>
          <w:sz w:val="28"/>
          <w:szCs w:val="28"/>
          <w:lang w:val="ru-RU"/>
        </w:rPr>
        <w:t xml:space="preserve"> </w:t>
      </w:r>
      <w:r w:rsidR="00B67275">
        <w:rPr>
          <w:rFonts w:ascii="Times New Roman" w:hAnsi="Times New Roman" w:cs="Times New Roman"/>
          <w:color w:val="000000" w:themeColor="text1"/>
          <w:sz w:val="28"/>
          <w:szCs w:val="28"/>
          <w:lang w:val="ru-RU"/>
        </w:rPr>
        <w:t>— стандартные отклонения i-го и j</w:t>
      </w:r>
      <w:r w:rsidR="002C229C" w:rsidRPr="00B67275">
        <w:rPr>
          <w:rFonts w:ascii="Times New Roman" w:hAnsi="Times New Roman" w:cs="Times New Roman"/>
          <w:color w:val="000000" w:themeColor="text1"/>
          <w:sz w:val="28"/>
          <w:szCs w:val="28"/>
          <w:lang w:val="ru-RU"/>
        </w:rPr>
        <w:t>-го активов;</w:t>
      </w:r>
    </w:p>
    <w:p w14:paraId="60E865C6"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ρ</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oMath>
      <w:r w:rsidR="002C229C" w:rsidRPr="00B67275">
        <w:rPr>
          <w:rFonts w:ascii="Times New Roman" w:hAnsi="Times New Roman" w:cs="Times New Roman"/>
          <w:color w:val="000000" w:themeColor="text1"/>
          <w:sz w:val="28"/>
          <w:szCs w:val="28"/>
          <w:lang w:val="ru-RU"/>
        </w:rPr>
        <w:t xml:space="preserve"> — коэффициент корреляции Пирсона между доходностями активов</w:t>
      </w:r>
      <m:oMath>
        <m:r>
          <w:rPr>
            <w:rFonts w:ascii="Cambria Math" w:hAnsi="Times New Roman" w:cs="Times New Roman"/>
            <w:color w:val="000000" w:themeColor="text1"/>
            <w:sz w:val="28"/>
            <w:szCs w:val="28"/>
            <w:lang w:val="ru-RU"/>
          </w:rPr>
          <m:t xml:space="preserve"> </m:t>
        </m:r>
        <m:r>
          <w:rPr>
            <w:rFonts w:ascii="Cambria Math" w:hAnsi="Cambria Math" w:cs="Times New Roman"/>
            <w:color w:val="000000" w:themeColor="text1"/>
            <w:sz w:val="28"/>
            <w:szCs w:val="28"/>
            <w:lang w:val="ru-RU"/>
          </w:rPr>
          <m:t>i</m:t>
        </m:r>
      </m:oMath>
      <w:r w:rsidR="002C229C" w:rsidRPr="00B67275">
        <w:rPr>
          <w:rFonts w:ascii="Times New Roman" w:hAnsi="Times New Roman" w:cs="Times New Roman"/>
          <w:color w:val="000000" w:themeColor="text1"/>
          <w:sz w:val="28"/>
          <w:szCs w:val="28"/>
          <w:lang w:val="ru-RU"/>
        </w:rPr>
        <w:t xml:space="preserve"> и </w:t>
      </w:r>
      <m:oMath>
        <m:r>
          <w:rPr>
            <w:rFonts w:ascii="Cambria Math" w:hAnsi="Cambria Math" w:cs="Times New Roman"/>
            <w:color w:val="000000" w:themeColor="text1"/>
            <w:sz w:val="28"/>
            <w:szCs w:val="28"/>
            <w:lang w:val="ru-RU"/>
          </w:rPr>
          <m:t>j</m:t>
        </m:r>
      </m:oMath>
      <w:r w:rsidR="002C229C" w:rsidRPr="00B67275">
        <w:rPr>
          <w:rFonts w:ascii="Times New Roman" w:hAnsi="Times New Roman" w:cs="Times New Roman"/>
          <w:color w:val="000000" w:themeColor="text1"/>
          <w:sz w:val="28"/>
          <w:szCs w:val="28"/>
          <w:lang w:val="ru-RU"/>
        </w:rPr>
        <w:t>.</w:t>
      </w:r>
    </w:p>
    <w:p w14:paraId="4E954C33"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 xml:space="preserve">Второе слагаемое данного уравнения, представляющее собой сумму ковариаций всех пар активов, играет критическую роль в процессе оптимизации. В исходном состоянии инвестиционный портфель ОПИФ РФИ «ВИМ-Металлургия» является жестко концентрированным. С точки зрения математической статистики это означает, что значения коэффициента корреляции </w:t>
      </w:r>
      <m:oMath>
        <m:d>
          <m:dPr>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r</m:t>
            </m:r>
            <m:r>
              <w:rPr>
                <w:rFonts w:ascii="Times New Roman" w:hAnsi="Times New Roman" w:cs="Times New Roman"/>
                <w:color w:val="000000" w:themeColor="text1"/>
                <w:sz w:val="28"/>
                <w:szCs w:val="28"/>
                <w:lang w:val="ru-RU"/>
              </w:rPr>
              <m:t>h</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o</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ij</m:t>
                    </m:r>
                  </m:e>
                </m:d>
              </m:sub>
            </m:sSub>
          </m:e>
        </m:d>
      </m:oMath>
      <w:r w:rsidRPr="00B67275">
        <w:rPr>
          <w:rFonts w:ascii="Times New Roman" w:hAnsi="Times New Roman" w:cs="Times New Roman"/>
          <w:color w:val="000000" w:themeColor="text1"/>
          <w:sz w:val="28"/>
          <w:szCs w:val="28"/>
          <w:lang w:val="ru-RU"/>
        </w:rPr>
        <w:t>между активами фонда асимптотически стремятся к единице, поскольку предприятия одной узкой отрасли синхронно реагируют на фазы единого макроэкономического цикла. При значениях корреляции, близких к единице, эффект снижения риска за счет распределения капитала полностью обнуляется, а общая волатильность портфеля остается избыточно высокой, делая инвестиции неоправданно рискованными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[24, с. 781]</w:t>
      </w:r>
      <w:r w:rsidRPr="00B67275">
        <w:rPr>
          <w:rFonts w:ascii="Times New Roman" w:hAnsi="Times New Roman" w:cs="Times New Roman"/>
          <w:color w:val="000000" w:themeColor="text1"/>
          <w:sz w:val="28"/>
          <w:szCs w:val="28"/>
          <w:lang w:val="ru-RU"/>
        </w:rPr>
        <w:t>.</w:t>
      </w:r>
    </w:p>
    <w:p w14:paraId="5099104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A70940">
        <w:rPr>
          <w:rFonts w:ascii="Times New Roman" w:hAnsi="Times New Roman" w:cs="Times New Roman"/>
          <w:color w:val="FF0000"/>
          <w:sz w:val="28"/>
          <w:szCs w:val="28"/>
          <w:lang w:val="ru-RU"/>
        </w:rPr>
        <w:t xml:space="preserve">Глубинный экономический и математический </w:t>
      </w:r>
      <w:r w:rsidRPr="00B67275">
        <w:rPr>
          <w:rFonts w:ascii="Times New Roman" w:hAnsi="Times New Roman" w:cs="Times New Roman"/>
          <w:color w:val="000000" w:themeColor="text1"/>
          <w:sz w:val="28"/>
          <w:szCs w:val="28"/>
          <w:lang w:val="ru-RU"/>
        </w:rPr>
        <w:t xml:space="preserve">смысл предложенной в данной главе ребалансировки заключается в целенаправленном внедрении в портфель активов, обладающих математически доказанной слабой, нулевой или отрицательной корреляцией с базовым ядром черной и цветной металлургии. Введение акций золотодобывающего сегмента и производителей минеральных удобрений радикально трансформирует ковариационную матрицу портфеля. Поскольку рынки драгоценных металлов и агрохимии зависят от автономных глобальных циклов, коэффициент корреляции между новыми активами и металлургическими гигантами существенно снижается. </w:t>
      </w:r>
      <w:r w:rsidRPr="00B67275">
        <w:rPr>
          <w:rFonts w:ascii="Times New Roman" w:hAnsi="Times New Roman" w:cs="Times New Roman"/>
          <w:color w:val="000000" w:themeColor="text1"/>
          <w:sz w:val="28"/>
          <w:szCs w:val="28"/>
          <w:lang w:val="ru-RU"/>
        </w:rPr>
        <w:lastRenderedPageBreak/>
        <w:t>Согласно приведенному выше уравнению дисперсии, снижение корреляционной зависимости ведет к резкому и масштабному уменьшению второго слагаемого. Это позволяет нелинейно</w:t>
      </w:r>
      <w:r w:rsidRPr="002C229C">
        <w:rPr>
          <w:rFonts w:ascii="Times New Roman" w:hAnsi="Times New Roman" w:cs="Times New Roman"/>
          <w:color w:val="000000" w:themeColor="text1"/>
          <w:sz w:val="28"/>
          <w:szCs w:val="28"/>
          <w:lang w:val="ru-RU"/>
        </w:rPr>
        <w:t xml:space="preserve"> </w:t>
      </w:r>
      <w:r w:rsidRPr="00B67275">
        <w:rPr>
          <w:rFonts w:ascii="Times New Roman" w:hAnsi="Times New Roman" w:cs="Times New Roman"/>
          <w:color w:val="000000" w:themeColor="text1"/>
          <w:sz w:val="28"/>
          <w:szCs w:val="28"/>
          <w:lang w:val="ru-RU"/>
        </w:rPr>
        <w:t>снизить общее стандартное отклонение портфеля, нивелируя значительную долю несистематического риска без потери доходности</w:t>
      </w:r>
      <w:r w:rsidR="0094314F">
        <w:rPr>
          <w:rFonts w:ascii="Times New Roman" w:hAnsi="Times New Roman" w:cs="Times New Roman"/>
          <w:color w:val="000000" w:themeColor="text1"/>
          <w:sz w:val="28"/>
          <w:szCs w:val="28"/>
          <w:lang w:val="ru-RU"/>
        </w:rPr>
        <w:t xml:space="preserve"> </w:t>
      </w:r>
      <w:r w:rsidR="0094314F" w:rsidRPr="0094314F">
        <w:rPr>
          <w:rFonts w:ascii="Times New Roman" w:hAnsi="Times New Roman" w:cs="Times New Roman"/>
          <w:color w:val="000000" w:themeColor="text1"/>
          <w:sz w:val="28"/>
          <w:szCs w:val="28"/>
          <w:lang w:val="ru-RU"/>
        </w:rPr>
        <w:t>[13, с. 115]</w:t>
      </w:r>
      <w:r w:rsidRPr="00B67275">
        <w:rPr>
          <w:rFonts w:ascii="Times New Roman" w:hAnsi="Times New Roman" w:cs="Times New Roman"/>
          <w:color w:val="000000" w:themeColor="text1"/>
          <w:sz w:val="28"/>
          <w:szCs w:val="28"/>
          <w:lang w:val="ru-RU"/>
        </w:rPr>
        <w:t>.</w:t>
      </w:r>
    </w:p>
    <w:p w14:paraId="1B114B48"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Моделирование итоговых результатов ребалансировки базируется на алгоритме перераспределения удельных весов. В оптимизированной модели вес высокорисковых и закредитованных аутсайдеров директивно снижается. Высвобожденный капитал аллоцируется в бумаги фундаментально сильных эмитентов. Поскольку эти компании характеризуются высокой рентабельностью и стабильной генерацией свободного денежного потока, математическое ожидание их доходности стабильно превосходит показатели исключаемых корпораций. Таким образом, в уравнении ожидаемой доходности портфеля происходит математическое замещение неэффективных элементов на высокодоходные, что сохраняет или увеличивает совокупную доходность всей системы.</w:t>
      </w:r>
    </w:p>
    <w:p w14:paraId="0181CF71" w14:textId="1B7C8E46" w:rsidR="002C229C" w:rsidRPr="00A70940" w:rsidRDefault="002C229C" w:rsidP="00B67275">
      <w:pPr>
        <w:spacing w:line="360" w:lineRule="auto"/>
        <w:ind w:firstLine="709"/>
        <w:jc w:val="both"/>
        <w:rPr>
          <w:rFonts w:ascii="Times New Roman" w:hAnsi="Times New Roman" w:cs="Times New Roman"/>
          <w:color w:val="FF0000"/>
          <w:sz w:val="28"/>
          <w:szCs w:val="28"/>
          <w:lang w:val="ru-RU"/>
        </w:rPr>
      </w:pPr>
      <w:r w:rsidRPr="00B67275">
        <w:rPr>
          <w:rFonts w:ascii="Times New Roman" w:hAnsi="Times New Roman" w:cs="Times New Roman"/>
          <w:color w:val="000000" w:themeColor="text1"/>
          <w:sz w:val="28"/>
          <w:szCs w:val="28"/>
          <w:lang w:val="ru-RU"/>
        </w:rPr>
        <w:t>Итоговым интегральным индикатором, безоговорочно и математически доказывающим эффективность предложенной структурной ребалансировки, выступает коэффициент Шарпа, оценивающий премию за риск на единицу совокупной волатильности</w:t>
      </w:r>
      <w:r w:rsidR="00020A98">
        <w:rPr>
          <w:rFonts w:ascii="Times New Roman" w:hAnsi="Times New Roman" w:cs="Times New Roman"/>
          <w:color w:val="000000" w:themeColor="text1"/>
          <w:sz w:val="28"/>
          <w:szCs w:val="28"/>
          <w:lang w:val="ru-RU"/>
        </w:rPr>
        <w:t xml:space="preserve"> (2</w:t>
      </w:r>
      <w:r w:rsidR="00580BE4">
        <w:rPr>
          <w:rFonts w:ascii="Times New Roman" w:hAnsi="Times New Roman" w:cs="Times New Roman"/>
          <w:color w:val="000000" w:themeColor="text1"/>
          <w:sz w:val="28"/>
          <w:szCs w:val="28"/>
          <w:lang w:val="ru-RU"/>
        </w:rPr>
        <w:t>9</w:t>
      </w:r>
      <w:r w:rsidR="00020A98">
        <w:rPr>
          <w:rFonts w:ascii="Times New Roman" w:hAnsi="Times New Roman" w:cs="Times New Roman"/>
          <w:color w:val="000000" w:themeColor="text1"/>
          <w:sz w:val="28"/>
          <w:szCs w:val="28"/>
          <w:lang w:val="ru-RU"/>
        </w:rPr>
        <w:t>)</w:t>
      </w:r>
      <w:r w:rsidRPr="00B67275">
        <w:rPr>
          <w:rFonts w:ascii="Times New Roman" w:hAnsi="Times New Roman" w:cs="Times New Roman"/>
          <w:color w:val="000000" w:themeColor="text1"/>
          <w:sz w:val="28"/>
          <w:szCs w:val="28"/>
          <w:lang w:val="ru-RU"/>
        </w:rPr>
        <w:t>:</w:t>
      </w:r>
      <w:r w:rsidR="00A70940">
        <w:rPr>
          <w:rFonts w:ascii="Times New Roman" w:hAnsi="Times New Roman" w:cs="Times New Roman"/>
          <w:color w:val="000000" w:themeColor="text1"/>
          <w:sz w:val="28"/>
          <w:szCs w:val="28"/>
          <w:lang w:val="ru-RU"/>
        </w:rPr>
        <w:t xml:space="preserve"> </w:t>
      </w:r>
      <w:r w:rsidR="00A70940" w:rsidRPr="00A70940">
        <w:rPr>
          <w:rFonts w:ascii="Times New Roman" w:hAnsi="Times New Roman" w:cs="Times New Roman"/>
          <w:color w:val="FF0000"/>
          <w:sz w:val="28"/>
          <w:szCs w:val="28"/>
          <w:lang w:val="ru-RU"/>
        </w:rPr>
        <w:t>снова?</w:t>
      </w:r>
    </w:p>
    <w:p w14:paraId="6BFFE40F" w14:textId="111F5E88" w:rsidR="002C229C" w:rsidRPr="00B67275" w:rsidRDefault="00B67275" w:rsidP="00B67275">
      <w:pPr>
        <w:spacing w:line="360" w:lineRule="auto"/>
        <w:ind w:firstLine="709"/>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r>
          <w:rPr>
            <w:rFonts w:ascii="Cambria Math" w:hAnsi="Times New Roman" w:cs="Times New Roman"/>
            <w:color w:val="000000" w:themeColor="text1"/>
            <w:sz w:val="28"/>
            <w:szCs w:val="28"/>
            <w:lang w:val="ru-RU"/>
          </w:rPr>
          <m:t>= \</m:t>
        </m:r>
        <m:r>
          <w:rPr>
            <w:rFonts w:ascii="Cambria Math" w:hAnsi="Cambria Math" w:cs="Times New Roman"/>
            <w:color w:val="000000" w:themeColor="text1"/>
            <w:sz w:val="28"/>
            <w:szCs w:val="28"/>
            <w:lang w:val="ru-RU"/>
          </w:rPr>
          <m:t>frac</m:t>
        </m:r>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r>
              <w:rPr>
                <w:rFonts w:ascii="Times New Roman" w:hAnsi="Times New Roman" w:cs="Times New Roman"/>
                <w:color w:val="000000" w:themeColor="text1"/>
                <w:sz w:val="28"/>
                <w:szCs w:val="28"/>
                <w:lang w:val="ru-RU"/>
              </w:rPr>
              <m:t>-</m:t>
            </m:r>
            <m:r>
              <w:rPr>
                <w:rFonts w:ascii="Cambria Math" w:hAnsi="Times New Roman" w:cs="Times New Roman"/>
                <w:color w:val="000000" w:themeColor="text1"/>
                <w:sz w:val="28"/>
                <w:szCs w:val="28"/>
                <w:lang w:val="ru-RU"/>
              </w:rPr>
              <m:t xml:space="preserve"> </m:t>
            </m:r>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e>
        </m:d>
        <m:d>
          <m:dPr>
            <m:begChr m:val="{"/>
            <m:endChr m:val="}"/>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e>
        </m:d>
      </m:oMath>
      <w:r>
        <w:rPr>
          <w:rFonts w:ascii="Times New Roman" w:hAnsi="Times New Roman" w:cs="Times New Roman"/>
          <w:color w:val="000000" w:themeColor="text1"/>
          <w:sz w:val="28"/>
          <w:szCs w:val="28"/>
          <w:lang w:val="ru-RU"/>
        </w:rPr>
        <w:t>,                             (</w:t>
      </w:r>
      <w:r w:rsidR="00020A98">
        <w:rPr>
          <w:rFonts w:ascii="Times New Roman" w:hAnsi="Times New Roman" w:cs="Times New Roman"/>
          <w:color w:val="000000" w:themeColor="text1"/>
          <w:sz w:val="28"/>
          <w:szCs w:val="28"/>
          <w:lang w:val="ru-RU"/>
        </w:rPr>
        <w:t>2</w:t>
      </w:r>
      <w:r w:rsidR="004C64C2">
        <w:rPr>
          <w:rFonts w:ascii="Times New Roman" w:hAnsi="Times New Roman" w:cs="Times New Roman"/>
          <w:color w:val="000000" w:themeColor="text1"/>
          <w:sz w:val="28"/>
          <w:szCs w:val="28"/>
          <w:lang w:val="ru-RU"/>
        </w:rPr>
        <w:t>9</w:t>
      </w:r>
      <w:r>
        <w:rPr>
          <w:rFonts w:ascii="Times New Roman" w:hAnsi="Times New Roman" w:cs="Times New Roman"/>
          <w:color w:val="000000" w:themeColor="text1"/>
          <w:sz w:val="28"/>
          <w:szCs w:val="28"/>
          <w:lang w:val="ru-RU"/>
        </w:rPr>
        <w:t>)</w:t>
      </w:r>
    </w:p>
    <w:p w14:paraId="52DD14A0"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w:r w:rsidRPr="00B67275">
        <w:rPr>
          <w:rFonts w:ascii="Times New Roman" w:hAnsi="Times New Roman" w:cs="Times New Roman"/>
          <w:color w:val="000000" w:themeColor="text1"/>
          <w:sz w:val="28"/>
          <w:szCs w:val="28"/>
          <w:lang w:val="ru-RU"/>
        </w:rPr>
        <w:t>где:</w:t>
      </w:r>
    </w:p>
    <w:p w14:paraId="066D2934"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K</m:t>
            </m:r>
          </m:e>
          <m:sub>
            <m:d>
              <m:dPr>
                <m:begChr m:val="{"/>
                <m:endChr m:val="}"/>
                <m:ctrlPr>
                  <w:rPr>
                    <w:rFonts w:ascii="Cambria Math" w:hAnsi="Times New Roman" w:cs="Times New Roman"/>
                    <w:i/>
                    <w:color w:val="000000" w:themeColor="text1"/>
                    <w:sz w:val="28"/>
                    <w:szCs w:val="28"/>
                    <w:lang w:val="ru-RU"/>
                  </w:rPr>
                </m:ctrlPr>
              </m:dPr>
              <m:e>
                <m:r>
                  <w:rPr>
                    <w:rFonts w:ascii="Cambria Math" w:hAnsi="Cambria Math" w:cs="Times New Roman"/>
                    <w:color w:val="000000" w:themeColor="text1"/>
                    <w:sz w:val="28"/>
                    <w:szCs w:val="28"/>
                    <w:lang w:val="ru-RU"/>
                  </w:rPr>
                  <m:t>S</m:t>
                </m:r>
                <m:r>
                  <w:rPr>
                    <w:rFonts w:ascii="Times New Roman" w:hAnsi="Times New Roman" w:cs="Times New Roman"/>
                    <w:color w:val="000000" w:themeColor="text1"/>
                    <w:sz w:val="28"/>
                    <w:szCs w:val="28"/>
                    <w:lang w:val="ru-RU"/>
                  </w:rPr>
                  <m:t>h</m:t>
                </m:r>
                <m:r>
                  <w:rPr>
                    <w:rFonts w:ascii="Cambria Math" w:hAnsi="Cambria Math" w:cs="Times New Roman"/>
                    <w:color w:val="000000" w:themeColor="text1"/>
                    <w:sz w:val="28"/>
                    <w:szCs w:val="28"/>
                    <w:lang w:val="ru-RU"/>
                  </w:rPr>
                  <m:t>arpe</m:t>
                </m:r>
              </m:e>
            </m:d>
          </m:sub>
        </m:sSub>
      </m:oMath>
      <w:r w:rsidR="002C229C" w:rsidRPr="00B67275">
        <w:rPr>
          <w:rFonts w:ascii="Times New Roman" w:hAnsi="Times New Roman" w:cs="Times New Roman"/>
          <w:color w:val="000000" w:themeColor="text1"/>
          <w:sz w:val="28"/>
          <w:szCs w:val="28"/>
          <w:lang w:val="ru-RU"/>
        </w:rPr>
        <w:t xml:space="preserve"> — коэффициент Шарпа;</w:t>
      </w:r>
    </w:p>
    <w:p w14:paraId="24D252A9" w14:textId="77777777" w:rsidR="002C229C" w:rsidRPr="00B67275" w:rsidRDefault="002C229C" w:rsidP="00B67275">
      <w:pPr>
        <w:spacing w:line="360" w:lineRule="auto"/>
        <w:ind w:firstLine="709"/>
        <w:jc w:val="both"/>
        <w:rPr>
          <w:rFonts w:ascii="Times New Roman" w:hAnsi="Times New Roman" w:cs="Times New Roman"/>
          <w:color w:val="000000" w:themeColor="text1"/>
          <w:sz w:val="28"/>
          <w:szCs w:val="28"/>
          <w:lang w:val="ru-RU"/>
        </w:rPr>
      </w:pPr>
      <m:oMath>
        <m:r>
          <w:rPr>
            <w:rFonts w:ascii="Cambria Math" w:hAnsi="Cambria Math" w:cs="Times New Roman"/>
            <w:color w:val="000000" w:themeColor="text1"/>
            <w:sz w:val="28"/>
            <w:szCs w:val="28"/>
            <w:lang w:val="ru-RU"/>
          </w:rPr>
          <m:t>E</m:t>
        </m:r>
        <m:d>
          <m:dPr>
            <m:ctrlPr>
              <w:rPr>
                <w:rFonts w:ascii="Cambria Math" w:hAnsi="Times New Roman" w:cs="Times New Roman"/>
                <w:i/>
                <w:color w:val="000000" w:themeColor="text1"/>
                <w:sz w:val="28"/>
                <w:szCs w:val="28"/>
                <w:lang w:val="ru-RU"/>
              </w:rPr>
            </m:ctrlPr>
          </m:dPr>
          <m:e>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p</m:t>
                </m:r>
              </m:sub>
            </m:sSub>
          </m:e>
        </m:d>
      </m:oMath>
      <w:r w:rsidRPr="00B67275">
        <w:rPr>
          <w:rFonts w:ascii="Times New Roman" w:hAnsi="Times New Roman" w:cs="Times New Roman"/>
          <w:color w:val="000000" w:themeColor="text1"/>
          <w:sz w:val="28"/>
          <w:szCs w:val="28"/>
          <w:lang w:val="ru-RU"/>
        </w:rPr>
        <w:t xml:space="preserve"> — ожидаемая доходность портфеля;</w:t>
      </w:r>
    </w:p>
    <w:p w14:paraId="33B9DBA9"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R</m:t>
            </m:r>
          </m:e>
          <m:sub>
            <m:r>
              <w:rPr>
                <w:rFonts w:ascii="Cambria Math" w:hAnsi="Cambria Math" w:cs="Times New Roman"/>
                <w:color w:val="000000" w:themeColor="text1"/>
                <w:sz w:val="28"/>
                <w:szCs w:val="28"/>
                <w:lang w:val="ru-RU"/>
              </w:rPr>
              <m:t>f</m:t>
            </m:r>
          </m:sub>
        </m:sSub>
      </m:oMath>
      <w:r w:rsidR="002C229C" w:rsidRPr="00B67275">
        <w:rPr>
          <w:rFonts w:ascii="Times New Roman" w:hAnsi="Times New Roman" w:cs="Times New Roman"/>
          <w:color w:val="000000" w:themeColor="text1"/>
          <w:sz w:val="28"/>
          <w:szCs w:val="28"/>
          <w:lang w:val="ru-RU"/>
        </w:rPr>
        <w:t xml:space="preserve"> — доходность безрискового актива;</w:t>
      </w:r>
    </w:p>
    <w:p w14:paraId="7C2CBA0F" w14:textId="77777777" w:rsidR="002C229C" w:rsidRPr="00B67275" w:rsidRDefault="00FF1FEF" w:rsidP="00B67275">
      <w:pPr>
        <w:spacing w:line="360" w:lineRule="auto"/>
        <w:ind w:firstLine="709"/>
        <w:jc w:val="both"/>
        <w:rPr>
          <w:rFonts w:ascii="Times New Roman" w:hAnsi="Times New Roman" w:cs="Times New Roman"/>
          <w:color w:val="000000" w:themeColor="text1"/>
          <w:sz w:val="28"/>
          <w:szCs w:val="28"/>
          <w:lang w:val="ru-RU"/>
        </w:rPr>
      </w:pPr>
      <m:oMath>
        <m:sSub>
          <m:sSubPr>
            <m:ctrlPr>
              <w:rPr>
                <w:rFonts w:ascii="Cambria Math" w:hAnsi="Times New Roman" w:cs="Times New Roman"/>
                <w:i/>
                <w:color w:val="000000" w:themeColor="text1"/>
                <w:sz w:val="28"/>
                <w:szCs w:val="28"/>
                <w:lang w:val="ru-RU"/>
              </w:rPr>
            </m:ctrlPr>
          </m:sSubPr>
          <m:e>
            <m:r>
              <w:rPr>
                <w:rFonts w:ascii="Cambria Math" w:hAnsi="Cambria Math" w:cs="Times New Roman"/>
                <w:color w:val="000000" w:themeColor="text1"/>
                <w:sz w:val="28"/>
                <w:szCs w:val="28"/>
                <w:lang w:val="ru-RU"/>
              </w:rPr>
              <m:t>σ</m:t>
            </m:r>
          </m:e>
          <m:sub>
            <m:r>
              <w:rPr>
                <w:rFonts w:ascii="Cambria Math" w:hAnsi="Cambria Math" w:cs="Times New Roman"/>
                <w:color w:val="000000" w:themeColor="text1"/>
                <w:sz w:val="28"/>
                <w:szCs w:val="28"/>
                <w:lang w:val="ru-RU"/>
              </w:rPr>
              <m:t>p</m:t>
            </m:r>
          </m:sub>
        </m:sSub>
      </m:oMath>
      <w:r w:rsidR="002C229C" w:rsidRPr="00B67275">
        <w:rPr>
          <w:rFonts w:ascii="Times New Roman" w:hAnsi="Times New Roman" w:cs="Times New Roman"/>
          <w:color w:val="000000" w:themeColor="text1"/>
          <w:sz w:val="28"/>
          <w:szCs w:val="28"/>
          <w:lang w:val="ru-RU"/>
        </w:rPr>
        <w:t xml:space="preserve"> — стандартное отклонение портфеля.</w:t>
      </w:r>
    </w:p>
    <w:p w14:paraId="7D526CCC"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lastRenderedPageBreak/>
        <w:t>Глубинный экономический смысл предложенной структурной ребалансировки заключается во внедрении активов, обладающих доказанной слабой корреляцией с базовым ядром черной металлургии. В Таблице 3 представлена расчетная матрица корреляций для предложенных активов.</w:t>
      </w:r>
    </w:p>
    <w:p w14:paraId="6855A6E7" w14:textId="62F83A70" w:rsidR="00020A98" w:rsidRPr="00A70940" w:rsidRDefault="00A70940" w:rsidP="004C64C2">
      <w:pPr>
        <w:spacing w:line="360" w:lineRule="auto"/>
        <w:jc w:val="both"/>
        <w:rPr>
          <w:rFonts w:ascii="Times New Roman" w:hAnsi="Times New Roman" w:cs="Times New Roman"/>
          <w:color w:val="FF0000"/>
          <w:sz w:val="28"/>
          <w:szCs w:val="28"/>
          <w:lang w:val="ru-RU"/>
        </w:rPr>
      </w:pPr>
      <w:r w:rsidRPr="00A70940">
        <w:rPr>
          <w:rFonts w:ascii="Times New Roman" w:hAnsi="Times New Roman" w:cs="Times New Roman"/>
          <w:color w:val="FF0000"/>
          <w:sz w:val="28"/>
          <w:szCs w:val="28"/>
          <w:lang w:val="ru-RU"/>
        </w:rPr>
        <w:t>Расчетов нет</w:t>
      </w:r>
    </w:p>
    <w:p w14:paraId="5E24C5EB" w14:textId="02C834C0"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A70940">
        <w:rPr>
          <w:rFonts w:ascii="Times New Roman" w:hAnsi="Times New Roman" w:cs="Times New Roman"/>
          <w:color w:val="FF0000"/>
          <w:sz w:val="28"/>
          <w:szCs w:val="28"/>
          <w:lang w:val="ru-RU"/>
        </w:rPr>
        <w:t xml:space="preserve">Таблица </w:t>
      </w:r>
      <w:r w:rsidR="00020A98" w:rsidRPr="00A70940">
        <w:rPr>
          <w:rFonts w:ascii="Times New Roman" w:hAnsi="Times New Roman" w:cs="Times New Roman"/>
          <w:color w:val="FF0000"/>
          <w:sz w:val="28"/>
          <w:szCs w:val="28"/>
          <w:lang w:val="ru-RU"/>
        </w:rPr>
        <w:t>5</w:t>
      </w:r>
      <w:r w:rsidRPr="0000516F">
        <w:rPr>
          <w:rFonts w:ascii="Times New Roman" w:hAnsi="Times New Roman" w:cs="Times New Roman"/>
          <w:color w:val="000000" w:themeColor="text1"/>
          <w:sz w:val="28"/>
          <w:szCs w:val="28"/>
          <w:lang w:val="ru-RU"/>
        </w:rPr>
        <w:t xml:space="preserve"> – Матрица коэффициентов корреляции активов оптимизированного портфеля</w:t>
      </w:r>
    </w:p>
    <w:tbl>
      <w:tblPr>
        <w:tblStyle w:val="af"/>
        <w:tblW w:w="0" w:type="auto"/>
        <w:tblLook w:val="04A0" w:firstRow="1" w:lastRow="0" w:firstColumn="1" w:lastColumn="0" w:noHBand="0" w:noVBand="1"/>
      </w:tblPr>
      <w:tblGrid>
        <w:gridCol w:w="1581"/>
        <w:gridCol w:w="1689"/>
        <w:gridCol w:w="1306"/>
        <w:gridCol w:w="1544"/>
        <w:gridCol w:w="1272"/>
        <w:gridCol w:w="1958"/>
      </w:tblGrid>
      <w:tr w:rsidR="0000516F" w:rsidRPr="0000516F" w14:paraId="0AD8E2E3" w14:textId="77777777" w:rsidTr="0000516F">
        <w:tc>
          <w:tcPr>
            <w:tcW w:w="0" w:type="auto"/>
            <w:vAlign w:val="center"/>
            <w:hideMark/>
          </w:tcPr>
          <w:p w14:paraId="43C9B34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Активы</w:t>
            </w:r>
          </w:p>
        </w:tc>
        <w:tc>
          <w:tcPr>
            <w:tcW w:w="0" w:type="auto"/>
            <w:hideMark/>
          </w:tcPr>
          <w:p w14:paraId="2BF025C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Металлурги (база)</w:t>
            </w:r>
          </w:p>
        </w:tc>
        <w:tc>
          <w:tcPr>
            <w:tcW w:w="0" w:type="auto"/>
            <w:hideMark/>
          </w:tcPr>
          <w:p w14:paraId="36E7165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«Полюс»</w:t>
            </w:r>
          </w:p>
        </w:tc>
        <w:tc>
          <w:tcPr>
            <w:tcW w:w="0" w:type="auto"/>
            <w:hideMark/>
          </w:tcPr>
          <w:p w14:paraId="5A5104E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«ФосАгро»</w:t>
            </w:r>
          </w:p>
        </w:tc>
        <w:tc>
          <w:tcPr>
            <w:tcW w:w="0" w:type="auto"/>
            <w:hideMark/>
          </w:tcPr>
          <w:p w14:paraId="713546E9"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«Интер РАО»</w:t>
            </w:r>
          </w:p>
        </w:tc>
        <w:tc>
          <w:tcPr>
            <w:tcW w:w="0" w:type="auto"/>
            <w:hideMark/>
          </w:tcPr>
          <w:p w14:paraId="23EE5F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b/>
                <w:bCs/>
                <w:color w:val="000000" w:themeColor="text1"/>
                <w:sz w:val="24"/>
                <w:szCs w:val="24"/>
                <w:lang w:val="ru-RU"/>
              </w:rPr>
              <w:t>ПАО «Совкомфлот»</w:t>
            </w:r>
          </w:p>
        </w:tc>
      </w:tr>
      <w:tr w:rsidR="0000516F" w:rsidRPr="0000516F" w14:paraId="0B838617" w14:textId="77777777" w:rsidTr="0000516F">
        <w:tc>
          <w:tcPr>
            <w:tcW w:w="0" w:type="auto"/>
            <w:vAlign w:val="center"/>
            <w:hideMark/>
          </w:tcPr>
          <w:p w14:paraId="3D84E80B"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Металлурги (база)</w:t>
            </w:r>
          </w:p>
        </w:tc>
        <w:tc>
          <w:tcPr>
            <w:tcW w:w="0" w:type="auto"/>
            <w:vAlign w:val="center"/>
            <w:hideMark/>
          </w:tcPr>
          <w:p w14:paraId="2EC6D613"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1D0F55D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705D091F"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3C33D94E"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0,09</w:t>
            </w:r>
          </w:p>
        </w:tc>
        <w:tc>
          <w:tcPr>
            <w:tcW w:w="0" w:type="auto"/>
            <w:vAlign w:val="center"/>
            <w:hideMark/>
          </w:tcPr>
          <w:p w14:paraId="2C2466AB"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0,18</w:t>
            </w:r>
          </w:p>
        </w:tc>
      </w:tr>
      <w:tr w:rsidR="0000516F" w:rsidRPr="0000516F" w14:paraId="7273ABC8" w14:textId="77777777" w:rsidTr="0000516F">
        <w:tc>
          <w:tcPr>
            <w:tcW w:w="0" w:type="auto"/>
            <w:vAlign w:val="center"/>
            <w:hideMark/>
          </w:tcPr>
          <w:p w14:paraId="4FBBDD46"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«Полюс»</w:t>
            </w:r>
          </w:p>
        </w:tc>
        <w:tc>
          <w:tcPr>
            <w:tcW w:w="0" w:type="auto"/>
            <w:vAlign w:val="center"/>
            <w:hideMark/>
          </w:tcPr>
          <w:p w14:paraId="752493C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0,15</w:t>
            </w:r>
          </w:p>
        </w:tc>
        <w:tc>
          <w:tcPr>
            <w:tcW w:w="0" w:type="auto"/>
            <w:vAlign w:val="center"/>
            <w:hideMark/>
          </w:tcPr>
          <w:p w14:paraId="17453E57"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56754062"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6B33D2F4"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0,05</w:t>
            </w:r>
          </w:p>
        </w:tc>
        <w:tc>
          <w:tcPr>
            <w:tcW w:w="0" w:type="auto"/>
            <w:vAlign w:val="center"/>
            <w:hideMark/>
          </w:tcPr>
          <w:p w14:paraId="3E30D54C"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0,11</w:t>
            </w:r>
          </w:p>
        </w:tc>
      </w:tr>
      <w:tr w:rsidR="0000516F" w:rsidRPr="0000516F" w14:paraId="40B7F1C4" w14:textId="77777777" w:rsidTr="0000516F">
        <w:tc>
          <w:tcPr>
            <w:tcW w:w="0" w:type="auto"/>
            <w:vAlign w:val="center"/>
            <w:hideMark/>
          </w:tcPr>
          <w:p w14:paraId="5A921C6E" w14:textId="77777777" w:rsidR="0000516F" w:rsidRPr="0000516F" w:rsidRDefault="0000516F" w:rsidP="0000516F">
            <w:pP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ПАО «ФосАгро»</w:t>
            </w:r>
          </w:p>
        </w:tc>
        <w:tc>
          <w:tcPr>
            <w:tcW w:w="0" w:type="auto"/>
            <w:vAlign w:val="center"/>
            <w:hideMark/>
          </w:tcPr>
          <w:p w14:paraId="32597CB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0,22</w:t>
            </w:r>
          </w:p>
        </w:tc>
        <w:tc>
          <w:tcPr>
            <w:tcW w:w="0" w:type="auto"/>
            <w:vAlign w:val="center"/>
            <w:hideMark/>
          </w:tcPr>
          <w:p w14:paraId="2E11EFF1"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0,30</w:t>
            </w:r>
          </w:p>
        </w:tc>
        <w:tc>
          <w:tcPr>
            <w:tcW w:w="0" w:type="auto"/>
            <w:vAlign w:val="center"/>
            <w:hideMark/>
          </w:tcPr>
          <w:p w14:paraId="012EAF45"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1,00</w:t>
            </w:r>
          </w:p>
        </w:tc>
        <w:tc>
          <w:tcPr>
            <w:tcW w:w="0" w:type="auto"/>
            <w:vAlign w:val="center"/>
            <w:hideMark/>
          </w:tcPr>
          <w:p w14:paraId="77069ED0"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0,12</w:t>
            </w:r>
          </w:p>
        </w:tc>
        <w:tc>
          <w:tcPr>
            <w:tcW w:w="0" w:type="auto"/>
            <w:vAlign w:val="center"/>
            <w:hideMark/>
          </w:tcPr>
          <w:p w14:paraId="54078CF8" w14:textId="77777777" w:rsidR="0000516F" w:rsidRPr="0000516F" w:rsidRDefault="0000516F" w:rsidP="0000516F">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0,25</w:t>
            </w:r>
          </w:p>
        </w:tc>
      </w:tr>
    </w:tbl>
    <w:p w14:paraId="7ECFB49A" w14:textId="445EC7F1"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6C1187">
        <w:rPr>
          <w:rFonts w:ascii="Times New Roman" w:hAnsi="Times New Roman" w:cs="Times New Roman"/>
          <w:sz w:val="28"/>
          <w:szCs w:val="28"/>
          <w:lang w:val="ru-RU"/>
        </w:rPr>
        <w:t xml:space="preserve">Источник: </w:t>
      </w:r>
      <w:r w:rsidRPr="00A70940">
        <w:rPr>
          <w:rFonts w:ascii="Times New Roman" w:hAnsi="Times New Roman" w:cs="Times New Roman"/>
          <w:color w:val="FF0000"/>
          <w:sz w:val="28"/>
          <w:szCs w:val="28"/>
          <w:lang w:val="ru-RU"/>
        </w:rPr>
        <w:t xml:space="preserve">составлено автором на основе </w:t>
      </w:r>
      <w:r w:rsidRPr="006C1187">
        <w:rPr>
          <w:rFonts w:ascii="Times New Roman" w:hAnsi="Times New Roman" w:cs="Times New Roman"/>
          <w:sz w:val="28"/>
          <w:szCs w:val="28"/>
          <w:lang w:val="ru-RU"/>
        </w:rPr>
        <w:t>[</w:t>
      </w:r>
      <w:r>
        <w:rPr>
          <w:rFonts w:ascii="Times New Roman" w:hAnsi="Times New Roman" w:cs="Times New Roman"/>
          <w:sz w:val="28"/>
          <w:szCs w:val="28"/>
          <w:lang w:val="ru-RU"/>
        </w:rPr>
        <w:t>24</w:t>
      </w:r>
      <w:r w:rsidRPr="006C1187">
        <w:rPr>
          <w:rFonts w:ascii="Times New Roman" w:hAnsi="Times New Roman" w:cs="Times New Roman"/>
          <w:sz w:val="28"/>
          <w:szCs w:val="28"/>
          <w:lang w:val="ru-RU"/>
        </w:rPr>
        <w:t>].</w:t>
      </w:r>
      <w:r w:rsidR="00A70940">
        <w:rPr>
          <w:rFonts w:ascii="Times New Roman" w:hAnsi="Times New Roman" w:cs="Times New Roman"/>
          <w:sz w:val="28"/>
          <w:szCs w:val="28"/>
          <w:lang w:val="ru-RU"/>
        </w:rPr>
        <w:t xml:space="preserve"> </w:t>
      </w:r>
      <w:r w:rsidR="00A70940" w:rsidRPr="00A70940">
        <w:rPr>
          <w:rFonts w:ascii="Times New Roman" w:hAnsi="Times New Roman" w:cs="Times New Roman"/>
          <w:sz w:val="28"/>
          <w:szCs w:val="28"/>
          <w:highlight w:val="yellow"/>
          <w:lang w:val="ru-RU"/>
        </w:rPr>
        <w:t>Учебник?</w:t>
      </w:r>
    </w:p>
    <w:p w14:paraId="6BC2C6B7" w14:textId="18B360F5"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Добавление золота и защитных секторов радикально снижает внутрипортфельную ковариацию. Коэффициенты корреляции стремятся к нулю (от 0,05 до 0,30), что ведет к резкому снижению общего риска портфеля по модели Марковица.</w:t>
      </w:r>
    </w:p>
    <w:p w14:paraId="2A4E4481" w14:textId="77777777" w:rsidR="0000516F" w:rsidRDefault="0000516F" w:rsidP="0000516F">
      <w:pPr>
        <w:spacing w:line="360" w:lineRule="auto"/>
        <w:ind w:firstLine="709"/>
        <w:jc w:val="both"/>
        <w:rPr>
          <w:rFonts w:ascii="Times New Roman" w:hAnsi="Times New Roman" w:cs="Times New Roman"/>
          <w:color w:val="000000" w:themeColor="text1"/>
          <w:sz w:val="28"/>
          <w:szCs w:val="28"/>
          <w:lang w:val="ru-RU"/>
        </w:rPr>
      </w:pPr>
      <w:r w:rsidRPr="0000516F">
        <w:rPr>
          <w:rFonts w:ascii="Times New Roman" w:hAnsi="Times New Roman" w:cs="Times New Roman"/>
          <w:color w:val="000000" w:themeColor="text1"/>
          <w:sz w:val="28"/>
          <w:szCs w:val="28"/>
          <w:lang w:val="ru-RU"/>
        </w:rPr>
        <w:t xml:space="preserve">Для итоговой оценки результативности смоделируем параметры оптимизированного портфеля: мы исключили МКПАО «ЭН+ ГРУП» и перераспределили часть средств в новые активы. Сравнительная характеристика </w:t>
      </w:r>
      <w:r w:rsidRPr="00A70940">
        <w:rPr>
          <w:rFonts w:ascii="Times New Roman" w:hAnsi="Times New Roman" w:cs="Times New Roman"/>
          <w:color w:val="FF0000"/>
          <w:sz w:val="28"/>
          <w:szCs w:val="28"/>
          <w:lang w:val="ru-RU"/>
        </w:rPr>
        <w:t>представлена в Таблице 4.</w:t>
      </w:r>
    </w:p>
    <w:p w14:paraId="6CE89B7B" w14:textId="77777777" w:rsidR="0000516F" w:rsidRPr="0000516F" w:rsidRDefault="0000516F" w:rsidP="0000516F">
      <w:pPr>
        <w:spacing w:line="360" w:lineRule="auto"/>
        <w:ind w:firstLine="709"/>
        <w:jc w:val="both"/>
        <w:rPr>
          <w:rFonts w:ascii="Times New Roman" w:hAnsi="Times New Roman" w:cs="Times New Roman"/>
          <w:color w:val="000000" w:themeColor="text1"/>
          <w:sz w:val="28"/>
          <w:szCs w:val="28"/>
          <w:lang w:val="ru-RU"/>
        </w:rPr>
      </w:pPr>
    </w:p>
    <w:p w14:paraId="17A6E39B" w14:textId="08B70B74" w:rsidR="0000516F" w:rsidRDefault="0000516F" w:rsidP="0000516F">
      <w:pPr>
        <w:spacing w:line="240" w:lineRule="auto"/>
        <w:ind w:firstLine="709"/>
        <w:jc w:val="both"/>
        <w:rPr>
          <w:rFonts w:ascii="Times New Roman" w:hAnsi="Times New Roman" w:cs="Times New Roman"/>
          <w:color w:val="000000" w:themeColor="text1"/>
          <w:sz w:val="28"/>
          <w:szCs w:val="28"/>
          <w:lang w:val="ru-RU"/>
        </w:rPr>
      </w:pPr>
      <w:r w:rsidRPr="00A70940">
        <w:rPr>
          <w:rFonts w:ascii="Times New Roman" w:hAnsi="Times New Roman" w:cs="Times New Roman"/>
          <w:color w:val="FF0000"/>
          <w:sz w:val="28"/>
          <w:szCs w:val="28"/>
          <w:lang w:val="ru-RU"/>
        </w:rPr>
        <w:t xml:space="preserve">Таблица </w:t>
      </w:r>
      <w:r w:rsidR="00020A98" w:rsidRPr="00A70940">
        <w:rPr>
          <w:rFonts w:ascii="Times New Roman" w:hAnsi="Times New Roman" w:cs="Times New Roman"/>
          <w:color w:val="FF0000"/>
          <w:sz w:val="28"/>
          <w:szCs w:val="28"/>
          <w:lang w:val="ru-RU"/>
        </w:rPr>
        <w:t>6</w:t>
      </w:r>
      <w:r w:rsidRPr="0000516F">
        <w:rPr>
          <w:rFonts w:ascii="Times New Roman" w:hAnsi="Times New Roman" w:cs="Times New Roman"/>
          <w:color w:val="000000" w:themeColor="text1"/>
          <w:sz w:val="28"/>
          <w:szCs w:val="28"/>
          <w:lang w:val="ru-RU"/>
        </w:rPr>
        <w:t xml:space="preserve"> – Сравнительная оценка качества существующего и потенциального портфелей</w:t>
      </w:r>
    </w:p>
    <w:p w14:paraId="2D3D1D0B" w14:textId="77777777" w:rsidR="0000516F" w:rsidRPr="0000516F" w:rsidRDefault="0000516F" w:rsidP="0000516F">
      <w:pPr>
        <w:spacing w:line="240" w:lineRule="auto"/>
        <w:ind w:firstLine="709"/>
        <w:jc w:val="both"/>
        <w:rPr>
          <w:rFonts w:ascii="Times New Roman" w:hAnsi="Times New Roman" w:cs="Times New Roman"/>
          <w:color w:val="000000" w:themeColor="text1"/>
          <w:sz w:val="28"/>
          <w:szCs w:val="28"/>
          <w:lang w:val="ru-RU"/>
        </w:rPr>
      </w:pPr>
    </w:p>
    <w:tbl>
      <w:tblPr>
        <w:tblStyle w:val="af"/>
        <w:tblW w:w="0" w:type="auto"/>
        <w:tblLook w:val="04A0" w:firstRow="1" w:lastRow="0" w:firstColumn="1" w:lastColumn="0" w:noHBand="0" w:noVBand="1"/>
      </w:tblPr>
      <w:tblGrid>
        <w:gridCol w:w="2571"/>
        <w:gridCol w:w="2277"/>
        <w:gridCol w:w="2734"/>
        <w:gridCol w:w="1768"/>
      </w:tblGrid>
      <w:tr w:rsidR="0000516F" w:rsidRPr="00020A98" w14:paraId="6EC47248" w14:textId="77777777" w:rsidTr="0000516F">
        <w:tc>
          <w:tcPr>
            <w:tcW w:w="0" w:type="auto"/>
            <w:hideMark/>
          </w:tcPr>
          <w:p w14:paraId="78766382"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Показатель эффективности</w:t>
            </w:r>
          </w:p>
        </w:tc>
        <w:tc>
          <w:tcPr>
            <w:tcW w:w="0" w:type="auto"/>
            <w:hideMark/>
          </w:tcPr>
          <w:p w14:paraId="70D466E3"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Существующий портфель (ПИФ)</w:t>
            </w:r>
          </w:p>
        </w:tc>
        <w:tc>
          <w:tcPr>
            <w:tcW w:w="0" w:type="auto"/>
            <w:hideMark/>
          </w:tcPr>
          <w:p w14:paraId="1F7C0BA0" w14:textId="77777777" w:rsidR="0000516F" w:rsidRPr="00020A98" w:rsidRDefault="0000516F" w:rsidP="0000516F">
            <w:pPr>
              <w:jc w:val="both"/>
              <w:rPr>
                <w:rFonts w:ascii="Times New Roman" w:hAnsi="Times New Roman" w:cs="Times New Roman"/>
                <w:color w:val="000000" w:themeColor="text1"/>
                <w:sz w:val="24"/>
                <w:szCs w:val="24"/>
                <w:lang w:val="ru-RU"/>
              </w:rPr>
            </w:pPr>
            <w:r w:rsidRPr="00A70940">
              <w:rPr>
                <w:rFonts w:ascii="Times New Roman" w:hAnsi="Times New Roman" w:cs="Times New Roman"/>
                <w:color w:val="FF0000"/>
                <w:sz w:val="24"/>
                <w:szCs w:val="24"/>
                <w:lang w:val="ru-RU"/>
              </w:rPr>
              <w:t>Оптимизированный портфель (Проект)</w:t>
            </w:r>
          </w:p>
        </w:tc>
        <w:tc>
          <w:tcPr>
            <w:tcW w:w="0" w:type="auto"/>
            <w:hideMark/>
          </w:tcPr>
          <w:p w14:paraId="74D6C806" w14:textId="7777777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Абсолютное изменение</w:t>
            </w:r>
          </w:p>
        </w:tc>
      </w:tr>
      <w:tr w:rsidR="0000516F" w:rsidRPr="00020A98" w14:paraId="61B9482A" w14:textId="77777777" w:rsidTr="0000516F">
        <w:tc>
          <w:tcPr>
            <w:tcW w:w="0" w:type="auto"/>
            <w:hideMark/>
          </w:tcPr>
          <w:p w14:paraId="016127C6" w14:textId="75A1FF26"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Ожидаемая доходность (</w:t>
            </w:r>
            <m:oMath>
              <m:r>
                <w:rPr>
                  <w:rFonts w:ascii="Cambria Math" w:hAnsi="Cambria Math" w:cs="Times New Roman"/>
                  <w:color w:val="000000" w:themeColor="text1"/>
                  <w:sz w:val="24"/>
                  <w:szCs w:val="24"/>
                  <w:lang w:val="ru-RU"/>
                </w:rPr>
                <m:t>ER_p</m:t>
              </m:r>
            </m:oMath>
            <w:r w:rsidRPr="00020A98">
              <w:rPr>
                <w:rFonts w:ascii="Times New Roman" w:hAnsi="Times New Roman" w:cs="Times New Roman"/>
                <w:color w:val="000000" w:themeColor="text1"/>
                <w:sz w:val="24"/>
                <w:szCs w:val="24"/>
                <w:lang w:val="ru-RU"/>
              </w:rPr>
              <w:t>)</w:t>
            </w:r>
          </w:p>
        </w:tc>
        <w:tc>
          <w:tcPr>
            <w:tcW w:w="0" w:type="auto"/>
            <w:vAlign w:val="center"/>
            <w:hideMark/>
          </w:tcPr>
          <w:p w14:paraId="073F94E6"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13,5%</w:t>
            </w:r>
          </w:p>
        </w:tc>
        <w:tc>
          <w:tcPr>
            <w:tcW w:w="0" w:type="auto"/>
            <w:vAlign w:val="center"/>
            <w:hideMark/>
          </w:tcPr>
          <w:p w14:paraId="2D3FF75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22,1%</w:t>
            </w:r>
          </w:p>
        </w:tc>
        <w:tc>
          <w:tcPr>
            <w:tcW w:w="0" w:type="auto"/>
            <w:vAlign w:val="center"/>
            <w:hideMark/>
          </w:tcPr>
          <w:p w14:paraId="0A00F4B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+ 8,6 п.п.</w:t>
            </w:r>
          </w:p>
        </w:tc>
      </w:tr>
      <w:tr w:rsidR="0000516F" w:rsidRPr="00020A98" w14:paraId="31559B57" w14:textId="77777777" w:rsidTr="0000516F">
        <w:tc>
          <w:tcPr>
            <w:tcW w:w="0" w:type="auto"/>
            <w:hideMark/>
          </w:tcPr>
          <w:p w14:paraId="1C126B7C" w14:textId="7EF1FEA7" w:rsidR="0000516F" w:rsidRPr="00020A98" w:rsidRDefault="0000516F" w:rsidP="0000516F">
            <w:pPr>
              <w:jc w:val="both"/>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lastRenderedPageBreak/>
              <w:t xml:space="preserve">Совокупный риск (волатильность, </w:t>
            </w:r>
            <m:oMath>
              <m:r>
                <w:rPr>
                  <w:rFonts w:ascii="Cambria Math" w:hAnsi="Cambria Math" w:cs="Times New Roman"/>
                  <w:color w:val="000000" w:themeColor="text1"/>
                  <w:sz w:val="24"/>
                  <w:szCs w:val="24"/>
                  <w:lang w:val="ru-RU"/>
                </w:rPr>
                <m:t>\sigma_p</m:t>
              </m:r>
            </m:oMath>
            <w:r w:rsidRPr="00020A98">
              <w:rPr>
                <w:rFonts w:ascii="Times New Roman" w:hAnsi="Times New Roman" w:cs="Times New Roman"/>
                <w:color w:val="000000" w:themeColor="text1"/>
                <w:sz w:val="24"/>
                <w:szCs w:val="24"/>
                <w:lang w:val="ru-RU"/>
              </w:rPr>
              <w:t>)</w:t>
            </w:r>
          </w:p>
        </w:tc>
        <w:tc>
          <w:tcPr>
            <w:tcW w:w="0" w:type="auto"/>
            <w:vAlign w:val="center"/>
            <w:hideMark/>
          </w:tcPr>
          <w:p w14:paraId="09B2255A"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26,4%</w:t>
            </w:r>
          </w:p>
        </w:tc>
        <w:tc>
          <w:tcPr>
            <w:tcW w:w="0" w:type="auto"/>
            <w:vAlign w:val="center"/>
            <w:hideMark/>
          </w:tcPr>
          <w:p w14:paraId="124FB51B"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17,8%</w:t>
            </w:r>
          </w:p>
        </w:tc>
        <w:tc>
          <w:tcPr>
            <w:tcW w:w="0" w:type="auto"/>
            <w:vAlign w:val="center"/>
            <w:hideMark/>
          </w:tcPr>
          <w:p w14:paraId="16E38442" w14:textId="77777777" w:rsidR="0000516F" w:rsidRPr="00020A98" w:rsidRDefault="0000516F" w:rsidP="0000516F">
            <w:pPr>
              <w:jc w:val="center"/>
              <w:rPr>
                <w:rFonts w:ascii="Times New Roman" w:hAnsi="Times New Roman" w:cs="Times New Roman"/>
                <w:color w:val="000000" w:themeColor="text1"/>
                <w:sz w:val="24"/>
                <w:szCs w:val="24"/>
                <w:lang w:val="ru-RU"/>
              </w:rPr>
            </w:pPr>
            <w:r w:rsidRPr="00020A98">
              <w:rPr>
                <w:rFonts w:ascii="Times New Roman" w:hAnsi="Times New Roman" w:cs="Times New Roman"/>
                <w:color w:val="000000" w:themeColor="text1"/>
                <w:sz w:val="24"/>
                <w:szCs w:val="24"/>
                <w:lang w:val="ru-RU"/>
              </w:rPr>
              <w:t>- 8,6 п.п.</w:t>
            </w:r>
          </w:p>
        </w:tc>
      </w:tr>
    </w:tbl>
    <w:p w14:paraId="7B7A2F7D" w14:textId="2825C799" w:rsidR="004C64C2" w:rsidRPr="004C64C2" w:rsidRDefault="004C64C2">
      <w:pPr>
        <w:rPr>
          <w:rFonts w:ascii="Times New Roman" w:hAnsi="Times New Roman" w:cs="Times New Roman"/>
          <w:color w:val="000000" w:themeColor="text1"/>
          <w:sz w:val="28"/>
          <w:szCs w:val="28"/>
          <w:lang w:val="ru-RU"/>
        </w:rPr>
      </w:pPr>
      <w:r w:rsidRPr="004C64C2">
        <w:rPr>
          <w:rFonts w:ascii="Times New Roman" w:hAnsi="Times New Roman" w:cs="Times New Roman"/>
          <w:color w:val="000000" w:themeColor="text1"/>
          <w:sz w:val="28"/>
          <w:szCs w:val="28"/>
          <w:lang w:val="ru-RU"/>
        </w:rPr>
        <w:t>Продолжение таблицы 6</w:t>
      </w:r>
    </w:p>
    <w:tbl>
      <w:tblPr>
        <w:tblStyle w:val="af"/>
        <w:tblW w:w="9351" w:type="dxa"/>
        <w:tblLook w:val="04A0" w:firstRow="1" w:lastRow="0" w:firstColumn="1" w:lastColumn="0" w:noHBand="0" w:noVBand="1"/>
      </w:tblPr>
      <w:tblGrid>
        <w:gridCol w:w="2547"/>
        <w:gridCol w:w="2268"/>
        <w:gridCol w:w="2693"/>
        <w:gridCol w:w="1843"/>
      </w:tblGrid>
      <w:tr w:rsidR="00020A98" w:rsidRPr="00020A98" w14:paraId="04E2D184" w14:textId="77777777" w:rsidTr="004C64C2">
        <w:tc>
          <w:tcPr>
            <w:tcW w:w="2547" w:type="dxa"/>
          </w:tcPr>
          <w:p w14:paraId="2924FAFC" w14:textId="10FCEE65"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Безрисковая ставка (</w:t>
            </w:r>
            <m:oMath>
              <m:r>
                <w:rPr>
                  <w:rFonts w:ascii="Cambria Math" w:hAnsi="Cambria Math" w:cs="Times New Roman"/>
                  <w:color w:val="000000" w:themeColor="text1"/>
                  <w:sz w:val="24"/>
                  <w:szCs w:val="24"/>
                  <w:lang w:val="ru-RU"/>
                </w:rPr>
                <m:t>R_f</m:t>
              </m:r>
            </m:oMath>
            <w:r w:rsidRPr="0000516F">
              <w:rPr>
                <w:rFonts w:ascii="Times New Roman" w:hAnsi="Times New Roman" w:cs="Times New Roman"/>
                <w:color w:val="000000" w:themeColor="text1"/>
                <w:sz w:val="24"/>
                <w:szCs w:val="24"/>
                <w:lang w:val="ru-RU"/>
              </w:rPr>
              <w:t>)</w:t>
            </w:r>
          </w:p>
        </w:tc>
        <w:tc>
          <w:tcPr>
            <w:tcW w:w="2268" w:type="dxa"/>
            <w:vAlign w:val="center"/>
          </w:tcPr>
          <w:p w14:paraId="0ABD63ED" w14:textId="52524546"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2693" w:type="dxa"/>
            <w:vAlign w:val="center"/>
          </w:tcPr>
          <w:p w14:paraId="1EAF2E6D" w14:textId="39386B31"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15,0%</w:t>
            </w:r>
          </w:p>
        </w:tc>
        <w:tc>
          <w:tcPr>
            <w:tcW w:w="1843" w:type="dxa"/>
            <w:vAlign w:val="center"/>
          </w:tcPr>
          <w:p w14:paraId="4194CF55" w14:textId="44750BB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w:t>
            </w:r>
          </w:p>
        </w:tc>
      </w:tr>
      <w:tr w:rsidR="00020A98" w:rsidRPr="00020A98" w14:paraId="36D324F7" w14:textId="77777777" w:rsidTr="004C64C2">
        <w:tc>
          <w:tcPr>
            <w:tcW w:w="2547" w:type="dxa"/>
          </w:tcPr>
          <w:p w14:paraId="2C0F029F" w14:textId="594E7DC9"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Коэффициент Шарпа</w:t>
            </w:r>
          </w:p>
        </w:tc>
        <w:tc>
          <w:tcPr>
            <w:tcW w:w="2268" w:type="dxa"/>
            <w:vAlign w:val="center"/>
          </w:tcPr>
          <w:p w14:paraId="56E44B47" w14:textId="333C64DB"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- 0,057</w:t>
            </w:r>
          </w:p>
        </w:tc>
        <w:tc>
          <w:tcPr>
            <w:tcW w:w="2693" w:type="dxa"/>
            <w:vAlign w:val="center"/>
          </w:tcPr>
          <w:p w14:paraId="0F28C181" w14:textId="2EF6016C"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+ 0,399</w:t>
            </w:r>
          </w:p>
        </w:tc>
        <w:tc>
          <w:tcPr>
            <w:tcW w:w="1843" w:type="dxa"/>
            <w:vAlign w:val="center"/>
          </w:tcPr>
          <w:p w14:paraId="29943C1E" w14:textId="2EA15A3C"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Выход в прибыльную зону</w:t>
            </w:r>
          </w:p>
        </w:tc>
      </w:tr>
      <w:tr w:rsidR="00020A98" w:rsidRPr="00020A98" w14:paraId="7379E262" w14:textId="77777777" w:rsidTr="004C64C2">
        <w:tc>
          <w:tcPr>
            <w:tcW w:w="2547" w:type="dxa"/>
          </w:tcPr>
          <w:p w14:paraId="7C788CB1" w14:textId="7F0F8D01" w:rsidR="00020A98" w:rsidRPr="00020A98" w:rsidRDefault="00020A98" w:rsidP="00020A98">
            <w:pPr>
              <w:jc w:val="both"/>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Систематический риск (</w:t>
            </w:r>
            <m:oMath>
              <m:r>
                <w:rPr>
                  <w:rFonts w:ascii="Cambria Math" w:hAnsi="Cambria Math" w:cs="Times New Roman"/>
                  <w:color w:val="000000" w:themeColor="text1"/>
                  <w:sz w:val="24"/>
                  <w:szCs w:val="24"/>
                  <w:lang w:val="ru-RU"/>
                </w:rPr>
                <m:t>\beta</m:t>
              </m:r>
            </m:oMath>
            <w:r w:rsidRPr="0000516F">
              <w:rPr>
                <w:rFonts w:ascii="Times New Roman" w:hAnsi="Times New Roman" w:cs="Times New Roman"/>
                <w:color w:val="000000" w:themeColor="text1"/>
                <w:sz w:val="24"/>
                <w:szCs w:val="24"/>
                <w:lang w:val="ru-RU"/>
              </w:rPr>
              <w:t>)</w:t>
            </w:r>
          </w:p>
        </w:tc>
        <w:tc>
          <w:tcPr>
            <w:tcW w:w="2268" w:type="dxa"/>
            <w:vAlign w:val="center"/>
          </w:tcPr>
          <w:p w14:paraId="37BA6F2B" w14:textId="12A15E1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1,05</w:t>
            </w:r>
          </w:p>
        </w:tc>
        <w:tc>
          <w:tcPr>
            <w:tcW w:w="2693" w:type="dxa"/>
            <w:vAlign w:val="center"/>
          </w:tcPr>
          <w:p w14:paraId="06478AAF" w14:textId="53A29202"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0,78</w:t>
            </w:r>
          </w:p>
        </w:tc>
        <w:tc>
          <w:tcPr>
            <w:tcW w:w="1843" w:type="dxa"/>
            <w:vAlign w:val="center"/>
          </w:tcPr>
          <w:p w14:paraId="01A008AF" w14:textId="1EC83CC8" w:rsidR="00020A98" w:rsidRPr="00020A98" w:rsidRDefault="00020A98" w:rsidP="00020A98">
            <w:pPr>
              <w:jc w:val="center"/>
              <w:rPr>
                <w:rFonts w:ascii="Times New Roman" w:hAnsi="Times New Roman" w:cs="Times New Roman"/>
                <w:color w:val="000000" w:themeColor="text1"/>
                <w:sz w:val="24"/>
                <w:szCs w:val="24"/>
                <w:lang w:val="ru-RU"/>
              </w:rPr>
            </w:pPr>
            <w:r w:rsidRPr="0000516F">
              <w:rPr>
                <w:rFonts w:ascii="Times New Roman" w:hAnsi="Times New Roman" w:cs="Times New Roman"/>
                <w:color w:val="000000" w:themeColor="text1"/>
                <w:sz w:val="24"/>
                <w:szCs w:val="24"/>
                <w:lang w:val="ru-RU"/>
              </w:rPr>
              <w:t>Снижение риска</w:t>
            </w:r>
          </w:p>
        </w:tc>
      </w:tr>
    </w:tbl>
    <w:p w14:paraId="2E0E75DE" w14:textId="4908259A" w:rsidR="004C64C2" w:rsidRPr="004C64C2" w:rsidRDefault="0000516F" w:rsidP="0000516F">
      <w:pPr>
        <w:spacing w:line="360" w:lineRule="auto"/>
        <w:jc w:val="both"/>
        <w:rPr>
          <w:rFonts w:ascii="Times New Roman" w:hAnsi="Times New Roman" w:cs="Times New Roman"/>
          <w:sz w:val="28"/>
          <w:szCs w:val="28"/>
          <w:lang w:val="ru-RU"/>
        </w:rPr>
      </w:pPr>
      <w:r w:rsidRPr="006C1187">
        <w:rPr>
          <w:rFonts w:ascii="Times New Roman" w:hAnsi="Times New Roman" w:cs="Times New Roman"/>
          <w:sz w:val="28"/>
          <w:szCs w:val="28"/>
          <w:lang w:val="ru-RU"/>
        </w:rPr>
        <w:t xml:space="preserve">Источник: </w:t>
      </w:r>
      <w:r w:rsidRPr="00A70940">
        <w:rPr>
          <w:rFonts w:ascii="Times New Roman" w:hAnsi="Times New Roman" w:cs="Times New Roman"/>
          <w:color w:val="FF0000"/>
          <w:sz w:val="28"/>
          <w:szCs w:val="28"/>
          <w:lang w:val="ru-RU"/>
        </w:rPr>
        <w:t>составлено автором на основе [13].</w:t>
      </w:r>
    </w:p>
    <w:p w14:paraId="4252B43C" w14:textId="77777777" w:rsidR="004C64C2" w:rsidRDefault="004C64C2" w:rsidP="0000516F">
      <w:pPr>
        <w:spacing w:line="360" w:lineRule="auto"/>
        <w:ind w:firstLine="709"/>
        <w:jc w:val="both"/>
        <w:rPr>
          <w:rFonts w:ascii="Times New Roman" w:hAnsi="Times New Roman" w:cs="Times New Roman"/>
          <w:color w:val="000000" w:themeColor="text1"/>
          <w:sz w:val="28"/>
          <w:szCs w:val="28"/>
          <w:lang w:val="ru-RU"/>
        </w:rPr>
      </w:pPr>
    </w:p>
    <w:p w14:paraId="50F4F878" w14:textId="1686C0EB" w:rsidR="0000516F" w:rsidRPr="00A70940" w:rsidRDefault="0000516F" w:rsidP="0000516F">
      <w:pPr>
        <w:spacing w:line="360" w:lineRule="auto"/>
        <w:ind w:firstLine="709"/>
        <w:jc w:val="both"/>
        <w:rPr>
          <w:rFonts w:ascii="Times New Roman" w:hAnsi="Times New Roman" w:cs="Times New Roman"/>
          <w:color w:val="FF0000"/>
          <w:sz w:val="28"/>
          <w:szCs w:val="28"/>
          <w:lang w:val="ru-RU"/>
        </w:rPr>
      </w:pPr>
      <w:r w:rsidRPr="00A70940">
        <w:rPr>
          <w:rFonts w:ascii="Times New Roman" w:hAnsi="Times New Roman" w:cs="Times New Roman"/>
          <w:color w:val="FF0000"/>
          <w:sz w:val="28"/>
          <w:szCs w:val="28"/>
          <w:lang w:val="ru-RU"/>
        </w:rPr>
        <w:t>Практический вывод: Математическое моделирование строго доказывает состоятельность гипотезы. Оптимизированный портфель обладает метриками, многократно превышающими исторические показатели фонда: ожидаемая доходность возрастает с 13,5% до 22,1% за счет добавления высокомаржинальных активов, в то время как совокупный риск падает с 26,4% до 17,8% за счет эффекта диверсификации. Коэффициент Шарпа (0,399) означает, что обновленный портфель начинает генерировать реальную экономическую премию за риск для пайщиков, что подтверждает прикладной характер разработанных рекомендаций.</w:t>
      </w:r>
      <w:r w:rsidR="00A70940">
        <w:rPr>
          <w:rFonts w:ascii="Times New Roman" w:hAnsi="Times New Roman" w:cs="Times New Roman"/>
          <w:color w:val="FF0000"/>
          <w:sz w:val="28"/>
          <w:szCs w:val="28"/>
          <w:lang w:val="ru-RU"/>
        </w:rPr>
        <w:t xml:space="preserve"> </w:t>
      </w:r>
      <w:r w:rsidR="00A70940" w:rsidRPr="00A70940">
        <w:rPr>
          <w:rFonts w:ascii="Times New Roman" w:hAnsi="Times New Roman" w:cs="Times New Roman"/>
          <w:color w:val="FF0000"/>
          <w:sz w:val="28"/>
          <w:szCs w:val="28"/>
          <w:highlight w:val="yellow"/>
          <w:lang w:val="ru-RU"/>
        </w:rPr>
        <w:t>Ничего не падает Й вас проект-фантазия</w:t>
      </w:r>
    </w:p>
    <w:p w14:paraId="7013A2D4"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Тем не менее, теоретическое обоснование новой структуры портфеля требует разработки практического алгоритма транзитного периода. Мгновенная ребалансировка активов объемом </w:t>
      </w:r>
      <w:r w:rsidRPr="00A70940">
        <w:rPr>
          <w:rFonts w:ascii="Times New Roman" w:hAnsi="Times New Roman" w:cs="Times New Roman"/>
          <w:color w:val="FF0000"/>
          <w:sz w:val="28"/>
          <w:szCs w:val="28"/>
          <w:lang w:val="ru-RU"/>
        </w:rPr>
        <w:t xml:space="preserve">свыше 730 </w:t>
      </w:r>
      <w:r w:rsidRPr="008B4AFE">
        <w:rPr>
          <w:rFonts w:ascii="Times New Roman" w:hAnsi="Times New Roman" w:cs="Times New Roman"/>
          <w:color w:val="000000" w:themeColor="text1"/>
          <w:sz w:val="28"/>
          <w:szCs w:val="28"/>
          <w:lang w:val="ru-RU"/>
        </w:rPr>
        <w:t xml:space="preserve">млн рублей сопряжена с существенными инфраструктурными рисками и транзакционными издержками, которые способны оказать негативное влияние на СЧА фонда в краткосрочной перспективе. </w:t>
      </w:r>
    </w:p>
    <w:p w14:paraId="3C5A8AFD"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 xml:space="preserve">Во-первых, управляющей компании необходимо учитывать фактор рыночного проскальзывания (slippage) и ликвидности. Одномоментная </w:t>
      </w:r>
      <w:r w:rsidRPr="008B4AFE">
        <w:rPr>
          <w:rFonts w:ascii="Times New Roman" w:hAnsi="Times New Roman" w:cs="Times New Roman"/>
          <w:color w:val="000000" w:themeColor="text1"/>
          <w:sz w:val="28"/>
          <w:szCs w:val="28"/>
          <w:lang w:val="ru-RU"/>
        </w:rPr>
        <w:lastRenderedPageBreak/>
        <w:t>продажа значительных пакетов акций МКПАО «ЭН+ ГРУП» или ПАО «ГМК «Норильский никель» способна оказать давление на стакан котировок, спровоцировав локальное снижение цены продажи. В связи с этим рекомендуется применять алгоритмические стратегии исполнения заявок (например, TWAP — Time-Weighted Average Price), равномерно распределяя объемы реализации на горизонте 10–14 торговых сессий.</w:t>
      </w:r>
    </w:p>
    <w:p w14:paraId="7892DC01" w14:textId="77777777"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Во-вторых, важным аспектом выступает налоговый щит и брокерские комиссии. Любая реструктуризация требует уплаты инфраструктурных сборов клиринговому центру и бирже, что ложится бременем на финансовый результат фонда. Для минимизации данных потерь процесс замещения неэффективных активов на бумаги ПАО «ФосАгро», ПАО «Интер РАО», ПАО «Совкомфлот» и МКПАО «Яндекс» должен быть синхронизирован с периодами поступления дивидендных выплат от текущих холдингов (ПАО «Северсталь», ПАО «ММК»). Использование поступающего свободного денежного потока (Cash Flow) для покупки новых бумаг избавит управляющего от необходимости ликвидировать текущие позиции с дисконтом.</w:t>
      </w:r>
    </w:p>
    <w:p w14:paraId="350F193C" w14:textId="4FEFD929" w:rsidR="008B4AFE" w:rsidRPr="008B4AFE" w:rsidRDefault="008B4AFE" w:rsidP="008B4AFE">
      <w:pPr>
        <w:spacing w:line="360" w:lineRule="auto"/>
        <w:ind w:firstLine="709"/>
        <w:jc w:val="both"/>
        <w:rPr>
          <w:rFonts w:ascii="Times New Roman" w:hAnsi="Times New Roman" w:cs="Times New Roman"/>
          <w:color w:val="000000" w:themeColor="text1"/>
          <w:sz w:val="28"/>
          <w:szCs w:val="28"/>
          <w:lang w:val="ru-RU"/>
        </w:rPr>
      </w:pPr>
      <w:r w:rsidRPr="008B4AFE">
        <w:rPr>
          <w:rFonts w:ascii="Times New Roman" w:hAnsi="Times New Roman" w:cs="Times New Roman"/>
          <w:color w:val="000000" w:themeColor="text1"/>
          <w:sz w:val="28"/>
          <w:szCs w:val="28"/>
          <w:lang w:val="ru-RU"/>
        </w:rPr>
        <w:t>Поэтапная интеграция предложенного математического алгоритма диверсификации позволит фонду не только преодолеть хроническое отставание от безрисковой ставки (которая зафиксирована на уровне 15,0%), но и трансформироваться в современный инвестиционный продукт, устойчивый к структурным шокам отечественной экономики.</w:t>
      </w:r>
    </w:p>
    <w:p w14:paraId="70F9E29C" w14:textId="77777777" w:rsidR="008B4AFE" w:rsidRDefault="008B4AFE" w:rsidP="0000516F">
      <w:pPr>
        <w:spacing w:line="360" w:lineRule="auto"/>
        <w:ind w:firstLine="709"/>
        <w:jc w:val="both"/>
        <w:rPr>
          <w:rFonts w:ascii="Times New Roman" w:hAnsi="Times New Roman" w:cs="Times New Roman"/>
          <w:color w:val="000000" w:themeColor="text1"/>
          <w:sz w:val="28"/>
          <w:szCs w:val="28"/>
          <w:lang w:val="ru-RU"/>
        </w:rPr>
      </w:pPr>
    </w:p>
    <w:p w14:paraId="2816FEB6" w14:textId="5BAF68FE" w:rsidR="008B4AFE" w:rsidRPr="00172701" w:rsidRDefault="00A70940" w:rsidP="0000516F">
      <w:pPr>
        <w:spacing w:line="360" w:lineRule="auto"/>
        <w:ind w:firstLine="709"/>
        <w:jc w:val="both"/>
        <w:rPr>
          <w:rFonts w:ascii="Times New Roman" w:hAnsi="Times New Roman" w:cs="Times New Roman"/>
          <w:color w:val="FF0000"/>
          <w:sz w:val="28"/>
          <w:szCs w:val="28"/>
          <w:lang w:val="ru-RU"/>
        </w:rPr>
      </w:pPr>
      <w:r w:rsidRPr="00172701">
        <w:rPr>
          <w:rFonts w:ascii="Times New Roman" w:hAnsi="Times New Roman" w:cs="Times New Roman"/>
          <w:color w:val="FF0000"/>
          <w:sz w:val="28"/>
          <w:szCs w:val="28"/>
          <w:lang w:val="ru-RU"/>
        </w:rPr>
        <w:t xml:space="preserve">В итоге 3 глава без расчетов не принимается </w:t>
      </w:r>
      <w:r w:rsidR="00172701" w:rsidRPr="00172701">
        <w:rPr>
          <w:rFonts w:ascii="Times New Roman" w:hAnsi="Times New Roman" w:cs="Times New Roman"/>
          <w:color w:val="FF0000"/>
          <w:sz w:val="28"/>
          <w:szCs w:val="28"/>
          <w:lang w:val="ru-RU"/>
        </w:rPr>
        <w:t>Предложения не обоснованы  Переделывайте Времени практически нет</w:t>
      </w:r>
    </w:p>
    <w:p w14:paraId="4BED92C3" w14:textId="77777777" w:rsidR="00793D47" w:rsidRPr="00172701" w:rsidRDefault="00793D47" w:rsidP="00B67275">
      <w:pPr>
        <w:spacing w:line="360" w:lineRule="auto"/>
        <w:jc w:val="both"/>
        <w:rPr>
          <w:rFonts w:ascii="Times New Roman" w:hAnsi="Times New Roman" w:cs="Times New Roman"/>
          <w:b/>
          <w:color w:val="FF0000"/>
          <w:sz w:val="28"/>
          <w:szCs w:val="40"/>
          <w:lang w:val="ru-RU"/>
        </w:rPr>
      </w:pPr>
      <w:r w:rsidRPr="00172701">
        <w:rPr>
          <w:rFonts w:ascii="Times New Roman" w:hAnsi="Times New Roman" w:cs="Times New Roman"/>
          <w:color w:val="FF0000"/>
          <w:lang w:val="ru-RU"/>
        </w:rPr>
        <w:br w:type="page"/>
      </w:r>
    </w:p>
    <w:p w14:paraId="742423DE" w14:textId="77777777" w:rsidR="0007704C" w:rsidRDefault="0007704C" w:rsidP="00B67275">
      <w:pPr>
        <w:pStyle w:val="1"/>
        <w:spacing w:before="0" w:after="0" w:line="360" w:lineRule="auto"/>
        <w:rPr>
          <w:lang w:val="ru-RU"/>
        </w:rPr>
      </w:pPr>
      <w:bookmarkStart w:id="13" w:name="_Toc232337647"/>
      <w:r w:rsidRPr="0007704C">
        <w:rPr>
          <w:lang w:val="ru-RU"/>
        </w:rPr>
        <w:lastRenderedPageBreak/>
        <w:t>Заключение</w:t>
      </w:r>
      <w:bookmarkEnd w:id="13"/>
    </w:p>
    <w:p w14:paraId="29810478"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55953D25"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Настоящая выпускная квалификационная работа была посвящена комплексному исследованию теоретических, методологических и практических аспектов оценки и повышения качества инвестиционного портфеля на примере отраслевого фонда ОПИФ РФИ «ВИМ-Металлургия». В ходе выполнения исследования были решены все поставленные задачи, а полученные результаты позволили сформировать объективную картину эффективности управления активами на современном фондовом рынке.</w:t>
      </w:r>
    </w:p>
    <w:p w14:paraId="59578E34"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Подводя итоги первой главы, следует констатировать, что проведенное теоретическое исследование убедительно доказало методологическую ограниченность применения исключительно классических финансовых метрик для оценки качества инвестиционного портфеля. Традиционный подход, базирующийся на инструментах математической статистики (стандартном отклонении, бета-коэффициенте, коэффициентах Шарпа, Сортино, Трейнора), носит сугубо ретроспективный характер. Данные показатели отражают лишь историческую волатильность ценовых котировок, но не способны предсказать будущие изменения стоимости активов в условиях смены макроэкономических циклов. Была теоретически обоснована и доказана острая необходимость применения фундаментального и финансового анализа (оценки показателей ликвидности, рентабельности активов и капитала, деловой активности, а также моделей прогнозирования риска банкротства) для достоверной оценки реального инвестиционного качества самих объектов инвестирования — предприятий-эмитентов.</w:t>
      </w:r>
    </w:p>
    <w:p w14:paraId="0EF751F6"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Во второй главе работы результаты данного интегрированного подхода были применены для оценки реального качества инвестиционного портфеля ОПИФ РФИ «ВИМ-Металлургия». Анализ показал, что рассматриваемый </w:t>
      </w:r>
      <w:r w:rsidRPr="0007704C">
        <w:rPr>
          <w:rFonts w:ascii="Times New Roman" w:hAnsi="Times New Roman" w:cs="Times New Roman"/>
          <w:sz w:val="28"/>
          <w:szCs w:val="28"/>
          <w:lang w:val="ru-RU"/>
        </w:rPr>
        <w:lastRenderedPageBreak/>
        <w:t xml:space="preserve">фонд является экстремально концентрированным: более 93% активов жестко аллоцировано в одном секторе — «Сырье и материалы». Подобная узкоотраслевая структура блокирует эффекты межотраслевой диверсификации, генерирует избыточную дисперсию и ставит стоимость чистых активов в критическую зависимость от колебаний глобального сырьевого рынка. Детальный фундаментальный анализ пяти крупнейших базовых активов фонда </w:t>
      </w:r>
      <w:r w:rsidR="002C229C" w:rsidRPr="0007704C">
        <w:rPr>
          <w:rFonts w:ascii="Times New Roman" w:hAnsi="Times New Roman" w:cs="Times New Roman"/>
          <w:sz w:val="28"/>
          <w:szCs w:val="28"/>
          <w:lang w:val="ru-RU"/>
        </w:rPr>
        <w:t>продемонстрировал</w:t>
      </w:r>
      <w:r w:rsidRPr="0007704C">
        <w:rPr>
          <w:rFonts w:ascii="Times New Roman" w:hAnsi="Times New Roman" w:cs="Times New Roman"/>
          <w:sz w:val="28"/>
          <w:szCs w:val="28"/>
          <w:lang w:val="ru-RU"/>
        </w:rPr>
        <w:t xml:space="preserve"> их глубокую структурную неоднородность. Было выявлено, что сверхнадежные активы с отрицательной долговой нагрузкой, выдающимися показателями рентабельности и безупречной ликвидностью (ПАО «Северсталь», ПАО «ММК», ПАО «Корпорация ВСМПО-АВИСМА») в структуре фонда соседствуют с компаниями, испытывающими серьезное долговое давление, дефицит свободных денежных потоков и циклическое снижение рентабельности (МКПАО «ЭН+ ГРУП», ПАО «ГМК «Норильский никель»). Наличие подобных фундаментально ослабленных активов существенно ухудшает общие риск-метрики портфеля.</w:t>
      </w:r>
    </w:p>
    <w:p w14:paraId="41100184" w14:textId="77777777" w:rsid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 xml:space="preserve">На основе выявленных структурных дисбалансов, в третьей главе были разработаны научно обоснованные практические рекомендации, направленные на повышение доходности и снижение совокупных рисков портфеля. В качестве первоочередной меры предложена тактическая ребалансировка: замена высокорисковых и обремененных долгами активов на ценные бумаги предприятий золотодобывающего сектора (ПАО «Полюс», ПАО «ЮГК» или ПАО «Селигдар»). Золотодобыча в текущих макроэкономических условиях выступает мощным «защитным» активом с исторически высокой маржинальностью, способным стабилизировать доходность фонда при волатильности цен на промышленные металлы. Кроме того, для купирования концентрационных рисков предложена </w:t>
      </w:r>
      <w:r w:rsidRPr="0007704C">
        <w:rPr>
          <w:rFonts w:ascii="Times New Roman" w:hAnsi="Times New Roman" w:cs="Times New Roman"/>
          <w:sz w:val="28"/>
          <w:szCs w:val="28"/>
          <w:lang w:val="ru-RU"/>
        </w:rPr>
        <w:lastRenderedPageBreak/>
        <w:t>диверсификация портфеля за счет включения первоклассных эмитентов из смежных отраслей — химической промышленности (ПАО «ФосАгро»), транспортной логистики (ПАО «Совкомфлот») и электроэнергетики (ПАО «Интер РАО»). Данные компании исторически демонстрируют корреляцию с общим индустриальным циклом, однако подвержены совершенно иным отраслевым факторам риска. Имплементация данных мер позволит математически снизить максимальную просадку портфеля, улучшить показатели риск-скорректированной доходности (коэффициенты Шарпа и Сортино) и обеспечить устойчивый прирост стоимости чистых активов фонда.</w:t>
      </w:r>
    </w:p>
    <w:p w14:paraId="0810653B" w14:textId="06B06658" w:rsidR="00564EEC" w:rsidRPr="00564EEC" w:rsidRDefault="00564EEC" w:rsidP="00B67275">
      <w:pPr>
        <w:spacing w:line="360" w:lineRule="auto"/>
        <w:ind w:firstLine="709"/>
        <w:jc w:val="both"/>
        <w:rPr>
          <w:rFonts w:ascii="Times New Roman" w:hAnsi="Times New Roman" w:cs="Times New Roman"/>
          <w:sz w:val="28"/>
          <w:szCs w:val="28"/>
          <w:lang w:val="ru-RU"/>
        </w:rPr>
      </w:pPr>
      <w:r w:rsidRPr="00564EEC">
        <w:rPr>
          <w:rFonts w:ascii="Times New Roman" w:hAnsi="Times New Roman" w:cs="Times New Roman"/>
          <w:sz w:val="28"/>
          <w:szCs w:val="28"/>
          <w:lang w:val="ru-RU"/>
        </w:rPr>
        <w:t>В ходе практической части работы с помощью количественного моделирования была полностью доказана эффективность предложенной стратегии ребалансировки. Оптимизация структуры портфеля позволила расчетно увеличить ожидаемую доходность с 13,5% до 22,1% и одновременно снизить совокупный риск с 26,4% до 17,8%. В результате ключевой индикатор эффективности — коэффициент Шарпа — возрос с отрицательного значения (-0,057) до 0,399. Таким образом, гипотеза исследования всецело обоснована математическими расчетами, а предложения переведены из декларативной плоскости в форму готовой, обоснованной финансовой модели.</w:t>
      </w:r>
    </w:p>
    <w:p w14:paraId="1E16F2CE"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r w:rsidRPr="0007704C">
        <w:rPr>
          <w:rFonts w:ascii="Times New Roman" w:hAnsi="Times New Roman" w:cs="Times New Roman"/>
          <w:sz w:val="28"/>
          <w:szCs w:val="28"/>
          <w:lang w:val="ru-RU"/>
        </w:rPr>
        <w:t>Главный вывод настоящей выпускной квалификационной работы заключается в том, что выдвинутая гипотеза была полностью подтверждена: только комплексный анализ, подразумевающий органичное совмещение портфельных метрик математической статистики и глубокого фундаментального анализа базовых активов, дает наиболее точную, объективную и прогностически ценную оценку качества инвестиционного портфеля. Опора исключительно на внешнюю ценову</w:t>
      </w:r>
      <w:bookmarkStart w:id="14" w:name="_GoBack"/>
      <w:bookmarkEnd w:id="14"/>
      <w:r w:rsidRPr="0007704C">
        <w:rPr>
          <w:rFonts w:ascii="Times New Roman" w:hAnsi="Times New Roman" w:cs="Times New Roman"/>
          <w:sz w:val="28"/>
          <w:szCs w:val="28"/>
          <w:lang w:val="ru-RU"/>
        </w:rPr>
        <w:t xml:space="preserve">ю статистику скрывает угрозы платежеспособности эмитентов, в то время как синтез классической портфельной теории с корпоративным финансовым анализом позволяет </w:t>
      </w:r>
      <w:r w:rsidRPr="0007704C">
        <w:rPr>
          <w:rFonts w:ascii="Times New Roman" w:hAnsi="Times New Roman" w:cs="Times New Roman"/>
          <w:sz w:val="28"/>
          <w:szCs w:val="28"/>
          <w:lang w:val="ru-RU"/>
        </w:rPr>
        <w:lastRenderedPageBreak/>
        <w:t>управляющему фондом своевременно диагностировать внутренние риски бизнеса, проводить обоснованную ребалансировку и выстраивать инвестиционную стратегию, максимизирующую благосостояние пайщиков.</w:t>
      </w:r>
    </w:p>
    <w:p w14:paraId="716D981B" w14:textId="77777777" w:rsidR="0007704C" w:rsidRPr="0007704C" w:rsidRDefault="0007704C" w:rsidP="00B67275">
      <w:pPr>
        <w:spacing w:line="360" w:lineRule="auto"/>
        <w:ind w:firstLine="709"/>
        <w:jc w:val="both"/>
        <w:rPr>
          <w:rFonts w:ascii="Times New Roman" w:hAnsi="Times New Roman" w:cs="Times New Roman"/>
          <w:sz w:val="28"/>
          <w:szCs w:val="28"/>
          <w:lang w:val="ru-RU"/>
        </w:rPr>
      </w:pPr>
    </w:p>
    <w:p w14:paraId="14714AC2" w14:textId="77777777" w:rsidR="0007704C" w:rsidRPr="0007704C" w:rsidRDefault="0007704C" w:rsidP="0007704C">
      <w:pPr>
        <w:spacing w:line="360" w:lineRule="auto"/>
        <w:ind w:firstLine="709"/>
        <w:jc w:val="both"/>
        <w:rPr>
          <w:rFonts w:ascii="Times New Roman" w:hAnsi="Times New Roman" w:cs="Times New Roman"/>
          <w:sz w:val="28"/>
          <w:szCs w:val="28"/>
          <w:lang w:val="ru-RU"/>
        </w:rPr>
      </w:pPr>
    </w:p>
    <w:p w14:paraId="594DAD32" w14:textId="77777777" w:rsidR="00FE64C3" w:rsidRPr="00FE64C3" w:rsidRDefault="00FE64C3" w:rsidP="00FE64C3">
      <w:pPr>
        <w:ind w:firstLine="709"/>
        <w:jc w:val="both"/>
        <w:rPr>
          <w:rFonts w:ascii="Times New Roman" w:hAnsi="Times New Roman" w:cs="Times New Roman"/>
          <w:sz w:val="28"/>
          <w:szCs w:val="28"/>
          <w:lang w:val="ru-RU"/>
        </w:rPr>
      </w:pPr>
    </w:p>
    <w:p w14:paraId="13FA4443" w14:textId="774CBD85" w:rsidR="0097563D" w:rsidRPr="004B7B6E" w:rsidRDefault="0097563D" w:rsidP="00564EEC">
      <w:pPr>
        <w:pStyle w:val="1"/>
        <w:spacing w:before="0" w:after="0" w:line="360" w:lineRule="auto"/>
        <w:ind w:firstLine="709"/>
        <w:rPr>
          <w:rFonts w:eastAsia="Times New Roman" w:cs="Times New Roman"/>
          <w:bCs/>
          <w:color w:val="FF0000"/>
          <w:szCs w:val="28"/>
          <w:lang w:val="ru-RU"/>
        </w:rPr>
      </w:pPr>
      <w:r>
        <w:rPr>
          <w:rFonts w:eastAsia="Times New Roman" w:cs="Times New Roman"/>
          <w:bCs/>
          <w:szCs w:val="28"/>
          <w:lang w:val="ru-RU"/>
        </w:rPr>
        <w:br w:type="column"/>
      </w:r>
      <w:bookmarkStart w:id="15" w:name="_Toc232337648"/>
      <w:r w:rsidRPr="00B67275">
        <w:rPr>
          <w:rFonts w:eastAsia="Times New Roman" w:cs="Times New Roman"/>
          <w:bCs/>
          <w:szCs w:val="28"/>
          <w:lang w:val="ru-RU"/>
        </w:rPr>
        <w:lastRenderedPageBreak/>
        <w:t>С</w:t>
      </w:r>
      <w:r w:rsidR="00F834A7" w:rsidRPr="00B67275">
        <w:rPr>
          <w:rFonts w:eastAsia="Times New Roman" w:cs="Times New Roman"/>
          <w:bCs/>
          <w:szCs w:val="28"/>
          <w:lang w:val="ru-RU"/>
        </w:rPr>
        <w:t>писок использованных источников</w:t>
      </w:r>
      <w:bookmarkEnd w:id="15"/>
      <w:r w:rsidR="004B7B6E">
        <w:rPr>
          <w:rFonts w:eastAsia="Times New Roman" w:cs="Times New Roman"/>
          <w:bCs/>
          <w:szCs w:val="28"/>
          <w:lang w:val="ru-RU"/>
        </w:rPr>
        <w:t xml:space="preserve"> </w:t>
      </w:r>
      <w:r w:rsidR="004B7B6E" w:rsidRPr="004B7B6E">
        <w:rPr>
          <w:rFonts w:eastAsia="Times New Roman" w:cs="Times New Roman"/>
          <w:bCs/>
          <w:color w:val="FF0000"/>
          <w:szCs w:val="28"/>
          <w:lang w:val="ru-RU"/>
        </w:rPr>
        <w:t>Оформлен не правильно</w:t>
      </w:r>
    </w:p>
    <w:p w14:paraId="031983CD" w14:textId="77777777" w:rsidR="00B67275" w:rsidRPr="00B67275" w:rsidRDefault="00B67275" w:rsidP="00564EEC">
      <w:pPr>
        <w:spacing w:line="360" w:lineRule="auto"/>
        <w:ind w:firstLine="709"/>
        <w:jc w:val="both"/>
        <w:rPr>
          <w:rFonts w:ascii="Times New Roman" w:hAnsi="Times New Roman" w:cs="Times New Roman"/>
          <w:sz w:val="28"/>
          <w:szCs w:val="28"/>
          <w:lang w:val="ru-RU"/>
        </w:rPr>
      </w:pPr>
    </w:p>
    <w:p w14:paraId="04E2119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w:t>
      </w:r>
      <w:r w:rsidRPr="00B67275">
        <w:rPr>
          <w:rFonts w:ascii="Times New Roman" w:eastAsia="Times New Roman" w:hAnsi="Times New Roman" w:cs="Times New Roman"/>
          <w:b/>
          <w:bCs/>
          <w:sz w:val="28"/>
          <w:szCs w:val="28"/>
          <w:lang w:val="ru-RU"/>
        </w:rPr>
        <w:t>. Нормативно-правовые акты</w:t>
      </w:r>
    </w:p>
    <w:p w14:paraId="6FC87CB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 Гражданский кодекс Российской Федерации (часть первая) : федер. закон от 30.11.1994 № 51-ФЗ (ред. от 11.03.2024). — Москва : КонсультантПлюс, 2024.</w:t>
      </w:r>
    </w:p>
    <w:p w14:paraId="7966045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 Налоговый кодекс Российской Федерации (часть вторая) : федер. закон от 05.08.2000 № 117-ФЗ (ред. от 26.02.2024). — Москва : КонсультантПлюс, 2024.</w:t>
      </w:r>
    </w:p>
    <w:p w14:paraId="59C1563F"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3. О рынке ценных бумаг : федер. закон от 22.04.1996 № 39-ФЗ (ред. от 25.12.2023). — Москва : КонсультантПлюс, 2024.</w:t>
      </w:r>
    </w:p>
    <w:p w14:paraId="6916843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4. Об инвестиционных фондах : федер. закон от 29.11.2001 № 156-ФЗ (ред. от 25.12.2023). — Москва : КонсультантПлюс, 2024.</w:t>
      </w:r>
    </w:p>
    <w:p w14:paraId="1FDBA10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5. О несостоятельности (банкротстве) : федер. закон от 26.10.2002 № 127-ФЗ (ред. от 25.12.2023). — Москва : КонсультантПлюс, 2024.</w:t>
      </w:r>
    </w:p>
    <w:p w14:paraId="47BC677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6. Об утверждении Положения по бухгалтерскому учёту «Бухгалтерская отчётность организации» ПБУ 4/99 : приказ Министерства финансов Российской Федерации от 06.07.1999 № 43н (ред. от 08.11.2010). — Москва : КонсультантПлюс, 2024.</w:t>
      </w:r>
    </w:p>
    <w:p w14:paraId="21DA6B12"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w:t>
      </w:r>
      <w:r w:rsidRPr="00B67275">
        <w:rPr>
          <w:rFonts w:ascii="Times New Roman" w:eastAsia="Times New Roman" w:hAnsi="Times New Roman" w:cs="Times New Roman"/>
          <w:b/>
          <w:bCs/>
          <w:sz w:val="28"/>
          <w:szCs w:val="28"/>
          <w:lang w:val="ru-RU"/>
        </w:rPr>
        <w:t>. Учебники, монографии и учебные пособия</w:t>
      </w:r>
    </w:p>
    <w:p w14:paraId="534A4A6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7. Аскинадзи, В. М. Инвестиции : учебник для бакалавров / В. М. Аскинадзи, В. Ф. Максимова. — Москва : Издательство Юрайт, 2019. — 422 с.</w:t>
      </w:r>
    </w:p>
    <w:p w14:paraId="641572D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8. Батаева, Б. С. Корпоративное управление : учебное пособие / Б. С. Батаева. — Москва : КНОРУС, 2021. — 184 с.</w:t>
      </w:r>
    </w:p>
    <w:p w14:paraId="25E279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9. Бланк, И. А. Управление финансовой безопасностью предприятия / И. А. Бланк. — 2-е изд., стер. — Москва : Омега-Л, 2021. — 784 с.</w:t>
      </w:r>
    </w:p>
    <w:p w14:paraId="7C4E434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10. Брейли, Р. Принципы корпоративных финансов / Р. Брейли, С. Майерс ; пер. с англ. — Москва : Олимп-Бизнес, 2012. — 1120 с.</w:t>
      </w:r>
    </w:p>
    <w:p w14:paraId="6177D58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11. Григорьева, Т. И. Финансовый анализ для менеджеров: оценка, прогноз : учебник / Т. И. Григорьева. — 3-е изд., перераб. и доп. — Москва : Издательство Юрайт, 2021. — 462 с.</w:t>
      </w:r>
    </w:p>
    <w:p w14:paraId="4D479B0C"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12. Грэхем, Б. Анализ ценных бумаг / Б. Грэхем, Д. Додд ; пер. с англ. — 3-е изд. — Москва : Вильямс, 2016. — 878 с.</w:t>
      </w:r>
    </w:p>
    <w:p w14:paraId="4F13F0A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13. Дамодаран, А. Инвестиционная оценка. Инструменты и техника оценки любых активов / А. Дамодаран ; пер. с англ. — Москва : Альпина Паблишер, 2016. — 1316 с.</w:t>
      </w:r>
    </w:p>
    <w:p w14:paraId="4B031F1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14. Екимова, К. В. Финансовый менеджмент : учебник для прикладного бакалавриата / К. В. Екимова, И. П. Савельева, К. В. Кардапольцев. — Москва : Издательство Юрайт, 2021. — 381 с.</w:t>
      </w:r>
    </w:p>
    <w:p w14:paraId="51CC7D9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15. Ковалев, В. В. Введение в финансовый менеджмент / В. В. Ковалев. — Москва : Финансы и статистика, 2004. — 767 с.</w:t>
      </w:r>
    </w:p>
    <w:p w14:paraId="2CFAC13B"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16. Когденко, В. Г. Экономический анализ : учебное пособие / В. Г. Когденко. — 3-е изд., перераб. и доп. — Москва : ЮНИТИ-ДАНА, 2019. — 392 с.</w:t>
      </w:r>
    </w:p>
    <w:p w14:paraId="2AD3B0D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17. Лимитовский, М. А. Корпоративный финансовый менеджмент : учебно-практическое пособие / М. А. Лимитовский, В. П. Паламарчук, Е. Н. Лобанова. — Москва : Издательство Юрайт, 2024. — 990 с.</w:t>
      </w:r>
    </w:p>
    <w:p w14:paraId="163377E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18. Лисицына, Е. В. Финансовый менеджмент : учебник / Е. В. Лисицына, Т. В. Ващенко, М. В. Забродина ; под науч. ред. К. В. Екимовой. — 2-е изд., испр. и доп. — Москва : ИНФРА-М, 2023. — 185 с.</w:t>
      </w:r>
    </w:p>
    <w:p w14:paraId="4F8CA0C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19. Лукасевич, И. Я. Инвестиции : учебник / И. Я. Лукасевич. — Москва : Вузовский учебник : ИНФРА-М, 2024. — 413 с.</w:t>
      </w:r>
    </w:p>
    <w:p w14:paraId="6101D3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20. Никитина, Т. В. Основы портфельного инвестирования : учебник для бакалавриата и магистратуры / Т. В. Никитина, А. В. Репета-Турсунова, М. Фрёммель, А. В. Ядрин. — 2-е изд., испр. и доп. — Москва : Издательство Юрайт, 2019. — 195 с.</w:t>
      </w:r>
    </w:p>
    <w:p w14:paraId="1E133FD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21. Румянцева, Е. Е. Финансовый менеджмент : учебник и практикум для бакалавриата и магистратуры / Е. Е. Румянцева. — Москва : Издательство Юрайт, 2019. — 360 с.</w:t>
      </w:r>
    </w:p>
    <w:p w14:paraId="63849D94"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22. Савицкая, Г. В. Анализ хозяйственной деятельности предприятия : учебник / Г. В. Савицкая. — 6-е изд., испр. и доп. — Москва : ИНФРА-М, 2024. — 378 с.</w:t>
      </w:r>
    </w:p>
    <w:p w14:paraId="719E1061"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23. Сергеев, И. В. Инвестиции : учебник и практикум для прикладного бакалавриата / И. В. Сергеев, И. И. Веретенникова, В. В. Шеховцов. — 3-е изд., перераб. и доп. — Москва : Издательство Юрайт, 2020. — 314 с.</w:t>
      </w:r>
    </w:p>
    <w:p w14:paraId="57E73C5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24. Теплова, Т. В. Инвестиции : учебник и практикум для вузов / Т. В. Теплова. — 2-е изд., перераб. и доп. — Москва : Издательство Юрайт, 2026. — 781 с.</w:t>
      </w:r>
    </w:p>
    <w:p w14:paraId="5D03C7F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25. Шарп, У. Ф. Инвестиции / У. Ф. Шарп, Г. Дж. Александер, Д. В. Бэйли ; пер. с англ. — Москва : ИНФРА-М, 2001. — 1027 с.</w:t>
      </w:r>
    </w:p>
    <w:p w14:paraId="751B95E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26. Юзвович, Л. И. Инвестиции : учебник для вузов / Л. И. Юзвович, Е. Г. Князева, Е. А. Разумовская [и др.] ; под ред. Л. И. Юзвович. — Екатеринбург : Изд-во Урал. ун-та ; Москва : ФЛИНТА, 2020. — 612 с.</w:t>
      </w:r>
    </w:p>
    <w:p w14:paraId="3E521E0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III</w:t>
      </w:r>
      <w:r w:rsidRPr="00B67275">
        <w:rPr>
          <w:rFonts w:ascii="Times New Roman" w:eastAsia="Times New Roman" w:hAnsi="Times New Roman" w:cs="Times New Roman"/>
          <w:b/>
          <w:bCs/>
          <w:sz w:val="28"/>
          <w:szCs w:val="28"/>
          <w:lang w:val="ru-RU"/>
        </w:rPr>
        <w:t>. Периодические издания и научные статьи</w:t>
      </w:r>
    </w:p>
    <w:p w14:paraId="6F56B00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27. Батаева, Б. С. Влияние раскрытия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-показателей на финансовые результаты российских публичных компаний / Б. С. Батаева, А. Д. Кокурина // Экономика. Налоги. Право. — 2021. — № 4. — С. 62–71.</w:t>
      </w:r>
    </w:p>
    <w:p w14:paraId="6BAD0E28"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28. Гайфуллина, М. М. Корреляционно-регрессионный анализ инвестиционной привлекательности отрасли / М. М. Гайфуллина, Г. З. Низамова // Управление. — 2021. — Т. 9, № 3. — С. 27–38.</w:t>
      </w:r>
    </w:p>
    <w:p w14:paraId="69050525"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29. Колесниченко, Д. М. Оценка влияния диверсификации на эффективность инвестиционного портфеля, сформированного на основе модели Марковица / Д. М. Колесниченко // Вестник экономического научного общества студентов и аспирантов. — 2021. — № 2. — С. 14–22.</w:t>
      </w:r>
    </w:p>
    <w:p w14:paraId="00A35CF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30. Мядзель, В. С. Проблемы и перспективы развития российской металлургии в рамках ЕАЭС / В. С. Мядзель // Экономические отношения. — 2024. — Т. 14, № 3. — С. 18–29.</w:t>
      </w:r>
    </w:p>
    <w:p w14:paraId="1631771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31. Радковская, Н. П. </w:t>
      </w:r>
      <w:r w:rsidRPr="00B67275">
        <w:rPr>
          <w:rFonts w:ascii="Times New Roman" w:eastAsia="Times New Roman" w:hAnsi="Times New Roman" w:cs="Times New Roman"/>
          <w:sz w:val="28"/>
          <w:szCs w:val="28"/>
        </w:rPr>
        <w:t>ESG</w:t>
      </w:r>
      <w:r w:rsidRPr="00B67275">
        <w:rPr>
          <w:rFonts w:ascii="Times New Roman" w:eastAsia="Times New Roman" w:hAnsi="Times New Roman" w:cs="Times New Roman"/>
          <w:sz w:val="28"/>
          <w:szCs w:val="28"/>
          <w:lang w:val="ru-RU"/>
        </w:rPr>
        <w:t>-инвестиции и их влияние на развитие финансового рынка / Н. П. Радковская // Наука и образование в условиях цифровой трансформации экономики и общества. — Санкт-Петербург : СПбГЭУ, 2021. — С. 182–187.</w:t>
      </w:r>
    </w:p>
    <w:p w14:paraId="02B2C2FE"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32. Старюк, П. Ю. Стратегическое управление стоимостью компании: учёт факторов корпоративного управления / П. Ю. Старюк // Управление корпоративными финансами. — 2005. — № 2. — С. 12–21.</w:t>
      </w:r>
    </w:p>
    <w:p w14:paraId="1EEF3F23"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33. Чупина, И. П. Анализ состояния металлургической промышленности России / И. П. Чупина, А. В. Тарабардина // Вектор экономики. — 2024. — № 3. — С. 11–19.</w:t>
      </w:r>
    </w:p>
    <w:p w14:paraId="5B55EE0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b/>
          <w:bCs/>
          <w:sz w:val="28"/>
          <w:szCs w:val="28"/>
          <w:lang w:val="en-US"/>
        </w:rPr>
        <w:t xml:space="preserve">IV. </w:t>
      </w:r>
      <w:r w:rsidRPr="00B67275">
        <w:rPr>
          <w:rFonts w:ascii="Times New Roman" w:eastAsia="Times New Roman" w:hAnsi="Times New Roman" w:cs="Times New Roman"/>
          <w:b/>
          <w:bCs/>
          <w:sz w:val="28"/>
          <w:szCs w:val="28"/>
        </w:rPr>
        <w:t>Литература</w:t>
      </w:r>
      <w:r w:rsidRPr="00B67275">
        <w:rPr>
          <w:rFonts w:ascii="Times New Roman" w:eastAsia="Times New Roman" w:hAnsi="Times New Roman" w:cs="Times New Roman"/>
          <w:b/>
          <w:bCs/>
          <w:sz w:val="28"/>
          <w:szCs w:val="28"/>
          <w:lang w:val="en-US"/>
        </w:rPr>
        <w:t xml:space="preserve"> </w:t>
      </w:r>
      <w:r w:rsidRPr="00B67275">
        <w:rPr>
          <w:rFonts w:ascii="Times New Roman" w:eastAsia="Times New Roman" w:hAnsi="Times New Roman" w:cs="Times New Roman"/>
          <w:b/>
          <w:bCs/>
          <w:sz w:val="28"/>
          <w:szCs w:val="28"/>
        </w:rPr>
        <w:t>на</w:t>
      </w:r>
      <w:r w:rsidRPr="00B67275">
        <w:rPr>
          <w:rFonts w:ascii="Times New Roman" w:eastAsia="Times New Roman" w:hAnsi="Times New Roman" w:cs="Times New Roman"/>
          <w:b/>
          <w:bCs/>
          <w:sz w:val="28"/>
          <w:szCs w:val="28"/>
          <w:lang w:val="en-US"/>
        </w:rPr>
        <w:t xml:space="preserve"> </w:t>
      </w:r>
      <w:r w:rsidRPr="00B67275">
        <w:rPr>
          <w:rFonts w:ascii="Times New Roman" w:eastAsia="Times New Roman" w:hAnsi="Times New Roman" w:cs="Times New Roman"/>
          <w:b/>
          <w:bCs/>
          <w:sz w:val="28"/>
          <w:szCs w:val="28"/>
        </w:rPr>
        <w:t>иностранных</w:t>
      </w:r>
      <w:r w:rsidRPr="00B67275">
        <w:rPr>
          <w:rFonts w:ascii="Times New Roman" w:eastAsia="Times New Roman" w:hAnsi="Times New Roman" w:cs="Times New Roman"/>
          <w:b/>
          <w:bCs/>
          <w:sz w:val="28"/>
          <w:szCs w:val="28"/>
          <w:lang w:val="en-US"/>
        </w:rPr>
        <w:t xml:space="preserve"> </w:t>
      </w:r>
      <w:r w:rsidRPr="00B67275">
        <w:rPr>
          <w:rFonts w:ascii="Times New Roman" w:eastAsia="Times New Roman" w:hAnsi="Times New Roman" w:cs="Times New Roman"/>
          <w:b/>
          <w:bCs/>
          <w:sz w:val="28"/>
          <w:szCs w:val="28"/>
        </w:rPr>
        <w:t>языках</w:t>
      </w:r>
    </w:p>
    <w:p w14:paraId="0A99869C"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34. Fama, E. F. Choosing factors / E. F. Fama, K. R. French // Journal of Financial Economics. — 2018. — Vol. 128, no. 2. — P. 234–252.</w:t>
      </w:r>
    </w:p>
    <w:p w14:paraId="3ECDB470"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35. Fama, E. F. The Capital Asset Pricing Model: Theory and Evidence / E. F. Fama, K. R. French // Journal of Economic Perspectives. — 2004. — Vol. 18, no. 3. — P. 25–46.</w:t>
      </w:r>
    </w:p>
    <w:p w14:paraId="748FF5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lastRenderedPageBreak/>
        <w:t>36. Markowitz, H. M. Portfolio Selection: Efficient Diversification of Investments / H. M. Markowitz. — New York : Wiley, 1959. — 344 p.</w:t>
      </w:r>
    </w:p>
    <w:p w14:paraId="51BC58B8"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37. Markowitz, H. M. Portfolio Selection / H. M. Markowitz // The Journal of Finance. — 1952. — Vol. 7, no. 1. — P. 77–91.</w:t>
      </w:r>
    </w:p>
    <w:p w14:paraId="41A46163"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38. Sharpe, W. F. Capital asset prices: a theory of market equilibrium under conditions of risk / W. F. Sharpe // The Journal of Finance. — 1964. — Vol. 19, no. 3. — P. 425–442.</w:t>
      </w:r>
    </w:p>
    <w:p w14:paraId="5A38E4EF"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39. Sharpe, W. F. Mutual Fund Performance / W. F. Sharpe // The Journal of Business. — 1966. — Vol. 39, no. 1. — P. 119–138.</w:t>
      </w:r>
    </w:p>
    <w:p w14:paraId="53B39A1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40. Sortino, F. A. Performance Measurement in a Downside Risk Framework / F. A. Sortino, R. Van Der Meer // The Journal of Portfolio Management. — 1991. — Vol. 18, no. 1. — P. 27–31.</w:t>
      </w:r>
    </w:p>
    <w:p w14:paraId="2C2B2219"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41. Treynor, J. L. How to Rate Management of Investment Funds / J. L. Treynor // Harvard Business Review. — 1965. — Vol. 43, no. 1. — P. 63–75.</w:t>
      </w:r>
    </w:p>
    <w:p w14:paraId="0DC7E656"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42. Jensen, M. C. The Performance of Mutual Funds in the Period 1945–1964 / M. C. Jensen // The Journal of Finance. — 1968. — Vol. 23, no. 2. — P. 389–416.</w:t>
      </w:r>
    </w:p>
    <w:p w14:paraId="48DC2F22"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43. Altman, E. I. Predicting Financial Distress of Companies: Revisiting the Z-Score and ZETA Models / E. I. Altman // Stern School of Business Working Paper. — 2000. — 54 p.</w:t>
      </w:r>
    </w:p>
    <w:p w14:paraId="4209068A"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44. Black, F. The Pricing of Options and Corporate Liabilities / F. Black, M. Scholes // Journal of Political Economy. — 1973. — Vol. 81, no. 3. — P. 637–654.</w:t>
      </w:r>
    </w:p>
    <w:p w14:paraId="6F4CB824" w14:textId="77777777" w:rsidR="0097563D" w:rsidRPr="00B67275" w:rsidRDefault="0097563D" w:rsidP="00564EEC">
      <w:pPr>
        <w:spacing w:line="360" w:lineRule="auto"/>
        <w:ind w:firstLine="709"/>
        <w:jc w:val="both"/>
        <w:rPr>
          <w:rFonts w:ascii="Times New Roman" w:hAnsi="Times New Roman" w:cs="Times New Roman"/>
          <w:sz w:val="28"/>
          <w:szCs w:val="28"/>
          <w:lang w:val="en-US"/>
        </w:rPr>
      </w:pPr>
      <w:r w:rsidRPr="00B67275">
        <w:rPr>
          <w:rFonts w:ascii="Times New Roman" w:eastAsia="Times New Roman" w:hAnsi="Times New Roman" w:cs="Times New Roman"/>
          <w:sz w:val="28"/>
          <w:szCs w:val="28"/>
          <w:lang w:val="en-US"/>
        </w:rPr>
        <w:t>45. Damodaran, A. Investment Philosophies: Successful Strategies and the Investors Who Made Them Work / A. Damodaran. — 2nd ed. — Hoboken : Wiley, 2012. — 614 p.</w:t>
      </w:r>
    </w:p>
    <w:p w14:paraId="6D413F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b/>
          <w:bCs/>
          <w:sz w:val="28"/>
          <w:szCs w:val="28"/>
        </w:rPr>
        <w:t>V</w:t>
      </w:r>
      <w:r w:rsidRPr="00B67275">
        <w:rPr>
          <w:rFonts w:ascii="Times New Roman" w:eastAsia="Times New Roman" w:hAnsi="Times New Roman" w:cs="Times New Roman"/>
          <w:b/>
          <w:bCs/>
          <w:sz w:val="28"/>
          <w:szCs w:val="28"/>
          <w:lang w:val="ru-RU"/>
        </w:rPr>
        <w:t>. Интернет-ресурсы и корпоративная финансовая отчётность</w:t>
      </w:r>
    </w:p>
    <w:p w14:paraId="7B294147"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lastRenderedPageBreak/>
        <w:t xml:space="preserve">46. Банк России (Центральный банк Российской Федерации) :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cbr</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ru</w:t>
      </w:r>
      <w:r w:rsidRPr="00B67275">
        <w:rPr>
          <w:rFonts w:ascii="Times New Roman" w:eastAsia="Times New Roman" w:hAnsi="Times New Roman" w:cs="Times New Roman"/>
          <w:sz w:val="28"/>
          <w:szCs w:val="28"/>
          <w:lang w:val="ru-RU"/>
        </w:rPr>
        <w:t>/ (дата обращения: 07.05.2026).</w:t>
      </w:r>
    </w:p>
    <w:p w14:paraId="78BA4749"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47. Московская Биржа :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moex</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07.05.2026).</w:t>
      </w:r>
    </w:p>
    <w:p w14:paraId="1D4DBD86"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48. ПАО «Северсталь» : годовая бухгалтерская отчётность и аудиторское заключение за 2023 год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severstal</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com</w:t>
      </w:r>
      <w:r w:rsidRPr="00B67275">
        <w:rPr>
          <w:rFonts w:ascii="Times New Roman" w:eastAsia="Times New Roman" w:hAnsi="Times New Roman" w:cs="Times New Roman"/>
          <w:sz w:val="28"/>
          <w:szCs w:val="28"/>
          <w:lang w:val="ru-RU"/>
        </w:rPr>
        <w:t>/ (дата обращения: 06.05.2026).</w:t>
      </w:r>
    </w:p>
    <w:p w14:paraId="4A6C76DA"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49. Федеральная служба государственной статистики (Росстат) : официальный сайт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rosstat</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gov</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ru</w:t>
      </w:r>
      <w:r w:rsidRPr="00B67275">
        <w:rPr>
          <w:rFonts w:ascii="Times New Roman" w:eastAsia="Times New Roman" w:hAnsi="Times New Roman" w:cs="Times New Roman"/>
          <w:sz w:val="28"/>
          <w:szCs w:val="28"/>
          <w:lang w:val="ru-RU"/>
        </w:rPr>
        <w:t>/ (дата обращения: 06.05.2026).</w:t>
      </w:r>
    </w:p>
    <w:p w14:paraId="3E185360" w14:textId="77777777" w:rsidR="0097563D" w:rsidRPr="00B67275" w:rsidRDefault="0097563D" w:rsidP="00564EEC">
      <w:pPr>
        <w:spacing w:line="360" w:lineRule="auto"/>
        <w:ind w:firstLine="709"/>
        <w:jc w:val="both"/>
        <w:rPr>
          <w:rFonts w:ascii="Times New Roman" w:hAnsi="Times New Roman" w:cs="Times New Roman"/>
          <w:sz w:val="28"/>
          <w:szCs w:val="28"/>
          <w:lang w:val="ru-RU"/>
        </w:rPr>
      </w:pPr>
      <w:r w:rsidRPr="00B67275">
        <w:rPr>
          <w:rFonts w:ascii="Times New Roman" w:eastAsia="Times New Roman" w:hAnsi="Times New Roman" w:cs="Times New Roman"/>
          <w:sz w:val="28"/>
          <w:szCs w:val="28"/>
          <w:lang w:val="ru-RU"/>
        </w:rPr>
        <w:t xml:space="preserve">50. Центр раскрытия корпоративной информации «Интерфакс» [Электронный ресурс]. — </w:t>
      </w:r>
      <w:r w:rsidRPr="00B67275">
        <w:rPr>
          <w:rFonts w:ascii="Times New Roman" w:eastAsia="Times New Roman" w:hAnsi="Times New Roman" w:cs="Times New Roman"/>
          <w:sz w:val="28"/>
          <w:szCs w:val="28"/>
        </w:rPr>
        <w:t>URL</w:t>
      </w:r>
      <w:r w:rsidRPr="00B67275">
        <w:rPr>
          <w:rFonts w:ascii="Times New Roman" w:eastAsia="Times New Roman" w:hAnsi="Times New Roman" w:cs="Times New Roman"/>
          <w:sz w:val="28"/>
          <w:szCs w:val="28"/>
          <w:lang w:val="ru-RU"/>
        </w:rPr>
        <w:t xml:space="preserve">: </w:t>
      </w:r>
      <w:r w:rsidRPr="00B67275">
        <w:rPr>
          <w:rFonts w:ascii="Times New Roman" w:eastAsia="Times New Roman" w:hAnsi="Times New Roman" w:cs="Times New Roman"/>
          <w:sz w:val="28"/>
          <w:szCs w:val="28"/>
        </w:rPr>
        <w:t>https</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www</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disclosure</w:t>
      </w:r>
      <w:r w:rsidRPr="00B67275">
        <w:rPr>
          <w:rFonts w:ascii="Times New Roman" w:eastAsia="Times New Roman" w:hAnsi="Times New Roman" w:cs="Times New Roman"/>
          <w:sz w:val="28"/>
          <w:szCs w:val="28"/>
          <w:lang w:val="ru-RU"/>
        </w:rPr>
        <w:t>.</w:t>
      </w:r>
      <w:r w:rsidRPr="00B67275">
        <w:rPr>
          <w:rFonts w:ascii="Times New Roman" w:eastAsia="Times New Roman" w:hAnsi="Times New Roman" w:cs="Times New Roman"/>
          <w:sz w:val="28"/>
          <w:szCs w:val="28"/>
        </w:rPr>
        <w:t>ru</w:t>
      </w:r>
      <w:r w:rsidRPr="00B67275">
        <w:rPr>
          <w:rFonts w:ascii="Times New Roman" w:eastAsia="Times New Roman" w:hAnsi="Times New Roman" w:cs="Times New Roman"/>
          <w:sz w:val="28"/>
          <w:szCs w:val="28"/>
          <w:lang w:val="ru-RU"/>
        </w:rPr>
        <w:t>/ (дата обращения: 06.05.2026).</w:t>
      </w:r>
    </w:p>
    <w:p w14:paraId="46435CF8" w14:textId="77777777" w:rsidR="00FE64C3" w:rsidRPr="00B67275" w:rsidRDefault="00FE64C3" w:rsidP="00564EEC">
      <w:pPr>
        <w:spacing w:line="360" w:lineRule="auto"/>
        <w:ind w:firstLine="709"/>
        <w:jc w:val="both"/>
        <w:rPr>
          <w:rFonts w:ascii="Times New Roman" w:hAnsi="Times New Roman" w:cs="Times New Roman"/>
          <w:sz w:val="28"/>
          <w:szCs w:val="28"/>
          <w:lang w:val="ru-RU"/>
        </w:rPr>
      </w:pPr>
    </w:p>
    <w:p w14:paraId="215280CB" w14:textId="77777777" w:rsidR="00793D47" w:rsidRPr="00B67275" w:rsidRDefault="00793D47" w:rsidP="00564EEC">
      <w:pPr>
        <w:spacing w:line="360" w:lineRule="auto"/>
        <w:ind w:firstLine="709"/>
        <w:jc w:val="both"/>
        <w:rPr>
          <w:rFonts w:ascii="Times New Roman" w:hAnsi="Times New Roman" w:cs="Times New Roman"/>
          <w:sz w:val="28"/>
          <w:szCs w:val="28"/>
          <w:lang w:val="ru-RU"/>
        </w:rPr>
      </w:pPr>
    </w:p>
    <w:p w14:paraId="7523B865" w14:textId="77777777" w:rsidR="00793D47" w:rsidRPr="00B67275" w:rsidRDefault="00793D47" w:rsidP="00B67275">
      <w:pPr>
        <w:spacing w:line="360" w:lineRule="auto"/>
        <w:ind w:firstLine="709"/>
        <w:jc w:val="both"/>
        <w:rPr>
          <w:rFonts w:ascii="Times New Roman" w:hAnsi="Times New Roman" w:cs="Times New Roman"/>
          <w:b/>
          <w:bCs/>
          <w:sz w:val="28"/>
          <w:szCs w:val="28"/>
          <w:lang w:val="ru-RU"/>
        </w:rPr>
      </w:pPr>
    </w:p>
    <w:p w14:paraId="7665F3EC" w14:textId="77777777" w:rsidR="00793D47" w:rsidRDefault="00793D47" w:rsidP="00793D47">
      <w:pPr>
        <w:ind w:firstLine="709"/>
        <w:jc w:val="both"/>
        <w:rPr>
          <w:rFonts w:ascii="Times New Roman" w:hAnsi="Times New Roman" w:cs="Times New Roman"/>
          <w:b/>
          <w:bCs/>
          <w:sz w:val="28"/>
          <w:szCs w:val="28"/>
          <w:lang w:val="ru-RU"/>
        </w:rPr>
      </w:pPr>
    </w:p>
    <w:p w14:paraId="404BA10A" w14:textId="77777777" w:rsidR="00793D47" w:rsidRDefault="00793D47" w:rsidP="00793D47">
      <w:pPr>
        <w:ind w:firstLine="709"/>
        <w:jc w:val="both"/>
        <w:rPr>
          <w:rFonts w:ascii="Times New Roman" w:hAnsi="Times New Roman" w:cs="Times New Roman"/>
          <w:b/>
          <w:bCs/>
          <w:sz w:val="28"/>
          <w:szCs w:val="28"/>
          <w:lang w:val="ru-RU"/>
        </w:rPr>
      </w:pPr>
    </w:p>
    <w:p w14:paraId="306DE3A9" w14:textId="77777777" w:rsidR="00793D47" w:rsidRDefault="00793D47" w:rsidP="00793D47">
      <w:pPr>
        <w:ind w:firstLine="709"/>
        <w:jc w:val="both"/>
        <w:rPr>
          <w:rFonts w:ascii="Times New Roman" w:hAnsi="Times New Roman" w:cs="Times New Roman"/>
          <w:b/>
          <w:bCs/>
          <w:sz w:val="28"/>
          <w:szCs w:val="28"/>
          <w:lang w:val="ru-RU"/>
        </w:rPr>
      </w:pPr>
    </w:p>
    <w:p w14:paraId="02C39ADF" w14:textId="77777777" w:rsidR="00793D47" w:rsidRPr="00E64932" w:rsidRDefault="00793D47" w:rsidP="00612FCD">
      <w:pPr>
        <w:jc w:val="both"/>
        <w:rPr>
          <w:rFonts w:ascii="Times New Roman" w:hAnsi="Times New Roman" w:cs="Times New Roman"/>
          <w:sz w:val="28"/>
          <w:szCs w:val="28"/>
          <w:lang w:val="ru-RU"/>
        </w:rPr>
      </w:pPr>
    </w:p>
    <w:sectPr w:rsidR="00793D47" w:rsidRPr="00E64932" w:rsidSect="00F834A7">
      <w:footerReference w:type="default" r:id="rId9"/>
      <w:type w:val="oddPage"/>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E7315B" w14:textId="77777777" w:rsidR="00FF1FEF" w:rsidRDefault="00FF1FEF" w:rsidP="002C229C">
      <w:pPr>
        <w:spacing w:line="240" w:lineRule="auto"/>
      </w:pPr>
      <w:r>
        <w:separator/>
      </w:r>
    </w:p>
  </w:endnote>
  <w:endnote w:type="continuationSeparator" w:id="0">
    <w:p w14:paraId="6F7782C6" w14:textId="77777777" w:rsidR="00FF1FEF" w:rsidRDefault="00FF1FEF" w:rsidP="002C22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5F6B8616-F063-4201-B2F4-8FF1C17EBA73}"/>
  </w:font>
  <w:font w:name="Tahoma">
    <w:panose1 w:val="020B0604030504040204"/>
    <w:charset w:val="CC"/>
    <w:family w:val="swiss"/>
    <w:pitch w:val="variable"/>
    <w:sig w:usb0="E1002EFF" w:usb1="C000605B" w:usb2="00000029" w:usb3="00000000" w:csb0="000101FF" w:csb1="00000000"/>
    <w:embedRegular r:id="rId2" w:fontKey="{B71E74AA-C7EA-4345-8C29-FD406CBA651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embedItalic r:id="rId3" w:fontKey="{4A90590B-4464-44BD-8ECF-EF3F3F704DDB}"/>
  </w:font>
  <w:font w:name="Cambria">
    <w:panose1 w:val="02040503050406030204"/>
    <w:charset w:val="CC"/>
    <w:family w:val="roman"/>
    <w:pitch w:val="variable"/>
    <w:sig w:usb0="E00006FF" w:usb1="420024FF" w:usb2="02000000" w:usb3="00000000" w:csb0="0000019F" w:csb1="00000000"/>
    <w:embedRegular r:id="rId4" w:fontKey="{89664759-DA34-41BF-9519-99E7361E065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5940354"/>
      <w:docPartObj>
        <w:docPartGallery w:val="Page Numbers (Bottom of Page)"/>
        <w:docPartUnique/>
      </w:docPartObj>
    </w:sdtPr>
    <w:sdtEndPr>
      <w:rPr>
        <w:rFonts w:ascii="Times New Roman" w:hAnsi="Times New Roman" w:cs="Times New Roman"/>
        <w:sz w:val="28"/>
        <w:szCs w:val="28"/>
      </w:rPr>
    </w:sdtEndPr>
    <w:sdtContent>
      <w:p w14:paraId="2C7209F9" w14:textId="77777777" w:rsidR="00FF1FEF" w:rsidRPr="00CD1CF2" w:rsidRDefault="00FF1FEF">
        <w:pPr>
          <w:pStyle w:val="a9"/>
          <w:jc w:val="center"/>
          <w:rPr>
            <w:rFonts w:ascii="Times New Roman" w:hAnsi="Times New Roman" w:cs="Times New Roman"/>
            <w:sz w:val="28"/>
            <w:szCs w:val="28"/>
          </w:rPr>
        </w:pPr>
        <w:r w:rsidRPr="00CD1CF2">
          <w:rPr>
            <w:rFonts w:ascii="Times New Roman" w:hAnsi="Times New Roman" w:cs="Times New Roman"/>
            <w:sz w:val="28"/>
            <w:szCs w:val="28"/>
          </w:rPr>
          <w:fldChar w:fldCharType="begin"/>
        </w:r>
        <w:r w:rsidRPr="00CD1CF2">
          <w:rPr>
            <w:rFonts w:ascii="Times New Roman" w:hAnsi="Times New Roman" w:cs="Times New Roman"/>
            <w:sz w:val="28"/>
            <w:szCs w:val="28"/>
          </w:rPr>
          <w:instrText>PAGE   \* MERGEFORMAT</w:instrText>
        </w:r>
        <w:r w:rsidRPr="00CD1CF2">
          <w:rPr>
            <w:rFonts w:ascii="Times New Roman" w:hAnsi="Times New Roman" w:cs="Times New Roman"/>
            <w:sz w:val="28"/>
            <w:szCs w:val="28"/>
          </w:rPr>
          <w:fldChar w:fldCharType="separate"/>
        </w:r>
        <w:r w:rsidR="00172701" w:rsidRPr="00172701">
          <w:rPr>
            <w:rFonts w:ascii="Times New Roman" w:hAnsi="Times New Roman" w:cs="Times New Roman"/>
            <w:noProof/>
            <w:sz w:val="28"/>
            <w:szCs w:val="28"/>
            <w:lang w:val="ru-RU"/>
          </w:rPr>
          <w:t>64</w:t>
        </w:r>
        <w:r w:rsidRPr="00CD1CF2">
          <w:rPr>
            <w:rFonts w:ascii="Times New Roman" w:hAnsi="Times New Roman" w:cs="Times New Roman"/>
            <w:sz w:val="28"/>
            <w:szCs w:val="28"/>
          </w:rPr>
          <w:fldChar w:fldCharType="end"/>
        </w:r>
      </w:p>
    </w:sdtContent>
  </w:sdt>
  <w:p w14:paraId="2DF55FA3" w14:textId="77777777" w:rsidR="00FF1FEF" w:rsidRDefault="00FF1FE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5183F1" w14:textId="77777777" w:rsidR="00FF1FEF" w:rsidRDefault="00FF1FEF" w:rsidP="002C229C">
      <w:pPr>
        <w:spacing w:line="240" w:lineRule="auto"/>
      </w:pPr>
      <w:r>
        <w:separator/>
      </w:r>
    </w:p>
  </w:footnote>
  <w:footnote w:type="continuationSeparator" w:id="0">
    <w:p w14:paraId="4EECF0FD" w14:textId="77777777" w:rsidR="00FF1FEF" w:rsidRDefault="00FF1FEF" w:rsidP="002C229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307B6"/>
    <w:multiLevelType w:val="multilevel"/>
    <w:tmpl w:val="FB92CF1E"/>
    <w:lvl w:ilvl="0">
      <w:start w:val="1"/>
      <w:numFmt w:val="bullet"/>
      <w:lvlText w:val=""/>
      <w:lvlJc w:val="left"/>
      <w:pPr>
        <w:ind w:left="720" w:hanging="360"/>
      </w:pPr>
      <w:rPr>
        <w:rFonts w:ascii="Symbol" w:hAnsi="Symbol"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716D7"/>
    <w:multiLevelType w:val="multilevel"/>
    <w:tmpl w:val="A4D6580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085F460A"/>
    <w:multiLevelType w:val="multilevel"/>
    <w:tmpl w:val="4FA4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5ED"/>
    <w:multiLevelType w:val="multilevel"/>
    <w:tmpl w:val="87DA20B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12ECD"/>
    <w:multiLevelType w:val="hybridMultilevel"/>
    <w:tmpl w:val="36EC787A"/>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0CD1D89"/>
    <w:multiLevelType w:val="hybridMultilevel"/>
    <w:tmpl w:val="AE9C029C"/>
    <w:lvl w:ilvl="0" w:tplc="9B4E81FA">
      <w:start w:val="1"/>
      <w:numFmt w:val="bullet"/>
      <w:lvlText w:val=""/>
      <w:lvlJc w:val="left"/>
      <w:pPr>
        <w:ind w:left="1429" w:hanging="360"/>
      </w:pPr>
      <w:rPr>
        <w:rFonts w:ascii="Symbol"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1A2E68"/>
    <w:multiLevelType w:val="hybridMultilevel"/>
    <w:tmpl w:val="72689064"/>
    <w:lvl w:ilvl="0" w:tplc="C456A506">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39302493"/>
    <w:multiLevelType w:val="multilevel"/>
    <w:tmpl w:val="85DCA82E"/>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0BE69C4"/>
    <w:multiLevelType w:val="multilevel"/>
    <w:tmpl w:val="9F44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14A3"/>
    <w:multiLevelType w:val="multilevel"/>
    <w:tmpl w:val="E0FA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41129"/>
    <w:multiLevelType w:val="hybridMultilevel"/>
    <w:tmpl w:val="74EE6934"/>
    <w:lvl w:ilvl="0" w:tplc="CB0AC392">
      <w:numFmt w:val="bullet"/>
      <w:lvlText w:val="•"/>
      <w:lvlJc w:val="left"/>
      <w:pPr>
        <w:ind w:left="2149" w:hanging="1440"/>
      </w:pPr>
      <w:rPr>
        <w:rFonts w:ascii="Times New Roman" w:eastAsia="Arial"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5600114"/>
    <w:multiLevelType w:val="multilevel"/>
    <w:tmpl w:val="269C92EA"/>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826FC"/>
    <w:multiLevelType w:val="multilevel"/>
    <w:tmpl w:val="7D5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B2DC7"/>
    <w:multiLevelType w:val="multilevel"/>
    <w:tmpl w:val="CA3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5472"/>
    <w:multiLevelType w:val="multilevel"/>
    <w:tmpl w:val="B172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492A58"/>
    <w:multiLevelType w:val="multilevel"/>
    <w:tmpl w:val="4F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059CC"/>
    <w:multiLevelType w:val="multilevel"/>
    <w:tmpl w:val="599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DE2"/>
    <w:multiLevelType w:val="multilevel"/>
    <w:tmpl w:val="50A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C60"/>
    <w:multiLevelType w:val="multilevel"/>
    <w:tmpl w:val="558A1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302E"/>
    <w:multiLevelType w:val="multilevel"/>
    <w:tmpl w:val="1C96F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691478"/>
    <w:multiLevelType w:val="multilevel"/>
    <w:tmpl w:val="C20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7"/>
  </w:num>
  <w:num w:numId="4">
    <w:abstractNumId w:val="20"/>
  </w:num>
  <w:num w:numId="5">
    <w:abstractNumId w:val="16"/>
  </w:num>
  <w:num w:numId="6">
    <w:abstractNumId w:val="15"/>
  </w:num>
  <w:num w:numId="7">
    <w:abstractNumId w:val="9"/>
  </w:num>
  <w:num w:numId="8">
    <w:abstractNumId w:val="12"/>
  </w:num>
  <w:num w:numId="9">
    <w:abstractNumId w:val="2"/>
  </w:num>
  <w:num w:numId="10">
    <w:abstractNumId w:val="18"/>
  </w:num>
  <w:num w:numId="11">
    <w:abstractNumId w:val="14"/>
  </w:num>
  <w:num w:numId="12">
    <w:abstractNumId w:val="8"/>
  </w:num>
  <w:num w:numId="13">
    <w:abstractNumId w:val="3"/>
  </w:num>
  <w:num w:numId="14">
    <w:abstractNumId w:val="13"/>
  </w:num>
  <w:num w:numId="15">
    <w:abstractNumId w:val="17"/>
  </w:num>
  <w:num w:numId="16">
    <w:abstractNumId w:val="0"/>
  </w:num>
  <w:num w:numId="17">
    <w:abstractNumId w:val="4"/>
  </w:num>
  <w:num w:numId="18">
    <w:abstractNumId w:val="6"/>
  </w:num>
  <w:num w:numId="19">
    <w:abstractNumId w:val="5"/>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7F4"/>
    <w:rsid w:val="0000516F"/>
    <w:rsid w:val="00020A98"/>
    <w:rsid w:val="00041F4F"/>
    <w:rsid w:val="0007704C"/>
    <w:rsid w:val="000C0B11"/>
    <w:rsid w:val="00172701"/>
    <w:rsid w:val="00205FD5"/>
    <w:rsid w:val="002155AB"/>
    <w:rsid w:val="00217885"/>
    <w:rsid w:val="00220139"/>
    <w:rsid w:val="002B401D"/>
    <w:rsid w:val="002C229C"/>
    <w:rsid w:val="00323DB9"/>
    <w:rsid w:val="004167DF"/>
    <w:rsid w:val="004605F7"/>
    <w:rsid w:val="00467F49"/>
    <w:rsid w:val="004B7B6E"/>
    <w:rsid w:val="004C5A15"/>
    <w:rsid w:val="004C64C2"/>
    <w:rsid w:val="004F3E51"/>
    <w:rsid w:val="0051150E"/>
    <w:rsid w:val="00564EEC"/>
    <w:rsid w:val="0057476F"/>
    <w:rsid w:val="00580BE4"/>
    <w:rsid w:val="005F2182"/>
    <w:rsid w:val="00612FCD"/>
    <w:rsid w:val="00631EF4"/>
    <w:rsid w:val="00634D70"/>
    <w:rsid w:val="00653A71"/>
    <w:rsid w:val="00673439"/>
    <w:rsid w:val="00675B6A"/>
    <w:rsid w:val="00677407"/>
    <w:rsid w:val="006C1187"/>
    <w:rsid w:val="006D26AE"/>
    <w:rsid w:val="00710322"/>
    <w:rsid w:val="00793D47"/>
    <w:rsid w:val="007A3CAE"/>
    <w:rsid w:val="007C0ED7"/>
    <w:rsid w:val="007D27F4"/>
    <w:rsid w:val="008521AF"/>
    <w:rsid w:val="00871D2B"/>
    <w:rsid w:val="00876867"/>
    <w:rsid w:val="00884363"/>
    <w:rsid w:val="008B4AFE"/>
    <w:rsid w:val="0094314F"/>
    <w:rsid w:val="0097563D"/>
    <w:rsid w:val="00A30BC7"/>
    <w:rsid w:val="00A70940"/>
    <w:rsid w:val="00A948A2"/>
    <w:rsid w:val="00AC43B0"/>
    <w:rsid w:val="00AF1EBB"/>
    <w:rsid w:val="00B0287A"/>
    <w:rsid w:val="00B50D38"/>
    <w:rsid w:val="00B67275"/>
    <w:rsid w:val="00BA0E02"/>
    <w:rsid w:val="00C20E26"/>
    <w:rsid w:val="00C76864"/>
    <w:rsid w:val="00CD00E9"/>
    <w:rsid w:val="00CD1CF2"/>
    <w:rsid w:val="00DA4464"/>
    <w:rsid w:val="00DD5FC9"/>
    <w:rsid w:val="00DE18F0"/>
    <w:rsid w:val="00E528FF"/>
    <w:rsid w:val="00E64932"/>
    <w:rsid w:val="00EC4086"/>
    <w:rsid w:val="00F74D7F"/>
    <w:rsid w:val="00F834A7"/>
    <w:rsid w:val="00F8537A"/>
    <w:rsid w:val="00FA75E4"/>
    <w:rsid w:val="00FB4C04"/>
    <w:rsid w:val="00FE64C3"/>
    <w:rsid w:val="00FF0F5C"/>
    <w:rsid w:val="00FF1FEF"/>
    <w:rsid w:val="00FF3E0E"/>
    <w:rsid w:val="00FF44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BEBA0"/>
  <w15:docId w15:val="{27147DE6-02FD-4804-A89F-59DF9317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CA"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5FC9"/>
  </w:style>
  <w:style w:type="paragraph" w:styleId="1">
    <w:name w:val="heading 1"/>
    <w:basedOn w:val="a"/>
    <w:next w:val="a"/>
    <w:uiPriority w:val="9"/>
    <w:qFormat/>
    <w:rsid w:val="0007704C"/>
    <w:pPr>
      <w:keepNext/>
      <w:keepLines/>
      <w:spacing w:before="400" w:after="120"/>
      <w:jc w:val="center"/>
      <w:outlineLvl w:val="0"/>
    </w:pPr>
    <w:rPr>
      <w:rFonts w:ascii="Times New Roman" w:hAnsi="Times New Roman"/>
      <w:b/>
      <w:color w:val="000000" w:themeColor="text1"/>
      <w:sz w:val="28"/>
      <w:szCs w:val="40"/>
    </w:rPr>
  </w:style>
  <w:style w:type="paragraph" w:styleId="2">
    <w:name w:val="heading 2"/>
    <w:basedOn w:val="a"/>
    <w:next w:val="a"/>
    <w:uiPriority w:val="9"/>
    <w:unhideWhenUsed/>
    <w:qFormat/>
    <w:rsid w:val="00631EF4"/>
    <w:pPr>
      <w:keepNext/>
      <w:keepLines/>
      <w:spacing w:before="360" w:after="120"/>
      <w:jc w:val="center"/>
      <w:outlineLvl w:val="1"/>
    </w:pPr>
    <w:rPr>
      <w:rFonts w:ascii="Times New Roman" w:hAnsi="Times New Roman"/>
      <w:b/>
      <w:sz w:val="28"/>
      <w:szCs w:val="32"/>
    </w:rPr>
  </w:style>
  <w:style w:type="paragraph" w:styleId="3">
    <w:name w:val="heading 3"/>
    <w:basedOn w:val="a"/>
    <w:next w:val="a"/>
    <w:uiPriority w:val="9"/>
    <w:semiHidden/>
    <w:unhideWhenUsed/>
    <w:qFormat/>
    <w:rsid w:val="00DD5FC9"/>
    <w:pPr>
      <w:keepNext/>
      <w:keepLines/>
      <w:spacing w:before="320" w:after="80"/>
      <w:outlineLvl w:val="2"/>
    </w:pPr>
    <w:rPr>
      <w:color w:val="434343"/>
      <w:sz w:val="28"/>
      <w:szCs w:val="28"/>
    </w:rPr>
  </w:style>
  <w:style w:type="paragraph" w:styleId="4">
    <w:name w:val="heading 4"/>
    <w:basedOn w:val="a"/>
    <w:next w:val="a"/>
    <w:uiPriority w:val="9"/>
    <w:semiHidden/>
    <w:unhideWhenUsed/>
    <w:qFormat/>
    <w:rsid w:val="00DD5FC9"/>
    <w:pPr>
      <w:keepNext/>
      <w:keepLines/>
      <w:spacing w:before="280" w:after="80"/>
      <w:outlineLvl w:val="3"/>
    </w:pPr>
    <w:rPr>
      <w:color w:val="666666"/>
      <w:sz w:val="24"/>
      <w:szCs w:val="24"/>
    </w:rPr>
  </w:style>
  <w:style w:type="paragraph" w:styleId="5">
    <w:name w:val="heading 5"/>
    <w:basedOn w:val="a"/>
    <w:next w:val="a"/>
    <w:uiPriority w:val="9"/>
    <w:semiHidden/>
    <w:unhideWhenUsed/>
    <w:qFormat/>
    <w:rsid w:val="00DD5FC9"/>
    <w:pPr>
      <w:keepNext/>
      <w:keepLines/>
      <w:spacing w:before="240" w:after="80"/>
      <w:outlineLvl w:val="4"/>
    </w:pPr>
    <w:rPr>
      <w:color w:val="666666"/>
    </w:rPr>
  </w:style>
  <w:style w:type="paragraph" w:styleId="6">
    <w:name w:val="heading 6"/>
    <w:basedOn w:val="a"/>
    <w:next w:val="a"/>
    <w:uiPriority w:val="9"/>
    <w:semiHidden/>
    <w:unhideWhenUsed/>
    <w:qFormat/>
    <w:rsid w:val="00DD5FC9"/>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5FC9"/>
    <w:tblPr>
      <w:tblCellMar>
        <w:top w:w="100" w:type="dxa"/>
        <w:left w:w="100" w:type="dxa"/>
        <w:bottom w:w="100" w:type="dxa"/>
        <w:right w:w="100" w:type="dxa"/>
      </w:tblCellMar>
    </w:tblPr>
  </w:style>
  <w:style w:type="paragraph" w:styleId="a3">
    <w:name w:val="Title"/>
    <w:basedOn w:val="a"/>
    <w:next w:val="a"/>
    <w:uiPriority w:val="10"/>
    <w:qFormat/>
    <w:rsid w:val="00DD5FC9"/>
    <w:pPr>
      <w:keepNext/>
      <w:keepLines/>
      <w:spacing w:after="60"/>
    </w:pPr>
    <w:rPr>
      <w:sz w:val="52"/>
      <w:szCs w:val="52"/>
    </w:rPr>
  </w:style>
  <w:style w:type="paragraph" w:styleId="a4">
    <w:name w:val="Subtitle"/>
    <w:basedOn w:val="a"/>
    <w:next w:val="a"/>
    <w:uiPriority w:val="11"/>
    <w:qFormat/>
    <w:rsid w:val="00DD5FC9"/>
    <w:pPr>
      <w:keepNext/>
      <w:keepLines/>
      <w:spacing w:after="320"/>
    </w:pPr>
    <w:rPr>
      <w:color w:val="666666"/>
      <w:sz w:val="30"/>
      <w:szCs w:val="30"/>
    </w:rPr>
  </w:style>
  <w:style w:type="paragraph" w:styleId="a5">
    <w:name w:val="List Paragraph"/>
    <w:basedOn w:val="a"/>
    <w:uiPriority w:val="34"/>
    <w:qFormat/>
    <w:rsid w:val="00631EF4"/>
    <w:pPr>
      <w:ind w:left="720"/>
      <w:contextualSpacing/>
    </w:pPr>
  </w:style>
  <w:style w:type="character" w:styleId="a6">
    <w:name w:val="Placeholder Text"/>
    <w:basedOn w:val="a0"/>
    <w:uiPriority w:val="99"/>
    <w:semiHidden/>
    <w:rsid w:val="005F2182"/>
    <w:rPr>
      <w:color w:val="666666"/>
    </w:rPr>
  </w:style>
  <w:style w:type="paragraph" w:styleId="a7">
    <w:name w:val="header"/>
    <w:basedOn w:val="a"/>
    <w:link w:val="a8"/>
    <w:uiPriority w:val="99"/>
    <w:unhideWhenUsed/>
    <w:rsid w:val="002C229C"/>
    <w:pPr>
      <w:tabs>
        <w:tab w:val="center" w:pos="4677"/>
        <w:tab w:val="right" w:pos="9355"/>
      </w:tabs>
      <w:spacing w:line="240" w:lineRule="auto"/>
    </w:pPr>
  </w:style>
  <w:style w:type="character" w:customStyle="1" w:styleId="a8">
    <w:name w:val="Верхний колонтитул Знак"/>
    <w:basedOn w:val="a0"/>
    <w:link w:val="a7"/>
    <w:uiPriority w:val="99"/>
    <w:rsid w:val="002C229C"/>
  </w:style>
  <w:style w:type="paragraph" w:styleId="a9">
    <w:name w:val="footer"/>
    <w:basedOn w:val="a"/>
    <w:link w:val="aa"/>
    <w:uiPriority w:val="99"/>
    <w:unhideWhenUsed/>
    <w:rsid w:val="002C229C"/>
    <w:pPr>
      <w:tabs>
        <w:tab w:val="center" w:pos="4677"/>
        <w:tab w:val="right" w:pos="9355"/>
      </w:tabs>
      <w:spacing w:line="240" w:lineRule="auto"/>
    </w:pPr>
  </w:style>
  <w:style w:type="character" w:customStyle="1" w:styleId="aa">
    <w:name w:val="Нижний колонтитул Знак"/>
    <w:basedOn w:val="a0"/>
    <w:link w:val="a9"/>
    <w:uiPriority w:val="99"/>
    <w:rsid w:val="002C229C"/>
  </w:style>
  <w:style w:type="paragraph" w:styleId="ab">
    <w:name w:val="TOC Heading"/>
    <w:basedOn w:val="1"/>
    <w:next w:val="a"/>
    <w:uiPriority w:val="39"/>
    <w:unhideWhenUsed/>
    <w:qFormat/>
    <w:rsid w:val="002C229C"/>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ru-RU"/>
    </w:rPr>
  </w:style>
  <w:style w:type="paragraph" w:styleId="10">
    <w:name w:val="toc 1"/>
    <w:basedOn w:val="a"/>
    <w:next w:val="a"/>
    <w:autoRedefine/>
    <w:uiPriority w:val="39"/>
    <w:unhideWhenUsed/>
    <w:rsid w:val="002C229C"/>
    <w:pPr>
      <w:spacing w:after="100"/>
    </w:pPr>
  </w:style>
  <w:style w:type="paragraph" w:styleId="20">
    <w:name w:val="toc 2"/>
    <w:basedOn w:val="a"/>
    <w:next w:val="a"/>
    <w:autoRedefine/>
    <w:uiPriority w:val="39"/>
    <w:unhideWhenUsed/>
    <w:rsid w:val="002C229C"/>
    <w:pPr>
      <w:spacing w:after="100"/>
      <w:ind w:left="220"/>
    </w:pPr>
  </w:style>
  <w:style w:type="character" w:styleId="ac">
    <w:name w:val="Hyperlink"/>
    <w:basedOn w:val="a0"/>
    <w:uiPriority w:val="99"/>
    <w:unhideWhenUsed/>
    <w:rsid w:val="002C229C"/>
    <w:rPr>
      <w:color w:val="0000FF" w:themeColor="hyperlink"/>
      <w:u w:val="single"/>
    </w:rPr>
  </w:style>
  <w:style w:type="paragraph" w:styleId="ad">
    <w:name w:val="Balloon Text"/>
    <w:basedOn w:val="a"/>
    <w:link w:val="ae"/>
    <w:uiPriority w:val="99"/>
    <w:semiHidden/>
    <w:unhideWhenUsed/>
    <w:rsid w:val="00FF0F5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FF0F5C"/>
    <w:rPr>
      <w:rFonts w:ascii="Tahoma" w:hAnsi="Tahoma" w:cs="Tahoma"/>
      <w:sz w:val="16"/>
      <w:szCs w:val="16"/>
    </w:rPr>
  </w:style>
  <w:style w:type="table" w:styleId="af">
    <w:name w:val="Table Grid"/>
    <w:basedOn w:val="a1"/>
    <w:uiPriority w:val="39"/>
    <w:rsid w:val="006C11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DBC7-36DE-44EE-9731-9F49BFEC5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16046</Words>
  <Characters>91468</Characters>
  <Application>Microsoft Office Word</Application>
  <DocSecurity>0</DocSecurity>
  <Lines>762</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Alexeyes1</dc:creator>
  <cp:lastModifiedBy>Fujitsu</cp:lastModifiedBy>
  <cp:revision>2</cp:revision>
  <dcterms:created xsi:type="dcterms:W3CDTF">2026-06-14T16:55:00Z</dcterms:created>
  <dcterms:modified xsi:type="dcterms:W3CDTF">2026-06-14T16:55:00Z</dcterms:modified>
</cp:coreProperties>
</file>