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bottom w:val="single" w:sz="18" w:space="0" w:color="auto"/>
        </w:tblBorders>
        <w:tblLook w:val="04A0" w:firstRow="1" w:lastRow="0" w:firstColumn="1" w:lastColumn="0" w:noHBand="0" w:noVBand="1"/>
      </w:tblPr>
      <w:tblGrid>
        <w:gridCol w:w="9322"/>
      </w:tblGrid>
      <w:tr w:rsidR="00CD1CF2" w:rsidRPr="00E2290B" w:rsidTr="004605F7">
        <w:trPr>
          <w:trHeight w:val="1361"/>
        </w:trPr>
        <w:tc>
          <w:tcPr>
            <w:tcW w:w="9322" w:type="dxa"/>
            <w:tcBorders>
              <w:bottom w:val="single" w:sz="12" w:space="0" w:color="auto"/>
            </w:tcBorders>
            <w:vAlign w:val="center"/>
          </w:tcPr>
          <w:p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r w:rsidRPr="00CD1CF2">
              <w:rPr>
                <w:rFonts w:ascii="Times New Roman" w:eastAsia="Times New Roman" w:hAnsi="Times New Roman" w:cs="Times New Roman"/>
                <w:noProof/>
                <w:sz w:val="24"/>
                <w:szCs w:val="24"/>
                <w:lang w:val="ru-RU"/>
              </w:rPr>
              <w:drawing>
                <wp:anchor distT="0" distB="0" distL="114300" distR="114300" simplePos="0" relativeHeight="251659264" behindDoc="1" locked="0" layoutInCell="1" allowOverlap="1">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2769" y="2436"/>
                      <wp:lineTo x="0" y="5359"/>
                      <wp:lineTo x="0" y="16565"/>
                      <wp:lineTo x="3231" y="20950"/>
                      <wp:lineTo x="4154" y="20950"/>
                      <wp:lineTo x="17077" y="20950"/>
                      <wp:lineTo x="18000" y="20950"/>
                      <wp:lineTo x="21231" y="16565"/>
                      <wp:lineTo x="21231" y="5847"/>
                      <wp:lineTo x="18000" y="1949"/>
                      <wp:lineTo x="14769" y="0"/>
                      <wp:lineTo x="6462" y="0"/>
                    </wp:wrapPolygon>
                  </wp:wrapTight>
                  <wp:docPr id="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44550"/>
                          </a:xfrm>
                          <a:prstGeom prst="rect">
                            <a:avLst/>
                          </a:prstGeom>
                          <a:noFill/>
                          <a:ln>
                            <a:noFill/>
                          </a:ln>
                        </pic:spPr>
                      </pic:pic>
                    </a:graphicData>
                  </a:graphic>
                </wp:anchor>
              </w:drawing>
            </w:r>
            <w:r w:rsidRPr="00CD1CF2">
              <w:rPr>
                <w:rFonts w:ascii="Times New Roman" w:eastAsia="Times New Roman" w:hAnsi="Times New Roman" w:cs="Times New Roman"/>
                <w:b/>
                <w:sz w:val="24"/>
                <w:szCs w:val="24"/>
                <w:lang w:val="ru-RU"/>
              </w:rPr>
              <w:t>МИНОБРНАУКИ РОССИИ</w:t>
            </w:r>
          </w:p>
          <w:p w:rsidR="00CD1CF2" w:rsidRPr="00CD1CF2" w:rsidRDefault="00CD1CF2" w:rsidP="004605F7">
            <w:pPr>
              <w:widowControl w:val="0"/>
              <w:spacing w:line="240" w:lineRule="auto"/>
              <w:jc w:val="center"/>
              <w:rPr>
                <w:rFonts w:ascii="Times New Roman" w:eastAsia="Times New Roman" w:hAnsi="Times New Roman" w:cs="Times New Roman"/>
                <w:bCs/>
                <w:sz w:val="24"/>
                <w:szCs w:val="24"/>
                <w:lang w:val="ru-RU"/>
              </w:rPr>
            </w:pPr>
            <w:r w:rsidRPr="00CD1CF2">
              <w:rPr>
                <w:rFonts w:ascii="Times New Roman" w:eastAsia="Times New Roman" w:hAnsi="Times New Roman" w:cs="Times New Roman"/>
                <w:bCs/>
                <w:sz w:val="24"/>
                <w:szCs w:val="24"/>
                <w:lang w:val="ru-RU"/>
              </w:rPr>
              <w:t>федеральное государственное бюджетное образовательное</w:t>
            </w:r>
          </w:p>
          <w:p w:rsidR="00CD1CF2" w:rsidRPr="00CD1CF2" w:rsidRDefault="00CD1CF2" w:rsidP="004605F7">
            <w:pPr>
              <w:spacing w:line="240" w:lineRule="auto"/>
              <w:jc w:val="center"/>
              <w:rPr>
                <w:rFonts w:ascii="Times New Roman" w:eastAsia="Times New Roman" w:hAnsi="Times New Roman" w:cs="Times New Roman"/>
                <w:sz w:val="24"/>
                <w:szCs w:val="24"/>
                <w:lang w:val="ru-RU"/>
              </w:rPr>
            </w:pPr>
            <w:r w:rsidRPr="00CD1CF2">
              <w:rPr>
                <w:rFonts w:ascii="Times New Roman" w:eastAsia="Times New Roman" w:hAnsi="Times New Roman" w:cs="Times New Roman"/>
                <w:sz w:val="24"/>
                <w:szCs w:val="24"/>
                <w:lang w:val="ru-RU"/>
              </w:rPr>
              <w:t>учреждение высшего образования</w:t>
            </w:r>
          </w:p>
          <w:p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r w:rsidRPr="00CD1CF2">
              <w:rPr>
                <w:rFonts w:ascii="Times New Roman" w:eastAsia="Times New Roman" w:hAnsi="Times New Roman" w:cs="Times New Roman"/>
                <w:b/>
                <w:sz w:val="24"/>
                <w:szCs w:val="24"/>
                <w:lang w:val="ru-RU"/>
              </w:rPr>
              <w:t>«Национальный исследовательский университет «МЭИ»</w:t>
            </w:r>
          </w:p>
          <w:p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p>
        </w:tc>
      </w:tr>
    </w:tbl>
    <w:p w:rsidR="00CD1CF2" w:rsidRPr="00CD1CF2" w:rsidRDefault="00CD1CF2" w:rsidP="00CD1CF2">
      <w:pPr>
        <w:spacing w:line="240" w:lineRule="auto"/>
        <w:jc w:val="center"/>
        <w:rPr>
          <w:rFonts w:ascii="Times New Roman" w:eastAsia="Times New Roman" w:hAnsi="Times New Roman" w:cs="Times New Roman"/>
          <w:sz w:val="20"/>
          <w:szCs w:val="20"/>
          <w:lang w:val="ru-RU"/>
        </w:rPr>
      </w:pPr>
    </w:p>
    <w:tbl>
      <w:tblPr>
        <w:tblW w:w="9322" w:type="dxa"/>
        <w:tblLook w:val="04A0" w:firstRow="1" w:lastRow="0" w:firstColumn="1" w:lastColumn="0" w:noHBand="0" w:noVBand="1"/>
      </w:tblPr>
      <w:tblGrid>
        <w:gridCol w:w="6180"/>
        <w:gridCol w:w="3142"/>
      </w:tblGrid>
      <w:tr w:rsidR="00CD1CF2" w:rsidRPr="00CD1CF2" w:rsidTr="004605F7">
        <w:trPr>
          <w:trHeight w:val="371"/>
        </w:trPr>
        <w:tc>
          <w:tcPr>
            <w:tcW w:w="6180" w:type="dxa"/>
          </w:tcPr>
          <w:p w:rsidR="00CD1CF2" w:rsidRPr="00CD1CF2" w:rsidRDefault="00CD1CF2" w:rsidP="004605F7">
            <w:pPr>
              <w:spacing w:line="240" w:lineRule="auto"/>
              <w:ind w:left="4820"/>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Институт</w:t>
            </w:r>
            <w:proofErr w:type="spellEnd"/>
          </w:p>
        </w:tc>
        <w:tc>
          <w:tcPr>
            <w:tcW w:w="3142" w:type="dxa"/>
            <w:tcBorders>
              <w:bottom w:val="single" w:sz="4" w:space="0" w:color="auto"/>
            </w:tcBorders>
          </w:tcPr>
          <w:p w:rsidR="00CD1CF2" w:rsidRPr="00CD1CF2" w:rsidRDefault="00CD1CF2" w:rsidP="004605F7">
            <w:pPr>
              <w:spacing w:line="240" w:lineRule="auto"/>
              <w:jc w:val="center"/>
              <w:rPr>
                <w:rFonts w:ascii="Times New Roman" w:eastAsia="Times New Roman" w:hAnsi="Times New Roman" w:cs="Times New Roman"/>
                <w:sz w:val="26"/>
                <w:szCs w:val="26"/>
              </w:rPr>
            </w:pPr>
            <w:proofErr w:type="spellStart"/>
            <w:r w:rsidRPr="00CD1CF2">
              <w:rPr>
                <w:rFonts w:ascii="Times New Roman" w:eastAsia="Times New Roman" w:hAnsi="Times New Roman" w:cs="Times New Roman"/>
                <w:sz w:val="26"/>
                <w:szCs w:val="26"/>
              </w:rPr>
              <w:t>ИнЭИ</w:t>
            </w:r>
            <w:proofErr w:type="spellEnd"/>
          </w:p>
        </w:tc>
      </w:tr>
      <w:tr w:rsidR="00CD1CF2" w:rsidRPr="00CD1CF2" w:rsidTr="004605F7">
        <w:trPr>
          <w:trHeight w:val="303"/>
        </w:trPr>
        <w:tc>
          <w:tcPr>
            <w:tcW w:w="6180" w:type="dxa"/>
          </w:tcPr>
          <w:p w:rsidR="00CD1CF2" w:rsidRPr="00CD1CF2" w:rsidRDefault="00CD1CF2" w:rsidP="004605F7">
            <w:pPr>
              <w:spacing w:line="240" w:lineRule="auto"/>
              <w:ind w:left="4820"/>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Кафедра</w:t>
            </w:r>
            <w:proofErr w:type="spellEnd"/>
          </w:p>
        </w:tc>
        <w:tc>
          <w:tcPr>
            <w:tcW w:w="3142" w:type="dxa"/>
            <w:tcBorders>
              <w:top w:val="single" w:sz="4" w:space="0" w:color="auto"/>
              <w:bottom w:val="single" w:sz="4" w:space="0" w:color="auto"/>
            </w:tcBorders>
          </w:tcPr>
          <w:p w:rsidR="00CD1CF2" w:rsidRPr="00CD1CF2" w:rsidRDefault="00CD1CF2" w:rsidP="004605F7">
            <w:pPr>
              <w:spacing w:line="240" w:lineRule="auto"/>
              <w:jc w:val="center"/>
              <w:rPr>
                <w:rFonts w:ascii="Times New Roman" w:eastAsia="Times New Roman" w:hAnsi="Times New Roman" w:cs="Times New Roman"/>
                <w:sz w:val="26"/>
                <w:szCs w:val="26"/>
              </w:rPr>
            </w:pPr>
            <w:r w:rsidRPr="00CD1CF2">
              <w:rPr>
                <w:rFonts w:ascii="Times New Roman" w:eastAsia="Times New Roman" w:hAnsi="Times New Roman" w:cs="Times New Roman"/>
                <w:sz w:val="26"/>
                <w:szCs w:val="26"/>
              </w:rPr>
              <w:t>ЭЭП</w:t>
            </w:r>
          </w:p>
        </w:tc>
      </w:tr>
    </w:tbl>
    <w:p w:rsidR="00CD1CF2" w:rsidRPr="00CD1CF2" w:rsidRDefault="00CD1CF2" w:rsidP="00CD1CF2">
      <w:pPr>
        <w:spacing w:line="240" w:lineRule="auto"/>
        <w:jc w:val="center"/>
        <w:rPr>
          <w:rFonts w:ascii="Times New Roman" w:eastAsia="Times New Roman" w:hAnsi="Times New Roman" w:cs="Times New Roman"/>
          <w:b/>
          <w:caps/>
          <w:sz w:val="26"/>
          <w:szCs w:val="26"/>
        </w:rPr>
      </w:pPr>
    </w:p>
    <w:p w:rsidR="00CD1CF2" w:rsidRPr="00CD1CF2" w:rsidRDefault="00CD1CF2" w:rsidP="00CD1CF2">
      <w:pPr>
        <w:spacing w:line="240" w:lineRule="auto"/>
        <w:jc w:val="center"/>
        <w:rPr>
          <w:rFonts w:ascii="Times New Roman" w:eastAsia="Times New Roman" w:hAnsi="Times New Roman" w:cs="Times New Roman"/>
          <w:b/>
          <w:caps/>
          <w:sz w:val="26"/>
          <w:szCs w:val="26"/>
        </w:rPr>
      </w:pPr>
      <w:r w:rsidRPr="00CD1CF2">
        <w:rPr>
          <w:rFonts w:ascii="Times New Roman" w:eastAsia="Times New Roman" w:hAnsi="Times New Roman" w:cs="Times New Roman"/>
          <w:b/>
          <w:caps/>
          <w:sz w:val="26"/>
          <w:szCs w:val="26"/>
        </w:rPr>
        <w:t>ВЫПУСКНАЯ КВАЛИФИКАЦИОННАЯ РАБОТА</w:t>
      </w:r>
    </w:p>
    <w:p w:rsidR="00CD1CF2" w:rsidRPr="00CD1CF2" w:rsidRDefault="00CD1CF2" w:rsidP="00CD1CF2">
      <w:pPr>
        <w:spacing w:after="120" w:line="240" w:lineRule="auto"/>
        <w:jc w:val="center"/>
        <w:rPr>
          <w:rFonts w:ascii="Times New Roman" w:eastAsia="Times New Roman" w:hAnsi="Times New Roman" w:cs="Times New Roman"/>
          <w:b/>
          <w:caps/>
          <w:sz w:val="26"/>
          <w:szCs w:val="26"/>
        </w:rPr>
      </w:pPr>
      <w:r w:rsidRPr="00CD1CF2">
        <w:rPr>
          <w:rFonts w:ascii="Times New Roman" w:eastAsia="Times New Roman" w:hAnsi="Times New Roman" w:cs="Times New Roman"/>
          <w:b/>
          <w:caps/>
          <w:sz w:val="26"/>
          <w:szCs w:val="26"/>
        </w:rPr>
        <w:t>(бакалаврская работа)</w:t>
      </w:r>
    </w:p>
    <w:tbl>
      <w:tblPr>
        <w:tblW w:w="9369" w:type="dxa"/>
        <w:tblLayout w:type="fixed"/>
        <w:tblLook w:val="04A0" w:firstRow="1" w:lastRow="0" w:firstColumn="1" w:lastColumn="0" w:noHBand="0" w:noVBand="1"/>
      </w:tblPr>
      <w:tblGrid>
        <w:gridCol w:w="984"/>
        <w:gridCol w:w="279"/>
        <w:gridCol w:w="30"/>
        <w:gridCol w:w="650"/>
        <w:gridCol w:w="29"/>
        <w:gridCol w:w="9"/>
        <w:gridCol w:w="137"/>
        <w:gridCol w:w="7"/>
        <w:gridCol w:w="272"/>
        <w:gridCol w:w="1007"/>
        <w:gridCol w:w="127"/>
        <w:gridCol w:w="142"/>
        <w:gridCol w:w="1415"/>
        <w:gridCol w:w="583"/>
        <w:gridCol w:w="1134"/>
        <w:gridCol w:w="2564"/>
      </w:tblGrid>
      <w:tr w:rsidR="00CD1CF2" w:rsidRPr="00CD1CF2" w:rsidTr="004605F7">
        <w:trPr>
          <w:trHeight w:val="292"/>
        </w:trPr>
        <w:tc>
          <w:tcPr>
            <w:tcW w:w="1943" w:type="dxa"/>
            <w:gridSpan w:val="4"/>
            <w:tcBorders>
              <w:bottom w:val="single" w:sz="4" w:space="0" w:color="auto"/>
            </w:tcBorders>
            <w:vAlign w:val="bottom"/>
          </w:tcPr>
          <w:p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Направление</w:t>
            </w:r>
            <w:proofErr w:type="spellEnd"/>
          </w:p>
        </w:tc>
        <w:tc>
          <w:tcPr>
            <w:tcW w:w="7426" w:type="dxa"/>
            <w:gridSpan w:val="12"/>
            <w:tcBorders>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sz w:val="26"/>
                <w:szCs w:val="26"/>
              </w:rPr>
            </w:pPr>
            <w:r w:rsidRPr="00CD1CF2">
              <w:rPr>
                <w:rFonts w:ascii="Times New Roman" w:eastAsia="Times New Roman" w:hAnsi="Times New Roman" w:cs="Times New Roman"/>
                <w:noProof/>
                <w:sz w:val="26"/>
                <w:szCs w:val="26"/>
              </w:rPr>
              <w:t>38.03.01 Экономика</w:t>
            </w:r>
          </w:p>
        </w:tc>
      </w:tr>
      <w:tr w:rsidR="00CD1CF2" w:rsidRPr="0048431F" w:rsidTr="004605F7">
        <w:trPr>
          <w:trHeight w:val="283"/>
        </w:trPr>
        <w:tc>
          <w:tcPr>
            <w:tcW w:w="1972" w:type="dxa"/>
            <w:gridSpan w:val="5"/>
            <w:tcBorders>
              <w:top w:val="single" w:sz="4" w:space="0" w:color="auto"/>
            </w:tcBorders>
            <w:vAlign w:val="bottom"/>
          </w:tcPr>
          <w:p w:rsidR="00CD1CF2" w:rsidRPr="0048431F" w:rsidRDefault="00CD1CF2" w:rsidP="004605F7">
            <w:pPr>
              <w:spacing w:line="240" w:lineRule="auto"/>
              <w:rPr>
                <w:rFonts w:ascii="Times New Roman" w:eastAsia="Times New Roman" w:hAnsi="Times New Roman" w:cs="Times New Roman"/>
                <w:strike/>
                <w:sz w:val="20"/>
                <w:szCs w:val="20"/>
              </w:rPr>
            </w:pPr>
          </w:p>
        </w:tc>
        <w:tc>
          <w:tcPr>
            <w:tcW w:w="7397" w:type="dxa"/>
            <w:gridSpan w:val="11"/>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trike/>
                <w:sz w:val="20"/>
                <w:szCs w:val="20"/>
              </w:rPr>
            </w:pPr>
            <w:r w:rsidRPr="0048431F">
              <w:rPr>
                <w:rFonts w:ascii="Times New Roman" w:eastAsia="Times New Roman" w:hAnsi="Times New Roman" w:cs="Times New Roman"/>
                <w:sz w:val="20"/>
                <w:szCs w:val="20"/>
              </w:rPr>
              <w:t>(</w:t>
            </w:r>
            <w:proofErr w:type="spellStart"/>
            <w:r w:rsidRPr="0048431F">
              <w:rPr>
                <w:rFonts w:ascii="Times New Roman" w:eastAsia="Times New Roman" w:hAnsi="Times New Roman" w:cs="Times New Roman"/>
                <w:sz w:val="20"/>
                <w:szCs w:val="20"/>
              </w:rPr>
              <w:t>код</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наименование</w:t>
            </w:r>
            <w:proofErr w:type="spellEnd"/>
            <w:r w:rsidRPr="0048431F">
              <w:rPr>
                <w:rFonts w:ascii="Times New Roman" w:eastAsia="Times New Roman" w:hAnsi="Times New Roman" w:cs="Times New Roman"/>
                <w:sz w:val="20"/>
                <w:szCs w:val="20"/>
              </w:rPr>
              <w:t>)</w:t>
            </w:r>
          </w:p>
        </w:tc>
      </w:tr>
      <w:tr w:rsidR="00CD1CF2" w:rsidRPr="0048431F" w:rsidTr="004605F7">
        <w:trPr>
          <w:trHeight w:val="331"/>
        </w:trPr>
        <w:tc>
          <w:tcPr>
            <w:tcW w:w="3404" w:type="dxa"/>
            <w:gridSpan w:val="10"/>
            <w:tcBorders>
              <w:bottom w:val="single" w:sz="4" w:space="0" w:color="auto"/>
            </w:tcBorders>
            <w:vAlign w:val="bottom"/>
          </w:tcPr>
          <w:p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Образовательная</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программа</w:t>
            </w:r>
            <w:proofErr w:type="spellEnd"/>
          </w:p>
        </w:tc>
        <w:tc>
          <w:tcPr>
            <w:tcW w:w="5965" w:type="dxa"/>
            <w:gridSpan w:val="6"/>
            <w:tcBorders>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b/>
                <w:sz w:val="26"/>
                <w:szCs w:val="26"/>
              </w:rPr>
            </w:pPr>
            <w:r w:rsidRPr="00CD1CF2">
              <w:rPr>
                <w:rFonts w:ascii="Times New Roman" w:eastAsia="Times New Roman" w:hAnsi="Times New Roman" w:cs="Times New Roman"/>
                <w:noProof/>
                <w:sz w:val="26"/>
                <w:szCs w:val="26"/>
              </w:rPr>
              <w:t>Корпоративные финансы</w:t>
            </w:r>
          </w:p>
        </w:tc>
      </w:tr>
      <w:tr w:rsidR="00CD1CF2" w:rsidRPr="0048431F" w:rsidTr="004605F7">
        <w:trPr>
          <w:trHeight w:val="510"/>
        </w:trPr>
        <w:tc>
          <w:tcPr>
            <w:tcW w:w="2397" w:type="dxa"/>
            <w:gridSpan w:val="9"/>
            <w:tcBorders>
              <w:top w:val="single" w:sz="4" w:space="0" w:color="auto"/>
              <w:bottom w:val="single" w:sz="4" w:space="0" w:color="auto"/>
            </w:tcBorders>
            <w:vAlign w:val="bottom"/>
          </w:tcPr>
          <w:p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Форма</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обучения</w:t>
            </w:r>
            <w:proofErr w:type="spellEnd"/>
          </w:p>
        </w:tc>
        <w:tc>
          <w:tcPr>
            <w:tcW w:w="6972" w:type="dxa"/>
            <w:gridSpan w:val="7"/>
            <w:tcBorders>
              <w:top w:val="single" w:sz="4" w:space="0" w:color="auto"/>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b/>
                <w:sz w:val="26"/>
                <w:szCs w:val="26"/>
              </w:rPr>
            </w:pPr>
            <w:r w:rsidRPr="00CD1CF2">
              <w:rPr>
                <w:rFonts w:ascii="Times New Roman" w:eastAsia="Times New Roman" w:hAnsi="Times New Roman" w:cs="Times New Roman"/>
                <w:noProof/>
                <w:sz w:val="26"/>
                <w:szCs w:val="26"/>
              </w:rPr>
              <w:t>очная</w:t>
            </w:r>
          </w:p>
        </w:tc>
      </w:tr>
      <w:tr w:rsidR="00CD1CF2" w:rsidRPr="0048431F" w:rsidTr="004605F7">
        <w:trPr>
          <w:trHeight w:val="283"/>
        </w:trPr>
        <w:tc>
          <w:tcPr>
            <w:tcW w:w="2397" w:type="dxa"/>
            <w:gridSpan w:val="9"/>
            <w:tcBorders>
              <w:top w:val="single" w:sz="4" w:space="0" w:color="auto"/>
            </w:tcBorders>
          </w:tcPr>
          <w:p w:rsidR="00CD1CF2" w:rsidRPr="0048431F" w:rsidRDefault="00CD1CF2" w:rsidP="004605F7">
            <w:pPr>
              <w:spacing w:line="240" w:lineRule="auto"/>
              <w:rPr>
                <w:rFonts w:ascii="Times New Roman" w:eastAsia="Times New Roman" w:hAnsi="Times New Roman" w:cs="Times New Roman"/>
                <w:b/>
                <w:sz w:val="28"/>
                <w:szCs w:val="28"/>
              </w:rPr>
            </w:pPr>
          </w:p>
        </w:tc>
        <w:tc>
          <w:tcPr>
            <w:tcW w:w="6972" w:type="dxa"/>
            <w:gridSpan w:val="7"/>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w:t>
            </w:r>
            <w:proofErr w:type="spellStart"/>
            <w:r w:rsidRPr="0048431F">
              <w:rPr>
                <w:rFonts w:ascii="Times New Roman" w:eastAsia="Times New Roman" w:hAnsi="Times New Roman" w:cs="Times New Roman"/>
                <w:sz w:val="20"/>
                <w:szCs w:val="20"/>
              </w:rPr>
              <w:t>очная</w:t>
            </w:r>
            <w:proofErr w:type="spellEnd"/>
            <w:r w:rsidRPr="0048431F">
              <w:rPr>
                <w:rFonts w:ascii="Times New Roman" w:eastAsia="Times New Roman" w:hAnsi="Times New Roman" w:cs="Times New Roman"/>
                <w:sz w:val="20"/>
                <w:szCs w:val="20"/>
                <w:lang w:val="en-US"/>
              </w:rPr>
              <w:t>/</w:t>
            </w:r>
            <w:proofErr w:type="spellStart"/>
            <w:r w:rsidRPr="0048431F">
              <w:rPr>
                <w:rFonts w:ascii="Times New Roman" w:eastAsia="Times New Roman" w:hAnsi="Times New Roman" w:cs="Times New Roman"/>
                <w:sz w:val="20"/>
                <w:szCs w:val="20"/>
              </w:rPr>
              <w:t>очно-заочная</w:t>
            </w:r>
            <w:proofErr w:type="spellEnd"/>
            <w:r w:rsidRPr="0048431F">
              <w:rPr>
                <w:rFonts w:ascii="Times New Roman" w:eastAsia="Times New Roman" w:hAnsi="Times New Roman" w:cs="Times New Roman"/>
                <w:sz w:val="20"/>
                <w:szCs w:val="20"/>
                <w:lang w:val="en-US"/>
              </w:rPr>
              <w:t>/</w:t>
            </w:r>
            <w:proofErr w:type="spellStart"/>
            <w:r w:rsidRPr="0048431F">
              <w:rPr>
                <w:rFonts w:ascii="Times New Roman" w:eastAsia="Times New Roman" w:hAnsi="Times New Roman" w:cs="Times New Roman"/>
                <w:sz w:val="20"/>
                <w:szCs w:val="20"/>
              </w:rPr>
              <w:t>заочная</w:t>
            </w:r>
            <w:proofErr w:type="spellEnd"/>
            <w:r w:rsidRPr="0048431F">
              <w:rPr>
                <w:rFonts w:ascii="Times New Roman" w:eastAsia="Times New Roman" w:hAnsi="Times New Roman" w:cs="Times New Roman"/>
                <w:sz w:val="20"/>
                <w:szCs w:val="20"/>
              </w:rPr>
              <w:t>)</w:t>
            </w:r>
          </w:p>
        </w:tc>
      </w:tr>
      <w:tr w:rsidR="00CD1CF2" w:rsidRPr="00E2290B" w:rsidTr="004605F7">
        <w:trPr>
          <w:trHeight w:val="283"/>
        </w:trPr>
        <w:tc>
          <w:tcPr>
            <w:tcW w:w="984" w:type="dxa"/>
            <w:tcBorders>
              <w:bottom w:val="single" w:sz="4" w:space="0" w:color="auto"/>
            </w:tcBorders>
            <w:vAlign w:val="bottom"/>
          </w:tcPr>
          <w:p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Тема</w:t>
            </w:r>
            <w:proofErr w:type="spellEnd"/>
            <w:r w:rsidRPr="00CD1CF2">
              <w:rPr>
                <w:rFonts w:ascii="Times New Roman" w:eastAsia="Times New Roman" w:hAnsi="Times New Roman" w:cs="Times New Roman"/>
                <w:b/>
                <w:sz w:val="26"/>
                <w:szCs w:val="26"/>
              </w:rPr>
              <w:t>:</w:t>
            </w:r>
          </w:p>
        </w:tc>
        <w:tc>
          <w:tcPr>
            <w:tcW w:w="8385" w:type="dxa"/>
            <w:gridSpan w:val="15"/>
            <w:tcBorders>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b/>
                <w:sz w:val="26"/>
                <w:szCs w:val="26"/>
                <w:lang w:val="ru-RU"/>
              </w:rPr>
            </w:pPr>
            <w:r w:rsidRPr="00CD1CF2">
              <w:rPr>
                <w:rFonts w:ascii="Times New Roman" w:eastAsia="Times New Roman" w:hAnsi="Times New Roman" w:cs="Times New Roman"/>
                <w:noProof/>
                <w:sz w:val="26"/>
                <w:szCs w:val="26"/>
                <w:lang w:val="ru-RU"/>
              </w:rPr>
              <w:t>Оценка состава</w:t>
            </w:r>
            <w:r w:rsidR="00E2290B">
              <w:rPr>
                <w:rFonts w:ascii="Times New Roman" w:eastAsia="Times New Roman" w:hAnsi="Times New Roman" w:cs="Times New Roman"/>
                <w:noProof/>
                <w:sz w:val="26"/>
                <w:szCs w:val="26"/>
                <w:lang w:val="ru-RU"/>
              </w:rPr>
              <w:t xml:space="preserve"> и качества</w:t>
            </w:r>
            <w:r w:rsidRPr="00CD1CF2">
              <w:rPr>
                <w:rFonts w:ascii="Times New Roman" w:eastAsia="Times New Roman" w:hAnsi="Times New Roman" w:cs="Times New Roman"/>
                <w:noProof/>
                <w:sz w:val="26"/>
                <w:szCs w:val="26"/>
                <w:lang w:val="ru-RU"/>
              </w:rPr>
              <w:t xml:space="preserve"> инвестиционного портфеля ОПИФ РФИ "ВИМ - Металлургия" и разработка рекомендаций по его оптимизации</w:t>
            </w:r>
          </w:p>
        </w:tc>
      </w:tr>
      <w:tr w:rsidR="00CD1CF2" w:rsidRPr="0048431F" w:rsidTr="004605F7">
        <w:trPr>
          <w:trHeight w:val="624"/>
        </w:trPr>
        <w:tc>
          <w:tcPr>
            <w:tcW w:w="1293" w:type="dxa"/>
            <w:gridSpan w:val="3"/>
            <w:tcBorders>
              <w:top w:val="single" w:sz="4" w:space="0" w:color="auto"/>
              <w:bottom w:val="single" w:sz="4" w:space="0" w:color="auto"/>
            </w:tcBorders>
            <w:vAlign w:val="bottom"/>
          </w:tcPr>
          <w:p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Студент</w:t>
            </w:r>
            <w:proofErr w:type="spellEnd"/>
          </w:p>
        </w:tc>
        <w:tc>
          <w:tcPr>
            <w:tcW w:w="2238" w:type="dxa"/>
            <w:gridSpan w:val="8"/>
            <w:tcBorders>
              <w:top w:val="single" w:sz="4" w:space="0" w:color="auto"/>
              <w:bottom w:val="single" w:sz="4" w:space="0" w:color="auto"/>
            </w:tcBorders>
            <w:vAlign w:val="bottom"/>
          </w:tcPr>
          <w:p w:rsidR="00CD1CF2" w:rsidRPr="00A30C68" w:rsidRDefault="00A30C68" w:rsidP="004605F7">
            <w:pPr>
              <w:spacing w:line="240" w:lineRule="auto"/>
              <w:jc w:val="center"/>
              <w:rPr>
                <w:rFonts w:ascii="Times New Roman" w:eastAsia="Times New Roman" w:hAnsi="Times New Roman" w:cs="Times New Roman"/>
                <w:b/>
                <w:sz w:val="26"/>
                <w:szCs w:val="26"/>
                <w:lang w:val="ru-RU"/>
              </w:rPr>
            </w:pPr>
            <w:r>
              <w:rPr>
                <w:rFonts w:ascii="Times New Roman" w:eastAsia="Times New Roman" w:hAnsi="Times New Roman" w:cs="Times New Roman"/>
                <w:b/>
                <w:sz w:val="26"/>
                <w:szCs w:val="26"/>
                <w:lang w:val="ru-RU"/>
              </w:rPr>
              <w:t>ИЭ-22а-22</w:t>
            </w:r>
          </w:p>
        </w:tc>
        <w:tc>
          <w:tcPr>
            <w:tcW w:w="2140" w:type="dxa"/>
            <w:gridSpan w:val="3"/>
            <w:tcBorders>
              <w:top w:val="single" w:sz="4" w:space="0" w:color="auto"/>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b/>
                <w:sz w:val="26"/>
                <w:szCs w:val="26"/>
              </w:rPr>
            </w:pPr>
          </w:p>
        </w:tc>
        <w:tc>
          <w:tcPr>
            <w:tcW w:w="3698" w:type="dxa"/>
            <w:gridSpan w:val="2"/>
            <w:tcBorders>
              <w:top w:val="single" w:sz="4" w:space="0" w:color="auto"/>
              <w:bottom w:val="single" w:sz="4" w:space="0" w:color="auto"/>
            </w:tcBorders>
            <w:vAlign w:val="bottom"/>
          </w:tcPr>
          <w:p w:rsidR="00CD1CF2" w:rsidRPr="00CD1CF2" w:rsidRDefault="00A30C68" w:rsidP="004605F7">
            <w:pPr>
              <w:spacing w:line="240" w:lineRule="auto"/>
              <w:jc w:val="center"/>
              <w:rPr>
                <w:rFonts w:ascii="Times New Roman" w:eastAsia="Times New Roman" w:hAnsi="Times New Roman" w:cs="Times New Roman"/>
                <w:sz w:val="26"/>
                <w:szCs w:val="26"/>
                <w:lang w:val="ru-RU"/>
              </w:rPr>
            </w:pPr>
            <w:r>
              <w:rPr>
                <w:rFonts w:ascii="Times New Roman" w:eastAsia="Times New Roman" w:hAnsi="Times New Roman" w:cs="Times New Roman"/>
                <w:sz w:val="26"/>
                <w:szCs w:val="26"/>
                <w:lang w:val="ru-RU"/>
              </w:rPr>
              <w:t>Колпаков А.П.</w:t>
            </w:r>
          </w:p>
        </w:tc>
      </w:tr>
      <w:tr w:rsidR="00CD1CF2" w:rsidRPr="0048431F" w:rsidTr="004605F7">
        <w:trPr>
          <w:trHeight w:val="283"/>
        </w:trPr>
        <w:tc>
          <w:tcPr>
            <w:tcW w:w="1263" w:type="dxa"/>
            <w:gridSpan w:val="2"/>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2268" w:type="dxa"/>
            <w:gridSpan w:val="9"/>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группа</w:t>
            </w:r>
            <w:proofErr w:type="spellEnd"/>
          </w:p>
        </w:tc>
        <w:tc>
          <w:tcPr>
            <w:tcW w:w="2140" w:type="dxa"/>
            <w:gridSpan w:val="3"/>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подпись</w:t>
            </w:r>
            <w:proofErr w:type="spellEnd"/>
          </w:p>
        </w:tc>
        <w:tc>
          <w:tcPr>
            <w:tcW w:w="3698" w:type="dxa"/>
            <w:gridSpan w:val="2"/>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A30C68" w:rsidTr="004605F7">
        <w:trPr>
          <w:trHeight w:val="624"/>
        </w:trPr>
        <w:tc>
          <w:tcPr>
            <w:tcW w:w="2125" w:type="dxa"/>
            <w:gridSpan w:val="8"/>
            <w:tcBorders>
              <w:bottom w:val="single" w:sz="4" w:space="0" w:color="auto"/>
            </w:tcBorders>
            <w:vAlign w:val="bottom"/>
          </w:tcPr>
          <w:p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Руководитель</w:t>
            </w:r>
            <w:proofErr w:type="spellEnd"/>
            <w:r w:rsidRPr="00CD1CF2">
              <w:rPr>
                <w:rFonts w:ascii="Times New Roman" w:eastAsia="Times New Roman" w:hAnsi="Times New Roman" w:cs="Times New Roman"/>
                <w:b/>
                <w:sz w:val="26"/>
                <w:szCs w:val="26"/>
              </w:rPr>
              <w:t xml:space="preserve"> ВКР</w:t>
            </w:r>
          </w:p>
        </w:tc>
        <w:tc>
          <w:tcPr>
            <w:tcW w:w="1279" w:type="dxa"/>
            <w:gridSpan w:val="2"/>
            <w:tcBorders>
              <w:bottom w:val="single" w:sz="4" w:space="0" w:color="auto"/>
            </w:tcBorders>
            <w:vAlign w:val="bottom"/>
          </w:tcPr>
          <w:p w:rsidR="00CD1CF2" w:rsidRPr="00A30C68" w:rsidRDefault="00CD1CF2" w:rsidP="004605F7">
            <w:pPr>
              <w:spacing w:line="240" w:lineRule="auto"/>
              <w:jc w:val="center"/>
              <w:rPr>
                <w:rFonts w:ascii="Times New Roman" w:eastAsia="Times New Roman" w:hAnsi="Times New Roman" w:cs="Times New Roman"/>
                <w:noProof/>
                <w:sz w:val="26"/>
                <w:szCs w:val="26"/>
                <w:lang w:val="ru-RU"/>
              </w:rPr>
            </w:pPr>
          </w:p>
        </w:tc>
        <w:tc>
          <w:tcPr>
            <w:tcW w:w="2267" w:type="dxa"/>
            <w:gridSpan w:val="4"/>
            <w:tcBorders>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noProof/>
                <w:sz w:val="26"/>
                <w:szCs w:val="26"/>
              </w:rPr>
            </w:pPr>
          </w:p>
        </w:tc>
        <w:tc>
          <w:tcPr>
            <w:tcW w:w="1134" w:type="dxa"/>
            <w:tcBorders>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noProof/>
                <w:sz w:val="26"/>
                <w:szCs w:val="26"/>
              </w:rPr>
            </w:pPr>
          </w:p>
        </w:tc>
        <w:tc>
          <w:tcPr>
            <w:tcW w:w="2564" w:type="dxa"/>
            <w:tcBorders>
              <w:bottom w:val="single" w:sz="4" w:space="0" w:color="auto"/>
            </w:tcBorders>
            <w:vAlign w:val="bottom"/>
          </w:tcPr>
          <w:p w:rsidR="00CD1CF2" w:rsidRPr="00CD1CF2" w:rsidRDefault="00A30C68" w:rsidP="004605F7">
            <w:pPr>
              <w:spacing w:line="240" w:lineRule="auto"/>
              <w:jc w:val="center"/>
              <w:rPr>
                <w:rFonts w:ascii="Times New Roman" w:eastAsia="Times New Roman" w:hAnsi="Times New Roman" w:cs="Times New Roman"/>
                <w:noProof/>
                <w:sz w:val="26"/>
                <w:szCs w:val="26"/>
                <w:lang w:val="ru-RU"/>
              </w:rPr>
            </w:pPr>
            <w:r>
              <w:rPr>
                <w:rFonts w:ascii="Times New Roman" w:eastAsia="Times New Roman" w:hAnsi="Times New Roman" w:cs="Times New Roman"/>
                <w:noProof/>
                <w:sz w:val="26"/>
                <w:szCs w:val="26"/>
                <w:lang w:val="ru-RU"/>
              </w:rPr>
              <w:t>Ларина И.Е.</w:t>
            </w:r>
          </w:p>
        </w:tc>
      </w:tr>
      <w:tr w:rsidR="00CD1CF2" w:rsidRPr="00A30C68" w:rsidTr="004605F7">
        <w:trPr>
          <w:trHeight w:val="283"/>
        </w:trPr>
        <w:tc>
          <w:tcPr>
            <w:tcW w:w="2125" w:type="dxa"/>
            <w:gridSpan w:val="8"/>
            <w:tcBorders>
              <w:top w:val="single" w:sz="4" w:space="0" w:color="auto"/>
            </w:tcBorders>
          </w:tcPr>
          <w:p w:rsidR="00CD1CF2" w:rsidRPr="00A30C68" w:rsidRDefault="00CD1CF2" w:rsidP="004605F7">
            <w:pPr>
              <w:spacing w:line="240" w:lineRule="auto"/>
              <w:jc w:val="center"/>
              <w:rPr>
                <w:rFonts w:ascii="Times New Roman" w:eastAsia="Times New Roman" w:hAnsi="Times New Roman" w:cs="Times New Roman"/>
                <w:sz w:val="20"/>
                <w:szCs w:val="20"/>
                <w:lang w:val="ru-RU"/>
              </w:rPr>
            </w:pPr>
          </w:p>
        </w:tc>
        <w:tc>
          <w:tcPr>
            <w:tcW w:w="1279" w:type="dxa"/>
            <w:gridSpan w:val="2"/>
            <w:tcBorders>
              <w:top w:val="single" w:sz="4" w:space="0" w:color="auto"/>
            </w:tcBorders>
          </w:tcPr>
          <w:p w:rsidR="00CD1CF2" w:rsidRPr="00A30C68" w:rsidRDefault="00CD1CF2" w:rsidP="004605F7">
            <w:pPr>
              <w:spacing w:line="240" w:lineRule="auto"/>
              <w:jc w:val="center"/>
              <w:rPr>
                <w:rFonts w:ascii="Times New Roman" w:eastAsia="Times New Roman" w:hAnsi="Times New Roman" w:cs="Times New Roman"/>
                <w:sz w:val="20"/>
                <w:szCs w:val="20"/>
                <w:lang w:val="ru-RU"/>
              </w:rPr>
            </w:pPr>
            <w:r w:rsidRPr="00A30C68">
              <w:rPr>
                <w:rFonts w:ascii="Times New Roman" w:eastAsia="Times New Roman" w:hAnsi="Times New Roman" w:cs="Times New Roman"/>
                <w:sz w:val="20"/>
                <w:szCs w:val="20"/>
                <w:lang w:val="ru-RU"/>
              </w:rPr>
              <w:t>уч. степень</w:t>
            </w:r>
          </w:p>
        </w:tc>
        <w:tc>
          <w:tcPr>
            <w:tcW w:w="2267" w:type="dxa"/>
            <w:gridSpan w:val="4"/>
            <w:tcBorders>
              <w:top w:val="single" w:sz="4" w:space="0" w:color="auto"/>
            </w:tcBorders>
          </w:tcPr>
          <w:p w:rsidR="00CD1CF2" w:rsidRPr="00A30C68" w:rsidRDefault="00CD1CF2" w:rsidP="004605F7">
            <w:pPr>
              <w:spacing w:line="240" w:lineRule="auto"/>
              <w:jc w:val="center"/>
              <w:rPr>
                <w:rFonts w:ascii="Times New Roman" w:eastAsia="Times New Roman" w:hAnsi="Times New Roman" w:cs="Times New Roman"/>
                <w:sz w:val="20"/>
                <w:szCs w:val="20"/>
                <w:lang w:val="ru-RU"/>
              </w:rPr>
            </w:pPr>
            <w:r w:rsidRPr="00A30C68">
              <w:rPr>
                <w:rFonts w:ascii="Times New Roman" w:eastAsia="Times New Roman" w:hAnsi="Times New Roman" w:cs="Times New Roman"/>
                <w:sz w:val="20"/>
                <w:szCs w:val="20"/>
                <w:lang w:val="ru-RU"/>
              </w:rPr>
              <w:t>должность</w:t>
            </w:r>
          </w:p>
        </w:tc>
        <w:tc>
          <w:tcPr>
            <w:tcW w:w="1134" w:type="dxa"/>
            <w:tcBorders>
              <w:top w:val="single" w:sz="4" w:space="0" w:color="auto"/>
            </w:tcBorders>
          </w:tcPr>
          <w:p w:rsidR="00CD1CF2" w:rsidRPr="00A30C68" w:rsidRDefault="00CD1CF2" w:rsidP="004605F7">
            <w:pPr>
              <w:spacing w:line="240" w:lineRule="auto"/>
              <w:jc w:val="center"/>
              <w:rPr>
                <w:rFonts w:ascii="Times New Roman" w:eastAsia="Times New Roman" w:hAnsi="Times New Roman" w:cs="Times New Roman"/>
                <w:sz w:val="20"/>
                <w:szCs w:val="20"/>
                <w:lang w:val="ru-RU"/>
              </w:rPr>
            </w:pPr>
            <w:r w:rsidRPr="00A30C68">
              <w:rPr>
                <w:rFonts w:ascii="Times New Roman" w:eastAsia="Times New Roman" w:hAnsi="Times New Roman" w:cs="Times New Roman"/>
                <w:sz w:val="20"/>
                <w:szCs w:val="20"/>
                <w:lang w:val="ru-RU"/>
              </w:rPr>
              <w:t>подпись</w:t>
            </w:r>
          </w:p>
        </w:tc>
        <w:tc>
          <w:tcPr>
            <w:tcW w:w="2564" w:type="dxa"/>
            <w:tcBorders>
              <w:top w:val="single" w:sz="4" w:space="0" w:color="auto"/>
            </w:tcBorders>
          </w:tcPr>
          <w:p w:rsidR="00CD1CF2" w:rsidRPr="00A30C68" w:rsidRDefault="00CD1CF2" w:rsidP="004605F7">
            <w:pPr>
              <w:spacing w:line="240" w:lineRule="auto"/>
              <w:jc w:val="center"/>
              <w:rPr>
                <w:rFonts w:ascii="Times New Roman" w:eastAsia="Times New Roman" w:hAnsi="Times New Roman" w:cs="Times New Roman"/>
                <w:sz w:val="20"/>
                <w:szCs w:val="20"/>
                <w:lang w:val="ru-RU"/>
              </w:rPr>
            </w:pPr>
            <w:r w:rsidRPr="00A30C68">
              <w:rPr>
                <w:rFonts w:ascii="Times New Roman" w:eastAsia="Times New Roman" w:hAnsi="Times New Roman" w:cs="Times New Roman"/>
                <w:sz w:val="20"/>
                <w:szCs w:val="20"/>
                <w:lang w:val="ru-RU"/>
              </w:rPr>
              <w:t>фамилия и инициалы</w:t>
            </w:r>
          </w:p>
        </w:tc>
      </w:tr>
      <w:tr w:rsidR="00CD1CF2" w:rsidRPr="00A30C68" w:rsidTr="004605F7">
        <w:trPr>
          <w:trHeight w:val="624"/>
        </w:trPr>
        <w:tc>
          <w:tcPr>
            <w:tcW w:w="2118" w:type="dxa"/>
            <w:gridSpan w:val="7"/>
            <w:tcBorders>
              <w:bottom w:val="single" w:sz="4" w:space="0" w:color="auto"/>
            </w:tcBorders>
            <w:vAlign w:val="bottom"/>
          </w:tcPr>
          <w:p w:rsidR="00CD1CF2" w:rsidRPr="00A30C68" w:rsidRDefault="00CD1CF2" w:rsidP="004605F7">
            <w:pPr>
              <w:spacing w:line="240" w:lineRule="auto"/>
              <w:rPr>
                <w:rFonts w:ascii="Times New Roman" w:eastAsia="Times New Roman" w:hAnsi="Times New Roman" w:cs="Times New Roman"/>
                <w:sz w:val="26"/>
                <w:szCs w:val="26"/>
                <w:lang w:val="ru-RU"/>
              </w:rPr>
            </w:pPr>
            <w:r w:rsidRPr="00A30C68">
              <w:rPr>
                <w:rFonts w:ascii="Times New Roman" w:eastAsia="Times New Roman" w:hAnsi="Times New Roman" w:cs="Times New Roman"/>
                <w:b/>
                <w:sz w:val="26"/>
                <w:szCs w:val="26"/>
                <w:lang w:val="ru-RU"/>
              </w:rPr>
              <w:t>Консультант</w:t>
            </w:r>
          </w:p>
        </w:tc>
        <w:tc>
          <w:tcPr>
            <w:tcW w:w="1286" w:type="dxa"/>
            <w:gridSpan w:val="3"/>
            <w:tcBorders>
              <w:bottom w:val="single" w:sz="4" w:space="0" w:color="auto"/>
            </w:tcBorders>
            <w:vAlign w:val="bottom"/>
          </w:tcPr>
          <w:p w:rsidR="00CD1CF2" w:rsidRPr="00A30C68" w:rsidRDefault="00CD1CF2" w:rsidP="004605F7">
            <w:pPr>
              <w:spacing w:line="240" w:lineRule="auto"/>
              <w:jc w:val="center"/>
              <w:rPr>
                <w:rFonts w:ascii="Times New Roman" w:eastAsia="Times New Roman" w:hAnsi="Times New Roman" w:cs="Times New Roman"/>
                <w:noProof/>
                <w:sz w:val="28"/>
                <w:szCs w:val="28"/>
                <w:lang w:val="ru-RU"/>
              </w:rPr>
            </w:pPr>
          </w:p>
        </w:tc>
        <w:tc>
          <w:tcPr>
            <w:tcW w:w="2267" w:type="dxa"/>
            <w:gridSpan w:val="4"/>
            <w:tcBorders>
              <w:bottom w:val="single" w:sz="4" w:space="0" w:color="auto"/>
            </w:tcBorders>
            <w:vAlign w:val="bottom"/>
          </w:tcPr>
          <w:p w:rsidR="00CD1CF2" w:rsidRPr="00A30C68" w:rsidRDefault="00CD1CF2" w:rsidP="004605F7">
            <w:pPr>
              <w:spacing w:line="240" w:lineRule="auto"/>
              <w:jc w:val="center"/>
              <w:rPr>
                <w:rFonts w:ascii="Times New Roman" w:eastAsia="Times New Roman" w:hAnsi="Times New Roman" w:cs="Times New Roman"/>
                <w:noProof/>
                <w:sz w:val="28"/>
                <w:szCs w:val="28"/>
                <w:lang w:val="ru-RU"/>
              </w:rPr>
            </w:pPr>
          </w:p>
        </w:tc>
        <w:tc>
          <w:tcPr>
            <w:tcW w:w="1134" w:type="dxa"/>
            <w:tcBorders>
              <w:bottom w:val="single" w:sz="4" w:space="0" w:color="auto"/>
            </w:tcBorders>
            <w:vAlign w:val="bottom"/>
          </w:tcPr>
          <w:p w:rsidR="00CD1CF2" w:rsidRPr="00A30C68" w:rsidRDefault="00CD1CF2" w:rsidP="004605F7">
            <w:pPr>
              <w:spacing w:line="240" w:lineRule="auto"/>
              <w:jc w:val="center"/>
              <w:rPr>
                <w:rFonts w:ascii="Times New Roman" w:eastAsia="Times New Roman" w:hAnsi="Times New Roman" w:cs="Times New Roman"/>
                <w:noProof/>
                <w:sz w:val="28"/>
                <w:szCs w:val="28"/>
                <w:lang w:val="ru-RU"/>
              </w:rPr>
            </w:pPr>
          </w:p>
        </w:tc>
        <w:tc>
          <w:tcPr>
            <w:tcW w:w="2564" w:type="dxa"/>
            <w:tcBorders>
              <w:bottom w:val="single" w:sz="4" w:space="0" w:color="auto"/>
            </w:tcBorders>
            <w:vAlign w:val="bottom"/>
          </w:tcPr>
          <w:p w:rsidR="00CD1CF2" w:rsidRPr="00A30C68" w:rsidRDefault="00CD1CF2" w:rsidP="004605F7">
            <w:pPr>
              <w:spacing w:line="240" w:lineRule="auto"/>
              <w:jc w:val="center"/>
              <w:rPr>
                <w:rFonts w:ascii="Times New Roman" w:eastAsia="Times New Roman" w:hAnsi="Times New Roman" w:cs="Times New Roman"/>
                <w:noProof/>
                <w:sz w:val="28"/>
                <w:szCs w:val="28"/>
                <w:lang w:val="ru-RU"/>
              </w:rPr>
            </w:pPr>
          </w:p>
        </w:tc>
      </w:tr>
      <w:tr w:rsidR="00CD1CF2" w:rsidRPr="00A30C68" w:rsidTr="004605F7">
        <w:trPr>
          <w:trHeight w:val="283"/>
        </w:trPr>
        <w:tc>
          <w:tcPr>
            <w:tcW w:w="2118" w:type="dxa"/>
            <w:gridSpan w:val="7"/>
            <w:tcBorders>
              <w:top w:val="single" w:sz="4" w:space="0" w:color="auto"/>
            </w:tcBorders>
          </w:tcPr>
          <w:p w:rsidR="00CD1CF2" w:rsidRPr="00A30C68" w:rsidRDefault="00CD1CF2" w:rsidP="004605F7">
            <w:pPr>
              <w:spacing w:line="240" w:lineRule="auto"/>
              <w:jc w:val="center"/>
              <w:rPr>
                <w:rFonts w:ascii="Times New Roman" w:eastAsia="Times New Roman" w:hAnsi="Times New Roman" w:cs="Times New Roman"/>
                <w:b/>
                <w:sz w:val="28"/>
                <w:szCs w:val="28"/>
                <w:lang w:val="ru-RU"/>
              </w:rPr>
            </w:pPr>
          </w:p>
        </w:tc>
        <w:tc>
          <w:tcPr>
            <w:tcW w:w="1286" w:type="dxa"/>
            <w:gridSpan w:val="3"/>
            <w:tcBorders>
              <w:top w:val="single" w:sz="4" w:space="0" w:color="auto"/>
            </w:tcBorders>
          </w:tcPr>
          <w:p w:rsidR="00CD1CF2" w:rsidRPr="00A30C68" w:rsidRDefault="00CD1CF2" w:rsidP="004605F7">
            <w:pPr>
              <w:spacing w:line="240" w:lineRule="auto"/>
              <w:jc w:val="center"/>
              <w:rPr>
                <w:rFonts w:ascii="Times New Roman" w:eastAsia="Times New Roman" w:hAnsi="Times New Roman" w:cs="Times New Roman"/>
                <w:sz w:val="20"/>
                <w:szCs w:val="20"/>
                <w:lang w:val="ru-RU"/>
              </w:rPr>
            </w:pPr>
            <w:r w:rsidRPr="00A30C68">
              <w:rPr>
                <w:rFonts w:ascii="Times New Roman" w:eastAsia="Times New Roman" w:hAnsi="Times New Roman" w:cs="Times New Roman"/>
                <w:sz w:val="20"/>
                <w:szCs w:val="20"/>
                <w:lang w:val="ru-RU"/>
              </w:rPr>
              <w:t>уч. степень</w:t>
            </w:r>
          </w:p>
        </w:tc>
        <w:tc>
          <w:tcPr>
            <w:tcW w:w="2267" w:type="dxa"/>
            <w:gridSpan w:val="4"/>
            <w:tcBorders>
              <w:top w:val="single" w:sz="4" w:space="0" w:color="auto"/>
            </w:tcBorders>
          </w:tcPr>
          <w:p w:rsidR="00CD1CF2" w:rsidRPr="00A30C68" w:rsidRDefault="00CD1CF2" w:rsidP="004605F7">
            <w:pPr>
              <w:spacing w:line="240" w:lineRule="auto"/>
              <w:jc w:val="center"/>
              <w:rPr>
                <w:rFonts w:ascii="Times New Roman" w:eastAsia="Times New Roman" w:hAnsi="Times New Roman" w:cs="Times New Roman"/>
                <w:sz w:val="20"/>
                <w:szCs w:val="20"/>
                <w:lang w:val="ru-RU"/>
              </w:rPr>
            </w:pPr>
            <w:r w:rsidRPr="00A30C68">
              <w:rPr>
                <w:rFonts w:ascii="Times New Roman" w:eastAsia="Times New Roman" w:hAnsi="Times New Roman" w:cs="Times New Roman"/>
                <w:sz w:val="20"/>
                <w:szCs w:val="20"/>
                <w:lang w:val="ru-RU"/>
              </w:rPr>
              <w:t>должность</w:t>
            </w:r>
          </w:p>
        </w:tc>
        <w:tc>
          <w:tcPr>
            <w:tcW w:w="1134" w:type="dxa"/>
            <w:tcBorders>
              <w:top w:val="single" w:sz="4" w:space="0" w:color="auto"/>
            </w:tcBorders>
          </w:tcPr>
          <w:p w:rsidR="00CD1CF2" w:rsidRPr="00A30C68" w:rsidRDefault="00CD1CF2" w:rsidP="004605F7">
            <w:pPr>
              <w:spacing w:line="240" w:lineRule="auto"/>
              <w:jc w:val="center"/>
              <w:rPr>
                <w:rFonts w:ascii="Times New Roman" w:eastAsia="Times New Roman" w:hAnsi="Times New Roman" w:cs="Times New Roman"/>
                <w:sz w:val="20"/>
                <w:szCs w:val="20"/>
                <w:lang w:val="ru-RU"/>
              </w:rPr>
            </w:pPr>
            <w:r w:rsidRPr="00A30C68">
              <w:rPr>
                <w:rFonts w:ascii="Times New Roman" w:eastAsia="Times New Roman" w:hAnsi="Times New Roman" w:cs="Times New Roman"/>
                <w:sz w:val="20"/>
                <w:szCs w:val="20"/>
                <w:lang w:val="ru-RU"/>
              </w:rPr>
              <w:t>подпись</w:t>
            </w:r>
          </w:p>
        </w:tc>
        <w:tc>
          <w:tcPr>
            <w:tcW w:w="2564" w:type="dxa"/>
            <w:tcBorders>
              <w:top w:val="single" w:sz="4" w:space="0" w:color="auto"/>
            </w:tcBorders>
          </w:tcPr>
          <w:p w:rsidR="00CD1CF2" w:rsidRPr="00A30C68" w:rsidRDefault="00CD1CF2" w:rsidP="004605F7">
            <w:pPr>
              <w:spacing w:line="240" w:lineRule="auto"/>
              <w:jc w:val="center"/>
              <w:rPr>
                <w:rFonts w:ascii="Times New Roman" w:eastAsia="Times New Roman" w:hAnsi="Times New Roman" w:cs="Times New Roman"/>
                <w:sz w:val="20"/>
                <w:szCs w:val="20"/>
                <w:lang w:val="ru-RU"/>
              </w:rPr>
            </w:pPr>
            <w:r w:rsidRPr="00A30C68">
              <w:rPr>
                <w:rFonts w:ascii="Times New Roman" w:eastAsia="Times New Roman" w:hAnsi="Times New Roman" w:cs="Times New Roman"/>
                <w:sz w:val="20"/>
                <w:szCs w:val="20"/>
                <w:lang w:val="ru-RU"/>
              </w:rPr>
              <w:t>фамилия и инициалы</w:t>
            </w:r>
          </w:p>
        </w:tc>
      </w:tr>
      <w:tr w:rsidR="00CD1CF2" w:rsidRPr="0048431F" w:rsidTr="004605F7">
        <w:trPr>
          <w:trHeight w:val="624"/>
        </w:trPr>
        <w:tc>
          <w:tcPr>
            <w:tcW w:w="2118" w:type="dxa"/>
            <w:gridSpan w:val="7"/>
            <w:tcBorders>
              <w:bottom w:val="single" w:sz="4" w:space="0" w:color="auto"/>
            </w:tcBorders>
            <w:vAlign w:val="bottom"/>
          </w:tcPr>
          <w:p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A30C68">
              <w:rPr>
                <w:rFonts w:ascii="Times New Roman" w:eastAsia="Times New Roman" w:hAnsi="Times New Roman" w:cs="Times New Roman"/>
                <w:b/>
                <w:sz w:val="26"/>
                <w:szCs w:val="26"/>
                <w:lang w:val="ru-RU"/>
              </w:rPr>
              <w:t>Внешни</w:t>
            </w:r>
            <w:proofErr w:type="spellEnd"/>
            <w:r w:rsidRPr="00CD1CF2">
              <w:rPr>
                <w:rFonts w:ascii="Times New Roman" w:eastAsia="Times New Roman" w:hAnsi="Times New Roman" w:cs="Times New Roman"/>
                <w:b/>
                <w:sz w:val="26"/>
                <w:szCs w:val="26"/>
              </w:rPr>
              <w:t xml:space="preserve">й </w:t>
            </w:r>
            <w:proofErr w:type="spellStart"/>
            <w:r w:rsidRPr="00CD1CF2">
              <w:rPr>
                <w:rFonts w:ascii="Times New Roman" w:eastAsia="Times New Roman" w:hAnsi="Times New Roman" w:cs="Times New Roman"/>
                <w:b/>
                <w:sz w:val="26"/>
                <w:szCs w:val="26"/>
              </w:rPr>
              <w:t>консультант</w:t>
            </w:r>
            <w:proofErr w:type="spellEnd"/>
          </w:p>
        </w:tc>
        <w:tc>
          <w:tcPr>
            <w:tcW w:w="1286" w:type="dxa"/>
            <w:gridSpan w:val="3"/>
            <w:tcBorders>
              <w:bottom w:val="single" w:sz="4" w:space="0" w:color="auto"/>
            </w:tcBorders>
            <w:vAlign w:val="bottom"/>
          </w:tcPr>
          <w:p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267" w:type="dxa"/>
            <w:gridSpan w:val="4"/>
            <w:tcBorders>
              <w:bottom w:val="single" w:sz="4" w:space="0" w:color="auto"/>
            </w:tcBorders>
            <w:vAlign w:val="bottom"/>
          </w:tcPr>
          <w:p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1134" w:type="dxa"/>
            <w:tcBorders>
              <w:bottom w:val="single" w:sz="4" w:space="0" w:color="auto"/>
            </w:tcBorders>
            <w:vAlign w:val="bottom"/>
          </w:tcPr>
          <w:p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564" w:type="dxa"/>
            <w:tcBorders>
              <w:bottom w:val="single" w:sz="4" w:space="0" w:color="auto"/>
            </w:tcBorders>
            <w:vAlign w:val="bottom"/>
          </w:tcPr>
          <w:p w:rsidR="00CD1CF2" w:rsidRPr="0048431F" w:rsidRDefault="00CD1CF2" w:rsidP="004605F7">
            <w:pPr>
              <w:spacing w:line="240" w:lineRule="auto"/>
              <w:jc w:val="center"/>
              <w:rPr>
                <w:rFonts w:ascii="Times New Roman" w:eastAsia="Times New Roman" w:hAnsi="Times New Roman" w:cs="Times New Roman"/>
                <w:noProof/>
                <w:sz w:val="28"/>
                <w:szCs w:val="28"/>
              </w:rPr>
            </w:pPr>
          </w:p>
        </w:tc>
      </w:tr>
      <w:tr w:rsidR="00CD1CF2" w:rsidRPr="0048431F" w:rsidTr="004605F7">
        <w:trPr>
          <w:trHeight w:val="283"/>
        </w:trPr>
        <w:tc>
          <w:tcPr>
            <w:tcW w:w="2118" w:type="dxa"/>
            <w:gridSpan w:val="7"/>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z w:val="20"/>
                <w:szCs w:val="20"/>
              </w:rPr>
            </w:pPr>
          </w:p>
          <w:p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1286" w:type="dxa"/>
            <w:gridSpan w:val="3"/>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proofErr w:type="gramStart"/>
            <w:r w:rsidRPr="0048431F">
              <w:rPr>
                <w:rFonts w:ascii="Times New Roman" w:eastAsia="Times New Roman" w:hAnsi="Times New Roman" w:cs="Times New Roman"/>
                <w:sz w:val="20"/>
                <w:szCs w:val="20"/>
              </w:rPr>
              <w:t>уч</w:t>
            </w:r>
            <w:proofErr w:type="spellEnd"/>
            <w:proofErr w:type="gramEnd"/>
            <w:r w:rsidRPr="0048431F">
              <w:rPr>
                <w:rFonts w:ascii="Times New Roman" w:eastAsia="Times New Roman" w:hAnsi="Times New Roman" w:cs="Times New Roman"/>
                <w:sz w:val="20"/>
                <w:szCs w:val="20"/>
              </w:rPr>
              <w:t xml:space="preserve">. </w:t>
            </w:r>
            <w:proofErr w:type="spellStart"/>
            <w:r w:rsidRPr="0048431F">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подпись</w:t>
            </w:r>
            <w:proofErr w:type="spellEnd"/>
          </w:p>
        </w:tc>
        <w:tc>
          <w:tcPr>
            <w:tcW w:w="2564" w:type="dxa"/>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rsidTr="004605F7">
        <w:trPr>
          <w:trHeight w:val="80"/>
        </w:trPr>
        <w:tc>
          <w:tcPr>
            <w:tcW w:w="9369" w:type="dxa"/>
            <w:gridSpan w:val="16"/>
            <w:tcBorders>
              <w:bottom w:val="single" w:sz="4" w:space="0" w:color="auto"/>
            </w:tcBorders>
            <w:vAlign w:val="bottom"/>
          </w:tcPr>
          <w:p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p>
        </w:tc>
      </w:tr>
      <w:tr w:rsidR="00CD1CF2" w:rsidRPr="0048431F" w:rsidTr="004605F7">
        <w:trPr>
          <w:trHeight w:val="283"/>
        </w:trPr>
        <w:tc>
          <w:tcPr>
            <w:tcW w:w="9369" w:type="dxa"/>
            <w:gridSpan w:val="16"/>
            <w:tcBorders>
              <w:top w:val="single" w:sz="4" w:space="0" w:color="auto"/>
            </w:tcBorders>
            <w:vAlign w:val="center"/>
          </w:tcPr>
          <w:p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proofErr w:type="spellStart"/>
            <w:r w:rsidRPr="0048431F">
              <w:rPr>
                <w:rFonts w:ascii="Times New Roman" w:eastAsia="Times New Roman" w:hAnsi="Times New Roman" w:cs="Times New Roman"/>
                <w:sz w:val="20"/>
                <w:szCs w:val="20"/>
              </w:rPr>
              <w:t>организация</w:t>
            </w:r>
            <w:proofErr w:type="spellEnd"/>
          </w:p>
        </w:tc>
      </w:tr>
      <w:tr w:rsidR="00CD1CF2" w:rsidRPr="0048431F" w:rsidTr="004605F7">
        <w:trPr>
          <w:trHeight w:val="340"/>
        </w:trPr>
        <w:tc>
          <w:tcPr>
            <w:tcW w:w="9369" w:type="dxa"/>
            <w:gridSpan w:val="16"/>
            <w:tcBorders>
              <w:bottom w:val="single" w:sz="4" w:space="0" w:color="auto"/>
            </w:tcBorders>
            <w:vAlign w:val="bottom"/>
          </w:tcPr>
          <w:p w:rsidR="00CD1CF2" w:rsidRPr="00CD1CF2" w:rsidRDefault="00CD1CF2" w:rsidP="004605F7">
            <w:pPr>
              <w:spacing w:line="240" w:lineRule="auto"/>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b/>
                <w:sz w:val="26"/>
                <w:szCs w:val="26"/>
              </w:rPr>
              <w:t>«</w:t>
            </w:r>
            <w:proofErr w:type="spellStart"/>
            <w:r w:rsidRPr="00CD1CF2">
              <w:rPr>
                <w:rFonts w:ascii="Times New Roman" w:eastAsia="Times New Roman" w:hAnsi="Times New Roman" w:cs="Times New Roman"/>
                <w:b/>
                <w:sz w:val="26"/>
                <w:szCs w:val="26"/>
              </w:rPr>
              <w:t>Работа</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допущена</w:t>
            </w:r>
            <w:proofErr w:type="spellEnd"/>
            <w:r w:rsidRPr="00CD1CF2">
              <w:rPr>
                <w:rFonts w:ascii="Times New Roman" w:eastAsia="Times New Roman" w:hAnsi="Times New Roman" w:cs="Times New Roman"/>
                <w:b/>
                <w:sz w:val="26"/>
                <w:szCs w:val="26"/>
              </w:rPr>
              <w:t xml:space="preserve"> к </w:t>
            </w:r>
            <w:proofErr w:type="spellStart"/>
            <w:r w:rsidRPr="00CD1CF2">
              <w:rPr>
                <w:rFonts w:ascii="Times New Roman" w:eastAsia="Times New Roman" w:hAnsi="Times New Roman" w:cs="Times New Roman"/>
                <w:b/>
                <w:sz w:val="26"/>
                <w:szCs w:val="26"/>
              </w:rPr>
              <w:t>защите</w:t>
            </w:r>
            <w:proofErr w:type="spellEnd"/>
            <w:r w:rsidRPr="00CD1CF2">
              <w:rPr>
                <w:rFonts w:ascii="Times New Roman" w:eastAsia="Times New Roman" w:hAnsi="Times New Roman" w:cs="Times New Roman"/>
                <w:b/>
                <w:sz w:val="26"/>
                <w:szCs w:val="26"/>
              </w:rPr>
              <w:t>»</w:t>
            </w:r>
          </w:p>
        </w:tc>
      </w:tr>
      <w:tr w:rsidR="00CD1CF2" w:rsidRPr="0048431F" w:rsidTr="004605F7">
        <w:trPr>
          <w:trHeight w:val="624"/>
        </w:trPr>
        <w:tc>
          <w:tcPr>
            <w:tcW w:w="1972" w:type="dxa"/>
            <w:gridSpan w:val="5"/>
            <w:tcBorders>
              <w:bottom w:val="single" w:sz="4" w:space="0" w:color="auto"/>
            </w:tcBorders>
            <w:vAlign w:val="bottom"/>
          </w:tcPr>
          <w:p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Заведующий</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кафедрой</w:t>
            </w:r>
            <w:proofErr w:type="spellEnd"/>
          </w:p>
        </w:tc>
        <w:tc>
          <w:tcPr>
            <w:tcW w:w="1701" w:type="dxa"/>
            <w:gridSpan w:val="7"/>
            <w:tcBorders>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p>
        </w:tc>
        <w:tc>
          <w:tcPr>
            <w:tcW w:w="1415" w:type="dxa"/>
            <w:tcBorders>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p>
        </w:tc>
        <w:tc>
          <w:tcPr>
            <w:tcW w:w="1717" w:type="dxa"/>
            <w:gridSpan w:val="2"/>
            <w:tcBorders>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p>
        </w:tc>
        <w:tc>
          <w:tcPr>
            <w:tcW w:w="2564" w:type="dxa"/>
            <w:tcBorders>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noProof/>
                <w:sz w:val="26"/>
                <w:szCs w:val="26"/>
                <w:lang w:val="en-US"/>
              </w:rPr>
              <w:t>Крыленко Е.Е.</w:t>
            </w:r>
          </w:p>
        </w:tc>
      </w:tr>
      <w:tr w:rsidR="00CD1CF2" w:rsidRPr="0048431F" w:rsidTr="004605F7">
        <w:trPr>
          <w:trHeight w:val="354"/>
        </w:trPr>
        <w:tc>
          <w:tcPr>
            <w:tcW w:w="1972" w:type="dxa"/>
            <w:gridSpan w:val="5"/>
            <w:tcBorders>
              <w:top w:val="single" w:sz="4" w:space="0" w:color="auto"/>
            </w:tcBorders>
          </w:tcPr>
          <w:p w:rsidR="00CD1CF2" w:rsidRPr="0048431F" w:rsidRDefault="00CD1CF2" w:rsidP="004605F7">
            <w:pPr>
              <w:rPr>
                <w:rFonts w:ascii="Times New Roman" w:eastAsia="Times New Roman" w:hAnsi="Times New Roman" w:cs="Times New Roman"/>
                <w:b/>
                <w:sz w:val="28"/>
                <w:szCs w:val="28"/>
                <w:lang w:val="en-US"/>
              </w:rPr>
            </w:pPr>
          </w:p>
        </w:tc>
        <w:tc>
          <w:tcPr>
            <w:tcW w:w="1701" w:type="dxa"/>
            <w:gridSpan w:val="7"/>
            <w:tcBorders>
              <w:top w:val="single" w:sz="4" w:space="0" w:color="auto"/>
            </w:tcBorders>
          </w:tcPr>
          <w:p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proofErr w:type="gramStart"/>
            <w:r w:rsidRPr="0048431F">
              <w:rPr>
                <w:rFonts w:ascii="Times New Roman" w:eastAsia="Times New Roman" w:hAnsi="Times New Roman" w:cs="Times New Roman"/>
                <w:sz w:val="20"/>
                <w:szCs w:val="20"/>
              </w:rPr>
              <w:t>уч</w:t>
            </w:r>
            <w:proofErr w:type="spellEnd"/>
            <w:proofErr w:type="gramEnd"/>
            <w:r w:rsidRPr="0048431F">
              <w:rPr>
                <w:rFonts w:ascii="Times New Roman" w:eastAsia="Times New Roman" w:hAnsi="Times New Roman" w:cs="Times New Roman"/>
                <w:sz w:val="20"/>
                <w:szCs w:val="20"/>
              </w:rPr>
              <w:t xml:space="preserve">. </w:t>
            </w:r>
            <w:proofErr w:type="spellStart"/>
            <w:r w:rsidRPr="0048431F">
              <w:rPr>
                <w:rFonts w:ascii="Times New Roman" w:eastAsia="Times New Roman" w:hAnsi="Times New Roman" w:cs="Times New Roman"/>
                <w:sz w:val="20"/>
                <w:szCs w:val="20"/>
              </w:rPr>
              <w:t>степень</w:t>
            </w:r>
            <w:proofErr w:type="spellEnd"/>
          </w:p>
        </w:tc>
        <w:tc>
          <w:tcPr>
            <w:tcW w:w="1415" w:type="dxa"/>
            <w:tcBorders>
              <w:top w:val="single" w:sz="4" w:space="0" w:color="auto"/>
            </w:tcBorders>
          </w:tcPr>
          <w:p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звание</w:t>
            </w:r>
            <w:proofErr w:type="spellEnd"/>
          </w:p>
        </w:tc>
        <w:tc>
          <w:tcPr>
            <w:tcW w:w="1717" w:type="dxa"/>
            <w:gridSpan w:val="2"/>
            <w:tcBorders>
              <w:top w:val="single" w:sz="4" w:space="0" w:color="auto"/>
            </w:tcBorders>
          </w:tcPr>
          <w:p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подпись</w:t>
            </w:r>
            <w:proofErr w:type="spellEnd"/>
          </w:p>
        </w:tc>
        <w:tc>
          <w:tcPr>
            <w:tcW w:w="2564" w:type="dxa"/>
            <w:tcBorders>
              <w:top w:val="single" w:sz="4" w:space="0" w:color="auto"/>
            </w:tcBorders>
          </w:tcPr>
          <w:p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rsidTr="004605F7">
        <w:trPr>
          <w:trHeight w:val="427"/>
        </w:trPr>
        <w:tc>
          <w:tcPr>
            <w:tcW w:w="5088" w:type="dxa"/>
            <w:gridSpan w:val="13"/>
          </w:tcPr>
          <w:p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c>
          <w:tcPr>
            <w:tcW w:w="1717" w:type="dxa"/>
            <w:gridSpan w:val="2"/>
            <w:tcBorders>
              <w:bottom w:val="single" w:sz="4" w:space="0" w:color="auto"/>
            </w:tcBorders>
            <w:vAlign w:val="bottom"/>
          </w:tcPr>
          <w:p w:rsidR="00CD1CF2" w:rsidRPr="00CD1CF2" w:rsidRDefault="00CD1CF2" w:rsidP="004605F7">
            <w:pPr>
              <w:tabs>
                <w:tab w:val="left" w:pos="990"/>
              </w:tabs>
              <w:spacing w:line="240" w:lineRule="auto"/>
              <w:jc w:val="center"/>
              <w:rPr>
                <w:rFonts w:ascii="Times New Roman" w:eastAsia="Times New Roman" w:hAnsi="Times New Roman" w:cs="Times New Roman"/>
                <w:sz w:val="26"/>
                <w:szCs w:val="26"/>
              </w:rPr>
            </w:pPr>
            <w:proofErr w:type="spellStart"/>
            <w:r w:rsidRPr="00CD1CF2">
              <w:rPr>
                <w:rFonts w:ascii="Times New Roman" w:eastAsia="Times New Roman" w:hAnsi="Times New Roman" w:cs="Times New Roman"/>
                <w:b/>
                <w:sz w:val="26"/>
                <w:szCs w:val="26"/>
              </w:rPr>
              <w:t>Дата</w:t>
            </w:r>
            <w:proofErr w:type="spellEnd"/>
          </w:p>
        </w:tc>
        <w:tc>
          <w:tcPr>
            <w:tcW w:w="2564" w:type="dxa"/>
            <w:tcBorders>
              <w:bottom w:val="single" w:sz="4" w:space="0" w:color="auto"/>
            </w:tcBorders>
          </w:tcPr>
          <w:p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r>
      <w:tr w:rsidR="00CD1CF2" w:rsidRPr="0048431F" w:rsidTr="004605F7">
        <w:trPr>
          <w:trHeight w:val="579"/>
        </w:trPr>
        <w:tc>
          <w:tcPr>
            <w:tcW w:w="1981" w:type="dxa"/>
            <w:gridSpan w:val="6"/>
            <w:vAlign w:val="bottom"/>
          </w:tcPr>
          <w:p w:rsidR="00CD1CF2" w:rsidRPr="0048431F" w:rsidRDefault="00CD1CF2" w:rsidP="004605F7">
            <w:pPr>
              <w:spacing w:line="240" w:lineRule="auto"/>
              <w:jc w:val="center"/>
              <w:rPr>
                <w:rFonts w:ascii="Times New Roman" w:eastAsia="Times New Roman" w:hAnsi="Times New Roman" w:cs="Times New Roman"/>
                <w:b/>
                <w:sz w:val="28"/>
                <w:szCs w:val="28"/>
              </w:rPr>
            </w:pPr>
          </w:p>
        </w:tc>
        <w:tc>
          <w:tcPr>
            <w:tcW w:w="4824" w:type="dxa"/>
            <w:gridSpan w:val="9"/>
            <w:vAlign w:val="bottom"/>
          </w:tcPr>
          <w:p w:rsidR="00CD1CF2" w:rsidRPr="00CD1CF2" w:rsidRDefault="00CD1CF2" w:rsidP="004605F7">
            <w:pPr>
              <w:spacing w:line="240" w:lineRule="auto"/>
              <w:jc w:val="center"/>
              <w:rPr>
                <w:rFonts w:ascii="Times New Roman" w:eastAsia="Times New Roman" w:hAnsi="Times New Roman" w:cs="Times New Roman"/>
                <w:b/>
                <w:sz w:val="26"/>
                <w:szCs w:val="26"/>
                <w:lang w:val="ru-RU"/>
              </w:rPr>
            </w:pPr>
            <w:proofErr w:type="spellStart"/>
            <w:r w:rsidRPr="00CD1CF2">
              <w:rPr>
                <w:rFonts w:ascii="Times New Roman" w:eastAsia="Times New Roman" w:hAnsi="Times New Roman" w:cs="Times New Roman"/>
                <w:b/>
                <w:sz w:val="26"/>
                <w:szCs w:val="26"/>
              </w:rPr>
              <w:t>Москва</w:t>
            </w:r>
            <w:proofErr w:type="spellEnd"/>
            <w:r w:rsidRPr="00CD1CF2">
              <w:rPr>
                <w:rFonts w:ascii="Times New Roman" w:eastAsia="Times New Roman" w:hAnsi="Times New Roman" w:cs="Times New Roman"/>
                <w:b/>
                <w:sz w:val="26"/>
                <w:szCs w:val="26"/>
              </w:rPr>
              <w:t>, 202</w:t>
            </w:r>
            <w:r>
              <w:rPr>
                <w:rFonts w:ascii="Times New Roman" w:eastAsia="Times New Roman" w:hAnsi="Times New Roman" w:cs="Times New Roman"/>
                <w:b/>
                <w:sz w:val="26"/>
                <w:szCs w:val="26"/>
                <w:lang w:val="ru-RU"/>
              </w:rPr>
              <w:t>6</w:t>
            </w:r>
          </w:p>
        </w:tc>
        <w:tc>
          <w:tcPr>
            <w:tcW w:w="2564" w:type="dxa"/>
            <w:vAlign w:val="bottom"/>
          </w:tcPr>
          <w:p w:rsidR="00CD1CF2" w:rsidRPr="0048431F" w:rsidRDefault="00CD1CF2" w:rsidP="004605F7">
            <w:pPr>
              <w:spacing w:line="240" w:lineRule="auto"/>
              <w:jc w:val="center"/>
              <w:rPr>
                <w:rFonts w:ascii="Times New Roman" w:eastAsia="Times New Roman" w:hAnsi="Times New Roman" w:cs="Times New Roman"/>
                <w:b/>
                <w:sz w:val="28"/>
                <w:szCs w:val="28"/>
              </w:rPr>
            </w:pPr>
          </w:p>
        </w:tc>
      </w:tr>
    </w:tbl>
    <w:sdt>
      <w:sdtPr>
        <w:rPr>
          <w:rFonts w:ascii="Arial" w:eastAsia="Arial" w:hAnsi="Arial" w:cs="Arial"/>
          <w:color w:val="auto"/>
          <w:sz w:val="22"/>
          <w:szCs w:val="22"/>
          <w:lang w:val="en-CA"/>
        </w:rPr>
        <w:id w:val="1404256440"/>
        <w:docPartObj>
          <w:docPartGallery w:val="Table of Contents"/>
          <w:docPartUnique/>
        </w:docPartObj>
      </w:sdtPr>
      <w:sdtEndPr>
        <w:rPr>
          <w:b/>
          <w:bCs/>
        </w:rPr>
      </w:sdtEndPr>
      <w:sdtContent>
        <w:p w:rsidR="00F834A7" w:rsidRPr="00C76864" w:rsidRDefault="00F834A7" w:rsidP="00C76864">
          <w:pPr>
            <w:pStyle w:val="ab"/>
            <w:spacing w:before="0" w:line="360" w:lineRule="auto"/>
            <w:jc w:val="center"/>
            <w:rPr>
              <w:rFonts w:ascii="Times New Roman" w:hAnsi="Times New Roman" w:cs="Times New Roman"/>
              <w:b/>
              <w:bCs/>
              <w:color w:val="000000" w:themeColor="text1"/>
              <w:sz w:val="28"/>
              <w:szCs w:val="28"/>
            </w:rPr>
          </w:pPr>
          <w:r w:rsidRPr="00C76864">
            <w:rPr>
              <w:rFonts w:ascii="Times New Roman" w:hAnsi="Times New Roman" w:cs="Times New Roman"/>
              <w:b/>
              <w:bCs/>
              <w:color w:val="000000" w:themeColor="text1"/>
              <w:sz w:val="28"/>
              <w:szCs w:val="28"/>
            </w:rPr>
            <w:t>Содержание</w:t>
          </w:r>
        </w:p>
        <w:p w:rsidR="00CD1CF2" w:rsidRPr="00C76864" w:rsidRDefault="00CD1CF2" w:rsidP="00C76864">
          <w:pPr>
            <w:spacing w:line="360" w:lineRule="auto"/>
            <w:jc w:val="both"/>
            <w:rPr>
              <w:rFonts w:ascii="Times New Roman" w:hAnsi="Times New Roman" w:cs="Times New Roman"/>
              <w:sz w:val="28"/>
              <w:szCs w:val="28"/>
              <w:lang w:val="ru-RU"/>
            </w:rPr>
          </w:pPr>
        </w:p>
        <w:p w:rsidR="00A30C68" w:rsidRPr="00A30C68" w:rsidRDefault="00F74D7F">
          <w:pPr>
            <w:pStyle w:val="10"/>
            <w:tabs>
              <w:tab w:val="right" w:leader="dot" w:pos="9350"/>
            </w:tabs>
            <w:rPr>
              <w:rFonts w:ascii="Times New Roman" w:eastAsiaTheme="minorEastAsia" w:hAnsi="Times New Roman" w:cs="Times New Roman"/>
              <w:noProof/>
              <w:sz w:val="28"/>
              <w:szCs w:val="28"/>
              <w:lang w:val="ru-RU"/>
            </w:rPr>
          </w:pPr>
          <w:r w:rsidRPr="00C76864">
            <w:rPr>
              <w:rFonts w:ascii="Times New Roman" w:hAnsi="Times New Roman" w:cs="Times New Roman"/>
              <w:sz w:val="28"/>
              <w:szCs w:val="28"/>
            </w:rPr>
            <w:fldChar w:fldCharType="begin"/>
          </w:r>
          <w:r w:rsidR="00F834A7" w:rsidRPr="00C76864">
            <w:rPr>
              <w:rFonts w:ascii="Times New Roman" w:hAnsi="Times New Roman" w:cs="Times New Roman"/>
              <w:sz w:val="28"/>
              <w:szCs w:val="28"/>
            </w:rPr>
            <w:instrText xml:space="preserve"> TOC \o "1-3" \h \z \u </w:instrText>
          </w:r>
          <w:r w:rsidRPr="00C76864">
            <w:rPr>
              <w:rFonts w:ascii="Times New Roman" w:hAnsi="Times New Roman" w:cs="Times New Roman"/>
              <w:sz w:val="28"/>
              <w:szCs w:val="28"/>
            </w:rPr>
            <w:fldChar w:fldCharType="separate"/>
          </w:r>
          <w:hyperlink w:anchor="_Toc230233410" w:history="1">
            <w:r w:rsidR="00A30C68" w:rsidRPr="00A30C68">
              <w:rPr>
                <w:rStyle w:val="ac"/>
                <w:rFonts w:ascii="Times New Roman" w:hAnsi="Times New Roman" w:cs="Times New Roman"/>
                <w:bCs/>
                <w:noProof/>
                <w:sz w:val="28"/>
                <w:szCs w:val="28"/>
                <w:lang w:val="ru-RU"/>
              </w:rPr>
              <w:t>Введение</w:t>
            </w:r>
            <w:r w:rsidR="00A30C68" w:rsidRPr="00A30C68">
              <w:rPr>
                <w:rFonts w:ascii="Times New Roman" w:hAnsi="Times New Roman" w:cs="Times New Roman"/>
                <w:noProof/>
                <w:webHidden/>
                <w:sz w:val="28"/>
                <w:szCs w:val="28"/>
              </w:rPr>
              <w:tab/>
            </w:r>
            <w:r w:rsidR="00A30C68" w:rsidRPr="00A30C68">
              <w:rPr>
                <w:rFonts w:ascii="Times New Roman" w:hAnsi="Times New Roman" w:cs="Times New Roman"/>
                <w:noProof/>
                <w:webHidden/>
                <w:sz w:val="28"/>
                <w:szCs w:val="28"/>
              </w:rPr>
              <w:fldChar w:fldCharType="begin"/>
            </w:r>
            <w:r w:rsidR="00A30C68" w:rsidRPr="00A30C68">
              <w:rPr>
                <w:rFonts w:ascii="Times New Roman" w:hAnsi="Times New Roman" w:cs="Times New Roman"/>
                <w:noProof/>
                <w:webHidden/>
                <w:sz w:val="28"/>
                <w:szCs w:val="28"/>
              </w:rPr>
              <w:instrText xml:space="preserve"> PAGEREF _Toc230233410 \h </w:instrText>
            </w:r>
            <w:r w:rsidR="00A30C68" w:rsidRPr="00A30C68">
              <w:rPr>
                <w:rFonts w:ascii="Times New Roman" w:hAnsi="Times New Roman" w:cs="Times New Roman"/>
                <w:noProof/>
                <w:webHidden/>
                <w:sz w:val="28"/>
                <w:szCs w:val="28"/>
              </w:rPr>
            </w:r>
            <w:r w:rsidR="00A30C68" w:rsidRPr="00A30C68">
              <w:rPr>
                <w:rFonts w:ascii="Times New Roman" w:hAnsi="Times New Roman" w:cs="Times New Roman"/>
                <w:noProof/>
                <w:webHidden/>
                <w:sz w:val="28"/>
                <w:szCs w:val="28"/>
              </w:rPr>
              <w:fldChar w:fldCharType="separate"/>
            </w:r>
            <w:r w:rsidR="00A30C68" w:rsidRPr="00A30C68">
              <w:rPr>
                <w:rFonts w:ascii="Times New Roman" w:hAnsi="Times New Roman" w:cs="Times New Roman"/>
                <w:noProof/>
                <w:webHidden/>
                <w:sz w:val="28"/>
                <w:szCs w:val="28"/>
              </w:rPr>
              <w:t>3</w:t>
            </w:r>
            <w:r w:rsidR="00A30C68" w:rsidRPr="00A30C68">
              <w:rPr>
                <w:rFonts w:ascii="Times New Roman" w:hAnsi="Times New Roman" w:cs="Times New Roman"/>
                <w:noProof/>
                <w:webHidden/>
                <w:sz w:val="28"/>
                <w:szCs w:val="28"/>
              </w:rPr>
              <w:fldChar w:fldCharType="end"/>
            </w:r>
          </w:hyperlink>
        </w:p>
        <w:p w:rsidR="00A30C68" w:rsidRPr="00A30C68" w:rsidRDefault="00097DFD">
          <w:pPr>
            <w:pStyle w:val="10"/>
            <w:tabs>
              <w:tab w:val="right" w:leader="dot" w:pos="9350"/>
            </w:tabs>
            <w:rPr>
              <w:rFonts w:ascii="Times New Roman" w:eastAsiaTheme="minorEastAsia" w:hAnsi="Times New Roman" w:cs="Times New Roman"/>
              <w:noProof/>
              <w:sz w:val="28"/>
              <w:szCs w:val="28"/>
              <w:lang w:val="ru-RU"/>
            </w:rPr>
          </w:pPr>
          <w:hyperlink w:anchor="_Toc230233411" w:history="1">
            <w:r w:rsidR="00A30C68" w:rsidRPr="00A30C68">
              <w:rPr>
                <w:rStyle w:val="ac"/>
                <w:rFonts w:ascii="Times New Roman" w:hAnsi="Times New Roman" w:cs="Times New Roman"/>
                <w:noProof/>
                <w:sz w:val="28"/>
                <w:szCs w:val="28"/>
                <w:lang w:val="ru-RU"/>
              </w:rPr>
              <w:t>Глава 1. Состав инвестиционного портфел</w:t>
            </w:r>
            <w:r w:rsidR="00A30C68" w:rsidRPr="00A30C68">
              <w:rPr>
                <w:rStyle w:val="ac"/>
                <w:rFonts w:ascii="Times New Roman" w:hAnsi="Times New Roman" w:cs="Times New Roman"/>
                <w:noProof/>
                <w:sz w:val="28"/>
                <w:szCs w:val="28"/>
                <w:lang w:val="ru-RU"/>
              </w:rPr>
              <w:t>я</w:t>
            </w:r>
            <w:r w:rsidR="00A30C68" w:rsidRPr="00A30C68">
              <w:rPr>
                <w:rStyle w:val="ac"/>
                <w:rFonts w:ascii="Times New Roman" w:hAnsi="Times New Roman" w:cs="Times New Roman"/>
                <w:noProof/>
                <w:sz w:val="28"/>
                <w:szCs w:val="28"/>
                <w:lang w:val="ru-RU"/>
              </w:rPr>
              <w:t xml:space="preserve"> и методы его определения</w:t>
            </w:r>
            <w:r w:rsidR="00A30C68" w:rsidRPr="00A30C68">
              <w:rPr>
                <w:rFonts w:ascii="Times New Roman" w:hAnsi="Times New Roman" w:cs="Times New Roman"/>
                <w:noProof/>
                <w:webHidden/>
                <w:sz w:val="28"/>
                <w:szCs w:val="28"/>
              </w:rPr>
              <w:tab/>
            </w:r>
            <w:r w:rsidR="00A30C68" w:rsidRPr="00A30C68">
              <w:rPr>
                <w:rFonts w:ascii="Times New Roman" w:hAnsi="Times New Roman" w:cs="Times New Roman"/>
                <w:noProof/>
                <w:webHidden/>
                <w:sz w:val="28"/>
                <w:szCs w:val="28"/>
              </w:rPr>
              <w:fldChar w:fldCharType="begin"/>
            </w:r>
            <w:r w:rsidR="00A30C68" w:rsidRPr="00A30C68">
              <w:rPr>
                <w:rFonts w:ascii="Times New Roman" w:hAnsi="Times New Roman" w:cs="Times New Roman"/>
                <w:noProof/>
                <w:webHidden/>
                <w:sz w:val="28"/>
                <w:szCs w:val="28"/>
              </w:rPr>
              <w:instrText xml:space="preserve"> PAGEREF _Toc230233411 \h </w:instrText>
            </w:r>
            <w:r w:rsidR="00A30C68" w:rsidRPr="00A30C68">
              <w:rPr>
                <w:rFonts w:ascii="Times New Roman" w:hAnsi="Times New Roman" w:cs="Times New Roman"/>
                <w:noProof/>
                <w:webHidden/>
                <w:sz w:val="28"/>
                <w:szCs w:val="28"/>
              </w:rPr>
            </w:r>
            <w:r w:rsidR="00A30C68" w:rsidRPr="00A30C68">
              <w:rPr>
                <w:rFonts w:ascii="Times New Roman" w:hAnsi="Times New Roman" w:cs="Times New Roman"/>
                <w:noProof/>
                <w:webHidden/>
                <w:sz w:val="28"/>
                <w:szCs w:val="28"/>
              </w:rPr>
              <w:fldChar w:fldCharType="separate"/>
            </w:r>
            <w:r w:rsidR="00A30C68" w:rsidRPr="00A30C68">
              <w:rPr>
                <w:rFonts w:ascii="Times New Roman" w:hAnsi="Times New Roman" w:cs="Times New Roman"/>
                <w:noProof/>
                <w:webHidden/>
                <w:sz w:val="28"/>
                <w:szCs w:val="28"/>
              </w:rPr>
              <w:t>6</w:t>
            </w:r>
            <w:r w:rsidR="00A30C68" w:rsidRPr="00A30C68">
              <w:rPr>
                <w:rFonts w:ascii="Times New Roman" w:hAnsi="Times New Roman" w:cs="Times New Roman"/>
                <w:noProof/>
                <w:webHidden/>
                <w:sz w:val="28"/>
                <w:szCs w:val="28"/>
              </w:rPr>
              <w:fldChar w:fldCharType="end"/>
            </w:r>
          </w:hyperlink>
        </w:p>
        <w:p w:rsidR="00A30C68" w:rsidRPr="00A30C68" w:rsidRDefault="00097DFD">
          <w:pPr>
            <w:pStyle w:val="20"/>
            <w:tabs>
              <w:tab w:val="left" w:pos="880"/>
              <w:tab w:val="right" w:leader="dot" w:pos="9350"/>
            </w:tabs>
            <w:rPr>
              <w:rFonts w:ascii="Times New Roman" w:eastAsiaTheme="minorEastAsia" w:hAnsi="Times New Roman" w:cs="Times New Roman"/>
              <w:noProof/>
              <w:sz w:val="28"/>
              <w:szCs w:val="28"/>
              <w:lang w:val="ru-RU"/>
            </w:rPr>
          </w:pPr>
          <w:hyperlink w:anchor="_Toc230233412" w:history="1">
            <w:r w:rsidR="00A30C68" w:rsidRPr="00A30C68">
              <w:rPr>
                <w:rStyle w:val="ac"/>
                <w:rFonts w:ascii="Times New Roman" w:hAnsi="Times New Roman" w:cs="Times New Roman"/>
                <w:noProof/>
                <w:sz w:val="28"/>
                <w:szCs w:val="28"/>
                <w:lang w:val="ru-RU"/>
              </w:rPr>
              <w:t>1.1.</w:t>
            </w:r>
            <w:r w:rsidR="00A30C68" w:rsidRPr="00A30C68">
              <w:rPr>
                <w:rFonts w:ascii="Times New Roman" w:eastAsiaTheme="minorEastAsia" w:hAnsi="Times New Roman" w:cs="Times New Roman"/>
                <w:noProof/>
                <w:sz w:val="28"/>
                <w:szCs w:val="28"/>
                <w:lang w:val="ru-RU"/>
              </w:rPr>
              <w:tab/>
            </w:r>
            <w:r w:rsidR="00A30C68" w:rsidRPr="00A30C68">
              <w:rPr>
                <w:rStyle w:val="ac"/>
                <w:rFonts w:ascii="Times New Roman" w:hAnsi="Times New Roman" w:cs="Times New Roman"/>
                <w:noProof/>
                <w:sz w:val="28"/>
                <w:szCs w:val="28"/>
                <w:lang w:val="ru-RU"/>
              </w:rPr>
              <w:t>Сущность и значение качества инвестиционного портфеля</w:t>
            </w:r>
            <w:r w:rsidR="00A30C68" w:rsidRPr="00A30C68">
              <w:rPr>
                <w:rFonts w:ascii="Times New Roman" w:hAnsi="Times New Roman" w:cs="Times New Roman"/>
                <w:noProof/>
                <w:webHidden/>
                <w:sz w:val="28"/>
                <w:szCs w:val="28"/>
              </w:rPr>
              <w:tab/>
            </w:r>
            <w:r w:rsidR="00A30C68" w:rsidRPr="00A30C68">
              <w:rPr>
                <w:rFonts w:ascii="Times New Roman" w:hAnsi="Times New Roman" w:cs="Times New Roman"/>
                <w:noProof/>
                <w:webHidden/>
                <w:sz w:val="28"/>
                <w:szCs w:val="28"/>
              </w:rPr>
              <w:fldChar w:fldCharType="begin"/>
            </w:r>
            <w:r w:rsidR="00A30C68" w:rsidRPr="00A30C68">
              <w:rPr>
                <w:rFonts w:ascii="Times New Roman" w:hAnsi="Times New Roman" w:cs="Times New Roman"/>
                <w:noProof/>
                <w:webHidden/>
                <w:sz w:val="28"/>
                <w:szCs w:val="28"/>
              </w:rPr>
              <w:instrText xml:space="preserve"> PAGEREF _Toc230233412 \h </w:instrText>
            </w:r>
            <w:r w:rsidR="00A30C68" w:rsidRPr="00A30C68">
              <w:rPr>
                <w:rFonts w:ascii="Times New Roman" w:hAnsi="Times New Roman" w:cs="Times New Roman"/>
                <w:noProof/>
                <w:webHidden/>
                <w:sz w:val="28"/>
                <w:szCs w:val="28"/>
              </w:rPr>
            </w:r>
            <w:r w:rsidR="00A30C68" w:rsidRPr="00A30C68">
              <w:rPr>
                <w:rFonts w:ascii="Times New Roman" w:hAnsi="Times New Roman" w:cs="Times New Roman"/>
                <w:noProof/>
                <w:webHidden/>
                <w:sz w:val="28"/>
                <w:szCs w:val="28"/>
              </w:rPr>
              <w:fldChar w:fldCharType="separate"/>
            </w:r>
            <w:r w:rsidR="00A30C68" w:rsidRPr="00A30C68">
              <w:rPr>
                <w:rFonts w:ascii="Times New Roman" w:hAnsi="Times New Roman" w:cs="Times New Roman"/>
                <w:noProof/>
                <w:webHidden/>
                <w:sz w:val="28"/>
                <w:szCs w:val="28"/>
              </w:rPr>
              <w:t>6</w:t>
            </w:r>
            <w:r w:rsidR="00A30C68" w:rsidRPr="00A30C68">
              <w:rPr>
                <w:rFonts w:ascii="Times New Roman" w:hAnsi="Times New Roman" w:cs="Times New Roman"/>
                <w:noProof/>
                <w:webHidden/>
                <w:sz w:val="28"/>
                <w:szCs w:val="28"/>
              </w:rPr>
              <w:fldChar w:fldCharType="end"/>
            </w:r>
          </w:hyperlink>
        </w:p>
        <w:p w:rsidR="00A30C68" w:rsidRPr="00A30C68" w:rsidRDefault="00097DFD">
          <w:pPr>
            <w:pStyle w:val="20"/>
            <w:tabs>
              <w:tab w:val="left" w:pos="880"/>
              <w:tab w:val="right" w:leader="dot" w:pos="9350"/>
            </w:tabs>
            <w:rPr>
              <w:rFonts w:ascii="Times New Roman" w:eastAsiaTheme="minorEastAsia" w:hAnsi="Times New Roman" w:cs="Times New Roman"/>
              <w:noProof/>
              <w:sz w:val="28"/>
              <w:szCs w:val="28"/>
              <w:lang w:val="ru-RU"/>
            </w:rPr>
          </w:pPr>
          <w:hyperlink w:anchor="_Toc230233413" w:history="1">
            <w:r w:rsidR="00A30C68" w:rsidRPr="00A30C68">
              <w:rPr>
                <w:rStyle w:val="ac"/>
                <w:rFonts w:ascii="Times New Roman" w:hAnsi="Times New Roman" w:cs="Times New Roman"/>
                <w:noProof/>
                <w:sz w:val="28"/>
                <w:szCs w:val="28"/>
                <w:lang w:val="ru-RU"/>
              </w:rPr>
              <w:t>1.2.</w:t>
            </w:r>
            <w:r w:rsidR="00A30C68" w:rsidRPr="00A30C68">
              <w:rPr>
                <w:rFonts w:ascii="Times New Roman" w:eastAsiaTheme="minorEastAsia" w:hAnsi="Times New Roman" w:cs="Times New Roman"/>
                <w:noProof/>
                <w:sz w:val="28"/>
                <w:szCs w:val="28"/>
                <w:lang w:val="ru-RU"/>
              </w:rPr>
              <w:tab/>
            </w:r>
            <w:r w:rsidR="00A30C68" w:rsidRPr="00A30C68">
              <w:rPr>
                <w:rStyle w:val="ac"/>
                <w:rFonts w:ascii="Times New Roman" w:hAnsi="Times New Roman" w:cs="Times New Roman"/>
                <w:noProof/>
                <w:sz w:val="28"/>
                <w:szCs w:val="28"/>
                <w:lang w:val="ru-RU"/>
              </w:rPr>
              <w:t>Факторы, определяющие качество инвестиционного портфеля</w:t>
            </w:r>
            <w:r w:rsidR="00A30C68" w:rsidRPr="00A30C68">
              <w:rPr>
                <w:rFonts w:ascii="Times New Roman" w:hAnsi="Times New Roman" w:cs="Times New Roman"/>
                <w:noProof/>
                <w:webHidden/>
                <w:sz w:val="28"/>
                <w:szCs w:val="28"/>
              </w:rPr>
              <w:tab/>
            </w:r>
            <w:r w:rsidR="00A30C68" w:rsidRPr="00A30C68">
              <w:rPr>
                <w:rFonts w:ascii="Times New Roman" w:hAnsi="Times New Roman" w:cs="Times New Roman"/>
                <w:noProof/>
                <w:webHidden/>
                <w:sz w:val="28"/>
                <w:szCs w:val="28"/>
              </w:rPr>
              <w:fldChar w:fldCharType="begin"/>
            </w:r>
            <w:r w:rsidR="00A30C68" w:rsidRPr="00A30C68">
              <w:rPr>
                <w:rFonts w:ascii="Times New Roman" w:hAnsi="Times New Roman" w:cs="Times New Roman"/>
                <w:noProof/>
                <w:webHidden/>
                <w:sz w:val="28"/>
                <w:szCs w:val="28"/>
              </w:rPr>
              <w:instrText xml:space="preserve"> PAGEREF _Toc230233413 \h </w:instrText>
            </w:r>
            <w:r w:rsidR="00A30C68" w:rsidRPr="00A30C68">
              <w:rPr>
                <w:rFonts w:ascii="Times New Roman" w:hAnsi="Times New Roman" w:cs="Times New Roman"/>
                <w:noProof/>
                <w:webHidden/>
                <w:sz w:val="28"/>
                <w:szCs w:val="28"/>
              </w:rPr>
            </w:r>
            <w:r w:rsidR="00A30C68" w:rsidRPr="00A30C68">
              <w:rPr>
                <w:rFonts w:ascii="Times New Roman" w:hAnsi="Times New Roman" w:cs="Times New Roman"/>
                <w:noProof/>
                <w:webHidden/>
                <w:sz w:val="28"/>
                <w:szCs w:val="28"/>
              </w:rPr>
              <w:fldChar w:fldCharType="separate"/>
            </w:r>
            <w:r w:rsidR="00A30C68" w:rsidRPr="00A30C68">
              <w:rPr>
                <w:rFonts w:ascii="Times New Roman" w:hAnsi="Times New Roman" w:cs="Times New Roman"/>
                <w:noProof/>
                <w:webHidden/>
                <w:sz w:val="28"/>
                <w:szCs w:val="28"/>
              </w:rPr>
              <w:t>10</w:t>
            </w:r>
            <w:r w:rsidR="00A30C68" w:rsidRPr="00A30C68">
              <w:rPr>
                <w:rFonts w:ascii="Times New Roman" w:hAnsi="Times New Roman" w:cs="Times New Roman"/>
                <w:noProof/>
                <w:webHidden/>
                <w:sz w:val="28"/>
                <w:szCs w:val="28"/>
              </w:rPr>
              <w:fldChar w:fldCharType="end"/>
            </w:r>
          </w:hyperlink>
        </w:p>
        <w:p w:rsidR="00A30C68" w:rsidRPr="00A30C68" w:rsidRDefault="00097DFD">
          <w:pPr>
            <w:pStyle w:val="20"/>
            <w:tabs>
              <w:tab w:val="left" w:pos="880"/>
              <w:tab w:val="right" w:leader="dot" w:pos="9350"/>
            </w:tabs>
            <w:rPr>
              <w:rFonts w:ascii="Times New Roman" w:eastAsiaTheme="minorEastAsia" w:hAnsi="Times New Roman" w:cs="Times New Roman"/>
              <w:noProof/>
              <w:sz w:val="28"/>
              <w:szCs w:val="28"/>
              <w:lang w:val="ru-RU"/>
            </w:rPr>
          </w:pPr>
          <w:hyperlink w:anchor="_Toc230233414" w:history="1">
            <w:r w:rsidR="00A30C68" w:rsidRPr="00A30C68">
              <w:rPr>
                <w:rStyle w:val="ac"/>
                <w:rFonts w:ascii="Times New Roman" w:hAnsi="Times New Roman" w:cs="Times New Roman"/>
                <w:noProof/>
                <w:sz w:val="28"/>
                <w:szCs w:val="28"/>
                <w:lang w:val="ru-RU"/>
              </w:rPr>
              <w:t>1.3.</w:t>
            </w:r>
            <w:r w:rsidR="00A30C68" w:rsidRPr="00A30C68">
              <w:rPr>
                <w:rFonts w:ascii="Times New Roman" w:eastAsiaTheme="minorEastAsia" w:hAnsi="Times New Roman" w:cs="Times New Roman"/>
                <w:noProof/>
                <w:sz w:val="28"/>
                <w:szCs w:val="28"/>
                <w:lang w:val="ru-RU"/>
              </w:rPr>
              <w:tab/>
            </w:r>
            <w:r w:rsidR="00A30C68" w:rsidRPr="00A30C68">
              <w:rPr>
                <w:rStyle w:val="ac"/>
                <w:rFonts w:ascii="Times New Roman" w:hAnsi="Times New Roman" w:cs="Times New Roman"/>
                <w:noProof/>
                <w:sz w:val="28"/>
                <w:szCs w:val="28"/>
                <w:lang w:val="ru-RU"/>
              </w:rPr>
              <w:t>Инвестиционная привлекательность предприятия как фактор качества инвестиционного портфеля</w:t>
            </w:r>
            <w:r w:rsidR="00A30C68" w:rsidRPr="00A30C68">
              <w:rPr>
                <w:rFonts w:ascii="Times New Roman" w:hAnsi="Times New Roman" w:cs="Times New Roman"/>
                <w:noProof/>
                <w:webHidden/>
                <w:sz w:val="28"/>
                <w:szCs w:val="28"/>
              </w:rPr>
              <w:tab/>
            </w:r>
            <w:r w:rsidR="00A30C68" w:rsidRPr="00A30C68">
              <w:rPr>
                <w:rFonts w:ascii="Times New Roman" w:hAnsi="Times New Roman" w:cs="Times New Roman"/>
                <w:noProof/>
                <w:webHidden/>
                <w:sz w:val="28"/>
                <w:szCs w:val="28"/>
              </w:rPr>
              <w:fldChar w:fldCharType="begin"/>
            </w:r>
            <w:r w:rsidR="00A30C68" w:rsidRPr="00A30C68">
              <w:rPr>
                <w:rFonts w:ascii="Times New Roman" w:hAnsi="Times New Roman" w:cs="Times New Roman"/>
                <w:noProof/>
                <w:webHidden/>
                <w:sz w:val="28"/>
                <w:szCs w:val="28"/>
              </w:rPr>
              <w:instrText xml:space="preserve"> PAGEREF _Toc230233414 \h </w:instrText>
            </w:r>
            <w:r w:rsidR="00A30C68" w:rsidRPr="00A30C68">
              <w:rPr>
                <w:rFonts w:ascii="Times New Roman" w:hAnsi="Times New Roman" w:cs="Times New Roman"/>
                <w:noProof/>
                <w:webHidden/>
                <w:sz w:val="28"/>
                <w:szCs w:val="28"/>
              </w:rPr>
            </w:r>
            <w:r w:rsidR="00A30C68" w:rsidRPr="00A30C68">
              <w:rPr>
                <w:rFonts w:ascii="Times New Roman" w:hAnsi="Times New Roman" w:cs="Times New Roman"/>
                <w:noProof/>
                <w:webHidden/>
                <w:sz w:val="28"/>
                <w:szCs w:val="28"/>
              </w:rPr>
              <w:fldChar w:fldCharType="separate"/>
            </w:r>
            <w:r w:rsidR="00A30C68" w:rsidRPr="00A30C68">
              <w:rPr>
                <w:rFonts w:ascii="Times New Roman" w:hAnsi="Times New Roman" w:cs="Times New Roman"/>
                <w:noProof/>
                <w:webHidden/>
                <w:sz w:val="28"/>
                <w:szCs w:val="28"/>
              </w:rPr>
              <w:t>16</w:t>
            </w:r>
            <w:r w:rsidR="00A30C68" w:rsidRPr="00A30C68">
              <w:rPr>
                <w:rFonts w:ascii="Times New Roman" w:hAnsi="Times New Roman" w:cs="Times New Roman"/>
                <w:noProof/>
                <w:webHidden/>
                <w:sz w:val="28"/>
                <w:szCs w:val="28"/>
              </w:rPr>
              <w:fldChar w:fldCharType="end"/>
            </w:r>
          </w:hyperlink>
        </w:p>
        <w:p w:rsidR="00A30C68" w:rsidRPr="00A30C68" w:rsidRDefault="00097DFD">
          <w:pPr>
            <w:pStyle w:val="10"/>
            <w:tabs>
              <w:tab w:val="right" w:leader="dot" w:pos="9350"/>
            </w:tabs>
            <w:rPr>
              <w:rFonts w:ascii="Times New Roman" w:eastAsiaTheme="minorEastAsia" w:hAnsi="Times New Roman" w:cs="Times New Roman"/>
              <w:noProof/>
              <w:sz w:val="28"/>
              <w:szCs w:val="28"/>
              <w:lang w:val="ru-RU"/>
            </w:rPr>
          </w:pPr>
          <w:hyperlink w:anchor="_Toc230233415" w:history="1">
            <w:r w:rsidR="00A30C68" w:rsidRPr="00A30C68">
              <w:rPr>
                <w:rStyle w:val="ac"/>
                <w:rFonts w:ascii="Times New Roman" w:hAnsi="Times New Roman" w:cs="Times New Roman"/>
                <w:noProof/>
                <w:sz w:val="28"/>
                <w:szCs w:val="28"/>
                <w:lang w:val="ru-RU"/>
              </w:rPr>
              <w:t>Глава 2. Анализ качества инвестиционного портфеля ОПИФ РФИ «ВИМ-Металлургия»</w:t>
            </w:r>
            <w:r w:rsidR="00A30C68" w:rsidRPr="00A30C68">
              <w:rPr>
                <w:rFonts w:ascii="Times New Roman" w:hAnsi="Times New Roman" w:cs="Times New Roman"/>
                <w:noProof/>
                <w:webHidden/>
                <w:sz w:val="28"/>
                <w:szCs w:val="28"/>
              </w:rPr>
              <w:tab/>
            </w:r>
            <w:r w:rsidR="00A30C68" w:rsidRPr="00A30C68">
              <w:rPr>
                <w:rFonts w:ascii="Times New Roman" w:hAnsi="Times New Roman" w:cs="Times New Roman"/>
                <w:noProof/>
                <w:webHidden/>
                <w:sz w:val="28"/>
                <w:szCs w:val="28"/>
              </w:rPr>
              <w:fldChar w:fldCharType="begin"/>
            </w:r>
            <w:r w:rsidR="00A30C68" w:rsidRPr="00A30C68">
              <w:rPr>
                <w:rFonts w:ascii="Times New Roman" w:hAnsi="Times New Roman" w:cs="Times New Roman"/>
                <w:noProof/>
                <w:webHidden/>
                <w:sz w:val="28"/>
                <w:szCs w:val="28"/>
              </w:rPr>
              <w:instrText xml:space="preserve"> PAGEREF _Toc230233415 \h </w:instrText>
            </w:r>
            <w:r w:rsidR="00A30C68" w:rsidRPr="00A30C68">
              <w:rPr>
                <w:rFonts w:ascii="Times New Roman" w:hAnsi="Times New Roman" w:cs="Times New Roman"/>
                <w:noProof/>
                <w:webHidden/>
                <w:sz w:val="28"/>
                <w:szCs w:val="28"/>
              </w:rPr>
            </w:r>
            <w:r w:rsidR="00A30C68" w:rsidRPr="00A30C68">
              <w:rPr>
                <w:rFonts w:ascii="Times New Roman" w:hAnsi="Times New Roman" w:cs="Times New Roman"/>
                <w:noProof/>
                <w:webHidden/>
                <w:sz w:val="28"/>
                <w:szCs w:val="28"/>
              </w:rPr>
              <w:fldChar w:fldCharType="separate"/>
            </w:r>
            <w:r w:rsidR="00A30C68" w:rsidRPr="00A30C68">
              <w:rPr>
                <w:rFonts w:ascii="Times New Roman" w:hAnsi="Times New Roman" w:cs="Times New Roman"/>
                <w:noProof/>
                <w:webHidden/>
                <w:sz w:val="28"/>
                <w:szCs w:val="28"/>
              </w:rPr>
              <w:t>28</w:t>
            </w:r>
            <w:r w:rsidR="00A30C68" w:rsidRPr="00A30C68">
              <w:rPr>
                <w:rFonts w:ascii="Times New Roman" w:hAnsi="Times New Roman" w:cs="Times New Roman"/>
                <w:noProof/>
                <w:webHidden/>
                <w:sz w:val="28"/>
                <w:szCs w:val="28"/>
              </w:rPr>
              <w:fldChar w:fldCharType="end"/>
            </w:r>
          </w:hyperlink>
        </w:p>
        <w:p w:rsidR="00A30C68" w:rsidRPr="00A30C68" w:rsidRDefault="00097DFD">
          <w:pPr>
            <w:pStyle w:val="20"/>
            <w:tabs>
              <w:tab w:val="right" w:leader="dot" w:pos="9350"/>
            </w:tabs>
            <w:rPr>
              <w:rFonts w:ascii="Times New Roman" w:eastAsiaTheme="minorEastAsia" w:hAnsi="Times New Roman" w:cs="Times New Roman"/>
              <w:noProof/>
              <w:sz w:val="28"/>
              <w:szCs w:val="28"/>
              <w:lang w:val="ru-RU"/>
            </w:rPr>
          </w:pPr>
          <w:hyperlink w:anchor="_Toc230233416" w:history="1">
            <w:r w:rsidR="00A30C68" w:rsidRPr="00A30C68">
              <w:rPr>
                <w:rStyle w:val="ac"/>
                <w:rFonts w:ascii="Times New Roman" w:hAnsi="Times New Roman" w:cs="Times New Roman"/>
                <w:noProof/>
                <w:sz w:val="28"/>
                <w:szCs w:val="28"/>
                <w:lang w:val="ru-RU"/>
              </w:rPr>
              <w:t>2.1. Финансово-экономическая характеристика ОПИФ РФИ «ВИМ-Металлургия»</w:t>
            </w:r>
            <w:r w:rsidR="00A30C68" w:rsidRPr="00A30C68">
              <w:rPr>
                <w:rFonts w:ascii="Times New Roman" w:hAnsi="Times New Roman" w:cs="Times New Roman"/>
                <w:noProof/>
                <w:webHidden/>
                <w:sz w:val="28"/>
                <w:szCs w:val="28"/>
              </w:rPr>
              <w:tab/>
            </w:r>
            <w:r w:rsidR="00A30C68" w:rsidRPr="00A30C68">
              <w:rPr>
                <w:rFonts w:ascii="Times New Roman" w:hAnsi="Times New Roman" w:cs="Times New Roman"/>
                <w:noProof/>
                <w:webHidden/>
                <w:sz w:val="28"/>
                <w:szCs w:val="28"/>
              </w:rPr>
              <w:fldChar w:fldCharType="begin"/>
            </w:r>
            <w:r w:rsidR="00A30C68" w:rsidRPr="00A30C68">
              <w:rPr>
                <w:rFonts w:ascii="Times New Roman" w:hAnsi="Times New Roman" w:cs="Times New Roman"/>
                <w:noProof/>
                <w:webHidden/>
                <w:sz w:val="28"/>
                <w:szCs w:val="28"/>
              </w:rPr>
              <w:instrText xml:space="preserve"> PAGEREF _Toc230233416 \h </w:instrText>
            </w:r>
            <w:r w:rsidR="00A30C68" w:rsidRPr="00A30C68">
              <w:rPr>
                <w:rFonts w:ascii="Times New Roman" w:hAnsi="Times New Roman" w:cs="Times New Roman"/>
                <w:noProof/>
                <w:webHidden/>
                <w:sz w:val="28"/>
                <w:szCs w:val="28"/>
              </w:rPr>
            </w:r>
            <w:r w:rsidR="00A30C68" w:rsidRPr="00A30C68">
              <w:rPr>
                <w:rFonts w:ascii="Times New Roman" w:hAnsi="Times New Roman" w:cs="Times New Roman"/>
                <w:noProof/>
                <w:webHidden/>
                <w:sz w:val="28"/>
                <w:szCs w:val="28"/>
              </w:rPr>
              <w:fldChar w:fldCharType="separate"/>
            </w:r>
            <w:r w:rsidR="00A30C68" w:rsidRPr="00A30C68">
              <w:rPr>
                <w:rFonts w:ascii="Times New Roman" w:hAnsi="Times New Roman" w:cs="Times New Roman"/>
                <w:noProof/>
                <w:webHidden/>
                <w:sz w:val="28"/>
                <w:szCs w:val="28"/>
              </w:rPr>
              <w:t>28</w:t>
            </w:r>
            <w:r w:rsidR="00A30C68" w:rsidRPr="00A30C68">
              <w:rPr>
                <w:rFonts w:ascii="Times New Roman" w:hAnsi="Times New Roman" w:cs="Times New Roman"/>
                <w:noProof/>
                <w:webHidden/>
                <w:sz w:val="28"/>
                <w:szCs w:val="28"/>
              </w:rPr>
              <w:fldChar w:fldCharType="end"/>
            </w:r>
          </w:hyperlink>
        </w:p>
        <w:p w:rsidR="00A30C68" w:rsidRPr="00A30C68" w:rsidRDefault="00097DFD">
          <w:pPr>
            <w:pStyle w:val="20"/>
            <w:tabs>
              <w:tab w:val="right" w:leader="dot" w:pos="9350"/>
            </w:tabs>
            <w:rPr>
              <w:rFonts w:ascii="Times New Roman" w:eastAsiaTheme="minorEastAsia" w:hAnsi="Times New Roman" w:cs="Times New Roman"/>
              <w:noProof/>
              <w:sz w:val="28"/>
              <w:szCs w:val="28"/>
              <w:lang w:val="ru-RU"/>
            </w:rPr>
          </w:pPr>
          <w:hyperlink w:anchor="_Toc230233417" w:history="1">
            <w:r w:rsidR="00A30C68" w:rsidRPr="00A30C68">
              <w:rPr>
                <w:rStyle w:val="ac"/>
                <w:rFonts w:ascii="Times New Roman" w:hAnsi="Times New Roman" w:cs="Times New Roman"/>
                <w:bCs/>
                <w:noProof/>
                <w:sz w:val="28"/>
                <w:szCs w:val="28"/>
                <w:lang w:val="ru-RU"/>
              </w:rPr>
              <w:t>2.2. Оценка инвестиционной привлекательности крупнейших объектов инвестирования ОПИФ РФИ «ВИМ-Металлургия»</w:t>
            </w:r>
            <w:r w:rsidR="00A30C68" w:rsidRPr="00A30C68">
              <w:rPr>
                <w:rFonts w:ascii="Times New Roman" w:hAnsi="Times New Roman" w:cs="Times New Roman"/>
                <w:noProof/>
                <w:webHidden/>
                <w:sz w:val="28"/>
                <w:szCs w:val="28"/>
              </w:rPr>
              <w:tab/>
            </w:r>
            <w:r w:rsidR="00A30C68" w:rsidRPr="00A30C68">
              <w:rPr>
                <w:rFonts w:ascii="Times New Roman" w:hAnsi="Times New Roman" w:cs="Times New Roman"/>
                <w:noProof/>
                <w:webHidden/>
                <w:sz w:val="28"/>
                <w:szCs w:val="28"/>
              </w:rPr>
              <w:fldChar w:fldCharType="begin"/>
            </w:r>
            <w:r w:rsidR="00A30C68" w:rsidRPr="00A30C68">
              <w:rPr>
                <w:rFonts w:ascii="Times New Roman" w:hAnsi="Times New Roman" w:cs="Times New Roman"/>
                <w:noProof/>
                <w:webHidden/>
                <w:sz w:val="28"/>
                <w:szCs w:val="28"/>
              </w:rPr>
              <w:instrText xml:space="preserve"> PAGEREF _Toc230233417 \h </w:instrText>
            </w:r>
            <w:r w:rsidR="00A30C68" w:rsidRPr="00A30C68">
              <w:rPr>
                <w:rFonts w:ascii="Times New Roman" w:hAnsi="Times New Roman" w:cs="Times New Roman"/>
                <w:noProof/>
                <w:webHidden/>
                <w:sz w:val="28"/>
                <w:szCs w:val="28"/>
              </w:rPr>
            </w:r>
            <w:r w:rsidR="00A30C68" w:rsidRPr="00A30C68">
              <w:rPr>
                <w:rFonts w:ascii="Times New Roman" w:hAnsi="Times New Roman" w:cs="Times New Roman"/>
                <w:noProof/>
                <w:webHidden/>
                <w:sz w:val="28"/>
                <w:szCs w:val="28"/>
              </w:rPr>
              <w:fldChar w:fldCharType="separate"/>
            </w:r>
            <w:r w:rsidR="00A30C68" w:rsidRPr="00A30C68">
              <w:rPr>
                <w:rFonts w:ascii="Times New Roman" w:hAnsi="Times New Roman" w:cs="Times New Roman"/>
                <w:noProof/>
                <w:webHidden/>
                <w:sz w:val="28"/>
                <w:szCs w:val="28"/>
              </w:rPr>
              <w:t>35</w:t>
            </w:r>
            <w:r w:rsidR="00A30C68" w:rsidRPr="00A30C68">
              <w:rPr>
                <w:rFonts w:ascii="Times New Roman" w:hAnsi="Times New Roman" w:cs="Times New Roman"/>
                <w:noProof/>
                <w:webHidden/>
                <w:sz w:val="28"/>
                <w:szCs w:val="28"/>
              </w:rPr>
              <w:fldChar w:fldCharType="end"/>
            </w:r>
          </w:hyperlink>
        </w:p>
        <w:p w:rsidR="00A30C68" w:rsidRPr="00A30C68" w:rsidRDefault="00097DFD">
          <w:pPr>
            <w:pStyle w:val="20"/>
            <w:tabs>
              <w:tab w:val="right" w:leader="dot" w:pos="9350"/>
            </w:tabs>
            <w:rPr>
              <w:rFonts w:ascii="Times New Roman" w:eastAsiaTheme="minorEastAsia" w:hAnsi="Times New Roman" w:cs="Times New Roman"/>
              <w:noProof/>
              <w:sz w:val="28"/>
              <w:szCs w:val="28"/>
              <w:lang w:val="ru-RU"/>
            </w:rPr>
          </w:pPr>
          <w:hyperlink w:anchor="_Toc230233418" w:history="1">
            <w:r w:rsidR="00A30C68" w:rsidRPr="00A30C68">
              <w:rPr>
                <w:rStyle w:val="ac"/>
                <w:rFonts w:ascii="Times New Roman" w:hAnsi="Times New Roman" w:cs="Times New Roman"/>
                <w:noProof/>
                <w:sz w:val="28"/>
                <w:szCs w:val="28"/>
                <w:lang w:val="ru-RU"/>
              </w:rPr>
              <w:t>2.3. Анализ показателей качества инвестиционного портфеля ОПИФ РФИ «ВИМ-Металлургия»</w:t>
            </w:r>
            <w:r w:rsidR="00A30C68" w:rsidRPr="00A30C68">
              <w:rPr>
                <w:rFonts w:ascii="Times New Roman" w:hAnsi="Times New Roman" w:cs="Times New Roman"/>
                <w:noProof/>
                <w:webHidden/>
                <w:sz w:val="28"/>
                <w:szCs w:val="28"/>
              </w:rPr>
              <w:tab/>
            </w:r>
            <w:r w:rsidR="00A30C68" w:rsidRPr="00A30C68">
              <w:rPr>
                <w:rFonts w:ascii="Times New Roman" w:hAnsi="Times New Roman" w:cs="Times New Roman"/>
                <w:noProof/>
                <w:webHidden/>
                <w:sz w:val="28"/>
                <w:szCs w:val="28"/>
              </w:rPr>
              <w:fldChar w:fldCharType="begin"/>
            </w:r>
            <w:r w:rsidR="00A30C68" w:rsidRPr="00A30C68">
              <w:rPr>
                <w:rFonts w:ascii="Times New Roman" w:hAnsi="Times New Roman" w:cs="Times New Roman"/>
                <w:noProof/>
                <w:webHidden/>
                <w:sz w:val="28"/>
                <w:szCs w:val="28"/>
              </w:rPr>
              <w:instrText xml:space="preserve"> PAGEREF _Toc230233418 \h </w:instrText>
            </w:r>
            <w:r w:rsidR="00A30C68" w:rsidRPr="00A30C68">
              <w:rPr>
                <w:rFonts w:ascii="Times New Roman" w:hAnsi="Times New Roman" w:cs="Times New Roman"/>
                <w:noProof/>
                <w:webHidden/>
                <w:sz w:val="28"/>
                <w:szCs w:val="28"/>
              </w:rPr>
            </w:r>
            <w:r w:rsidR="00A30C68" w:rsidRPr="00A30C68">
              <w:rPr>
                <w:rFonts w:ascii="Times New Roman" w:hAnsi="Times New Roman" w:cs="Times New Roman"/>
                <w:noProof/>
                <w:webHidden/>
                <w:sz w:val="28"/>
                <w:szCs w:val="28"/>
              </w:rPr>
              <w:fldChar w:fldCharType="separate"/>
            </w:r>
            <w:r w:rsidR="00A30C68" w:rsidRPr="00A30C68">
              <w:rPr>
                <w:rFonts w:ascii="Times New Roman" w:hAnsi="Times New Roman" w:cs="Times New Roman"/>
                <w:noProof/>
                <w:webHidden/>
                <w:sz w:val="28"/>
                <w:szCs w:val="28"/>
              </w:rPr>
              <w:t>43</w:t>
            </w:r>
            <w:r w:rsidR="00A30C68" w:rsidRPr="00A30C68">
              <w:rPr>
                <w:rFonts w:ascii="Times New Roman" w:hAnsi="Times New Roman" w:cs="Times New Roman"/>
                <w:noProof/>
                <w:webHidden/>
                <w:sz w:val="28"/>
                <w:szCs w:val="28"/>
              </w:rPr>
              <w:fldChar w:fldCharType="end"/>
            </w:r>
          </w:hyperlink>
        </w:p>
        <w:p w:rsidR="00A30C68" w:rsidRPr="00A30C68" w:rsidRDefault="00097DFD">
          <w:pPr>
            <w:pStyle w:val="10"/>
            <w:tabs>
              <w:tab w:val="right" w:leader="dot" w:pos="9350"/>
            </w:tabs>
            <w:rPr>
              <w:rFonts w:ascii="Times New Roman" w:eastAsiaTheme="minorEastAsia" w:hAnsi="Times New Roman" w:cs="Times New Roman"/>
              <w:noProof/>
              <w:sz w:val="28"/>
              <w:szCs w:val="28"/>
              <w:lang w:val="ru-RU"/>
            </w:rPr>
          </w:pPr>
          <w:hyperlink w:anchor="_Toc230233419" w:history="1">
            <w:r w:rsidR="00A30C68" w:rsidRPr="00A30C68">
              <w:rPr>
                <w:rStyle w:val="ac"/>
                <w:rFonts w:ascii="Times New Roman" w:hAnsi="Times New Roman" w:cs="Times New Roman"/>
                <w:noProof/>
                <w:sz w:val="28"/>
                <w:szCs w:val="28"/>
                <w:lang w:val="ru-RU"/>
              </w:rPr>
              <w:t>Глава 3. Разработка рекомендаций повышения качества инвестиционного портфеля ОПИФ РФИ «ВИМ-Металлургия»</w:t>
            </w:r>
            <w:r w:rsidR="00A30C68" w:rsidRPr="00A30C68">
              <w:rPr>
                <w:rFonts w:ascii="Times New Roman" w:hAnsi="Times New Roman" w:cs="Times New Roman"/>
                <w:noProof/>
                <w:webHidden/>
                <w:sz w:val="28"/>
                <w:szCs w:val="28"/>
              </w:rPr>
              <w:tab/>
            </w:r>
            <w:r w:rsidR="00A30C68" w:rsidRPr="00A30C68">
              <w:rPr>
                <w:rFonts w:ascii="Times New Roman" w:hAnsi="Times New Roman" w:cs="Times New Roman"/>
                <w:noProof/>
                <w:webHidden/>
                <w:sz w:val="28"/>
                <w:szCs w:val="28"/>
              </w:rPr>
              <w:fldChar w:fldCharType="begin"/>
            </w:r>
            <w:r w:rsidR="00A30C68" w:rsidRPr="00A30C68">
              <w:rPr>
                <w:rFonts w:ascii="Times New Roman" w:hAnsi="Times New Roman" w:cs="Times New Roman"/>
                <w:noProof/>
                <w:webHidden/>
                <w:sz w:val="28"/>
                <w:szCs w:val="28"/>
              </w:rPr>
              <w:instrText xml:space="preserve"> PAGEREF _Toc230233419 \h </w:instrText>
            </w:r>
            <w:r w:rsidR="00A30C68" w:rsidRPr="00A30C68">
              <w:rPr>
                <w:rFonts w:ascii="Times New Roman" w:hAnsi="Times New Roman" w:cs="Times New Roman"/>
                <w:noProof/>
                <w:webHidden/>
                <w:sz w:val="28"/>
                <w:szCs w:val="28"/>
              </w:rPr>
            </w:r>
            <w:r w:rsidR="00A30C68" w:rsidRPr="00A30C68">
              <w:rPr>
                <w:rFonts w:ascii="Times New Roman" w:hAnsi="Times New Roman" w:cs="Times New Roman"/>
                <w:noProof/>
                <w:webHidden/>
                <w:sz w:val="28"/>
                <w:szCs w:val="28"/>
              </w:rPr>
              <w:fldChar w:fldCharType="separate"/>
            </w:r>
            <w:r w:rsidR="00A30C68" w:rsidRPr="00A30C68">
              <w:rPr>
                <w:rFonts w:ascii="Times New Roman" w:hAnsi="Times New Roman" w:cs="Times New Roman"/>
                <w:noProof/>
                <w:webHidden/>
                <w:sz w:val="28"/>
                <w:szCs w:val="28"/>
              </w:rPr>
              <w:t>49</w:t>
            </w:r>
            <w:r w:rsidR="00A30C68" w:rsidRPr="00A30C68">
              <w:rPr>
                <w:rFonts w:ascii="Times New Roman" w:hAnsi="Times New Roman" w:cs="Times New Roman"/>
                <w:noProof/>
                <w:webHidden/>
                <w:sz w:val="28"/>
                <w:szCs w:val="28"/>
              </w:rPr>
              <w:fldChar w:fldCharType="end"/>
            </w:r>
          </w:hyperlink>
        </w:p>
        <w:p w:rsidR="00A30C68" w:rsidRPr="00A30C68" w:rsidRDefault="00097DFD">
          <w:pPr>
            <w:pStyle w:val="20"/>
            <w:tabs>
              <w:tab w:val="right" w:leader="dot" w:pos="9350"/>
            </w:tabs>
            <w:rPr>
              <w:rFonts w:ascii="Times New Roman" w:eastAsiaTheme="minorEastAsia" w:hAnsi="Times New Roman" w:cs="Times New Roman"/>
              <w:noProof/>
              <w:sz w:val="28"/>
              <w:szCs w:val="28"/>
              <w:lang w:val="ru-RU"/>
            </w:rPr>
          </w:pPr>
          <w:hyperlink w:anchor="_Toc230233420" w:history="1">
            <w:r w:rsidR="00A30C68" w:rsidRPr="00A30C68">
              <w:rPr>
                <w:rStyle w:val="ac"/>
                <w:rFonts w:ascii="Times New Roman" w:hAnsi="Times New Roman" w:cs="Times New Roman"/>
                <w:noProof/>
                <w:sz w:val="28"/>
                <w:szCs w:val="28"/>
                <w:lang w:val="ru-RU"/>
              </w:rPr>
              <w:t>3.1. Рекомендации по повышению доходности портфеля</w:t>
            </w:r>
            <w:r w:rsidR="00A30C68" w:rsidRPr="00A30C68">
              <w:rPr>
                <w:rFonts w:ascii="Times New Roman" w:hAnsi="Times New Roman" w:cs="Times New Roman"/>
                <w:noProof/>
                <w:webHidden/>
                <w:sz w:val="28"/>
                <w:szCs w:val="28"/>
              </w:rPr>
              <w:tab/>
            </w:r>
            <w:r w:rsidR="00A30C68" w:rsidRPr="00A30C68">
              <w:rPr>
                <w:rFonts w:ascii="Times New Roman" w:hAnsi="Times New Roman" w:cs="Times New Roman"/>
                <w:noProof/>
                <w:webHidden/>
                <w:sz w:val="28"/>
                <w:szCs w:val="28"/>
              </w:rPr>
              <w:fldChar w:fldCharType="begin"/>
            </w:r>
            <w:r w:rsidR="00A30C68" w:rsidRPr="00A30C68">
              <w:rPr>
                <w:rFonts w:ascii="Times New Roman" w:hAnsi="Times New Roman" w:cs="Times New Roman"/>
                <w:noProof/>
                <w:webHidden/>
                <w:sz w:val="28"/>
                <w:szCs w:val="28"/>
              </w:rPr>
              <w:instrText xml:space="preserve"> PAGEREF _Toc230233420 \h </w:instrText>
            </w:r>
            <w:r w:rsidR="00A30C68" w:rsidRPr="00A30C68">
              <w:rPr>
                <w:rFonts w:ascii="Times New Roman" w:hAnsi="Times New Roman" w:cs="Times New Roman"/>
                <w:noProof/>
                <w:webHidden/>
                <w:sz w:val="28"/>
                <w:szCs w:val="28"/>
              </w:rPr>
            </w:r>
            <w:r w:rsidR="00A30C68" w:rsidRPr="00A30C68">
              <w:rPr>
                <w:rFonts w:ascii="Times New Roman" w:hAnsi="Times New Roman" w:cs="Times New Roman"/>
                <w:noProof/>
                <w:webHidden/>
                <w:sz w:val="28"/>
                <w:szCs w:val="28"/>
              </w:rPr>
              <w:fldChar w:fldCharType="separate"/>
            </w:r>
            <w:r w:rsidR="00A30C68" w:rsidRPr="00A30C68">
              <w:rPr>
                <w:rFonts w:ascii="Times New Roman" w:hAnsi="Times New Roman" w:cs="Times New Roman"/>
                <w:noProof/>
                <w:webHidden/>
                <w:sz w:val="28"/>
                <w:szCs w:val="28"/>
              </w:rPr>
              <w:t>49</w:t>
            </w:r>
            <w:r w:rsidR="00A30C68" w:rsidRPr="00A30C68">
              <w:rPr>
                <w:rFonts w:ascii="Times New Roman" w:hAnsi="Times New Roman" w:cs="Times New Roman"/>
                <w:noProof/>
                <w:webHidden/>
                <w:sz w:val="28"/>
                <w:szCs w:val="28"/>
              </w:rPr>
              <w:fldChar w:fldCharType="end"/>
            </w:r>
          </w:hyperlink>
        </w:p>
        <w:p w:rsidR="00A30C68" w:rsidRPr="00A30C68" w:rsidRDefault="00097DFD">
          <w:pPr>
            <w:pStyle w:val="20"/>
            <w:tabs>
              <w:tab w:val="right" w:leader="dot" w:pos="9350"/>
            </w:tabs>
            <w:rPr>
              <w:rFonts w:ascii="Times New Roman" w:eastAsiaTheme="minorEastAsia" w:hAnsi="Times New Roman" w:cs="Times New Roman"/>
              <w:noProof/>
              <w:sz w:val="28"/>
              <w:szCs w:val="28"/>
              <w:lang w:val="ru-RU"/>
            </w:rPr>
          </w:pPr>
          <w:hyperlink w:anchor="_Toc230233421" w:history="1">
            <w:r w:rsidR="00A30C68" w:rsidRPr="00A30C68">
              <w:rPr>
                <w:rStyle w:val="ac"/>
                <w:rFonts w:ascii="Times New Roman" w:hAnsi="Times New Roman" w:cs="Times New Roman"/>
                <w:noProof/>
                <w:sz w:val="28"/>
                <w:szCs w:val="28"/>
                <w:lang w:val="ru-RU"/>
              </w:rPr>
              <w:t>3.2. Рекомендации по диверсификации портфеля</w:t>
            </w:r>
            <w:r w:rsidR="00A30C68" w:rsidRPr="00A30C68">
              <w:rPr>
                <w:rFonts w:ascii="Times New Roman" w:hAnsi="Times New Roman" w:cs="Times New Roman"/>
                <w:noProof/>
                <w:webHidden/>
                <w:sz w:val="28"/>
                <w:szCs w:val="28"/>
              </w:rPr>
              <w:tab/>
            </w:r>
            <w:r w:rsidR="00A30C68" w:rsidRPr="00A30C68">
              <w:rPr>
                <w:rFonts w:ascii="Times New Roman" w:hAnsi="Times New Roman" w:cs="Times New Roman"/>
                <w:noProof/>
                <w:webHidden/>
                <w:sz w:val="28"/>
                <w:szCs w:val="28"/>
              </w:rPr>
              <w:fldChar w:fldCharType="begin"/>
            </w:r>
            <w:r w:rsidR="00A30C68" w:rsidRPr="00A30C68">
              <w:rPr>
                <w:rFonts w:ascii="Times New Roman" w:hAnsi="Times New Roman" w:cs="Times New Roman"/>
                <w:noProof/>
                <w:webHidden/>
                <w:sz w:val="28"/>
                <w:szCs w:val="28"/>
              </w:rPr>
              <w:instrText xml:space="preserve"> PAGEREF _Toc230233421 \h </w:instrText>
            </w:r>
            <w:r w:rsidR="00A30C68" w:rsidRPr="00A30C68">
              <w:rPr>
                <w:rFonts w:ascii="Times New Roman" w:hAnsi="Times New Roman" w:cs="Times New Roman"/>
                <w:noProof/>
                <w:webHidden/>
                <w:sz w:val="28"/>
                <w:szCs w:val="28"/>
              </w:rPr>
            </w:r>
            <w:r w:rsidR="00A30C68" w:rsidRPr="00A30C68">
              <w:rPr>
                <w:rFonts w:ascii="Times New Roman" w:hAnsi="Times New Roman" w:cs="Times New Roman"/>
                <w:noProof/>
                <w:webHidden/>
                <w:sz w:val="28"/>
                <w:szCs w:val="28"/>
              </w:rPr>
              <w:fldChar w:fldCharType="separate"/>
            </w:r>
            <w:r w:rsidR="00A30C68" w:rsidRPr="00A30C68">
              <w:rPr>
                <w:rFonts w:ascii="Times New Roman" w:hAnsi="Times New Roman" w:cs="Times New Roman"/>
                <w:noProof/>
                <w:webHidden/>
                <w:sz w:val="28"/>
                <w:szCs w:val="28"/>
              </w:rPr>
              <w:t>55</w:t>
            </w:r>
            <w:r w:rsidR="00A30C68" w:rsidRPr="00A30C68">
              <w:rPr>
                <w:rFonts w:ascii="Times New Roman" w:hAnsi="Times New Roman" w:cs="Times New Roman"/>
                <w:noProof/>
                <w:webHidden/>
                <w:sz w:val="28"/>
                <w:szCs w:val="28"/>
              </w:rPr>
              <w:fldChar w:fldCharType="end"/>
            </w:r>
          </w:hyperlink>
        </w:p>
        <w:p w:rsidR="00A30C68" w:rsidRPr="00A30C68" w:rsidRDefault="00097DFD">
          <w:pPr>
            <w:pStyle w:val="10"/>
            <w:tabs>
              <w:tab w:val="right" w:leader="dot" w:pos="9350"/>
            </w:tabs>
            <w:rPr>
              <w:rFonts w:ascii="Times New Roman" w:eastAsiaTheme="minorEastAsia" w:hAnsi="Times New Roman" w:cs="Times New Roman"/>
              <w:noProof/>
              <w:sz w:val="28"/>
              <w:szCs w:val="28"/>
              <w:lang w:val="ru-RU"/>
            </w:rPr>
          </w:pPr>
          <w:hyperlink w:anchor="_Toc230233422" w:history="1">
            <w:r w:rsidR="00A30C68" w:rsidRPr="00A30C68">
              <w:rPr>
                <w:rStyle w:val="ac"/>
                <w:rFonts w:ascii="Times New Roman" w:hAnsi="Times New Roman" w:cs="Times New Roman"/>
                <w:noProof/>
                <w:sz w:val="28"/>
                <w:szCs w:val="28"/>
                <w:lang w:val="ru-RU"/>
              </w:rPr>
              <w:t>Заключение</w:t>
            </w:r>
            <w:r w:rsidR="00A30C68" w:rsidRPr="00A30C68">
              <w:rPr>
                <w:rFonts w:ascii="Times New Roman" w:hAnsi="Times New Roman" w:cs="Times New Roman"/>
                <w:noProof/>
                <w:webHidden/>
                <w:sz w:val="28"/>
                <w:szCs w:val="28"/>
              </w:rPr>
              <w:tab/>
            </w:r>
            <w:r w:rsidR="00A30C68" w:rsidRPr="00A30C68">
              <w:rPr>
                <w:rFonts w:ascii="Times New Roman" w:hAnsi="Times New Roman" w:cs="Times New Roman"/>
                <w:noProof/>
                <w:webHidden/>
                <w:sz w:val="28"/>
                <w:szCs w:val="28"/>
              </w:rPr>
              <w:fldChar w:fldCharType="begin"/>
            </w:r>
            <w:r w:rsidR="00A30C68" w:rsidRPr="00A30C68">
              <w:rPr>
                <w:rFonts w:ascii="Times New Roman" w:hAnsi="Times New Roman" w:cs="Times New Roman"/>
                <w:noProof/>
                <w:webHidden/>
                <w:sz w:val="28"/>
                <w:szCs w:val="28"/>
              </w:rPr>
              <w:instrText xml:space="preserve"> PAGEREF _Toc230233422 \h </w:instrText>
            </w:r>
            <w:r w:rsidR="00A30C68" w:rsidRPr="00A30C68">
              <w:rPr>
                <w:rFonts w:ascii="Times New Roman" w:hAnsi="Times New Roman" w:cs="Times New Roman"/>
                <w:noProof/>
                <w:webHidden/>
                <w:sz w:val="28"/>
                <w:szCs w:val="28"/>
              </w:rPr>
            </w:r>
            <w:r w:rsidR="00A30C68" w:rsidRPr="00A30C68">
              <w:rPr>
                <w:rFonts w:ascii="Times New Roman" w:hAnsi="Times New Roman" w:cs="Times New Roman"/>
                <w:noProof/>
                <w:webHidden/>
                <w:sz w:val="28"/>
                <w:szCs w:val="28"/>
              </w:rPr>
              <w:fldChar w:fldCharType="separate"/>
            </w:r>
            <w:r w:rsidR="00A30C68" w:rsidRPr="00A30C68">
              <w:rPr>
                <w:rFonts w:ascii="Times New Roman" w:hAnsi="Times New Roman" w:cs="Times New Roman"/>
                <w:noProof/>
                <w:webHidden/>
                <w:sz w:val="28"/>
                <w:szCs w:val="28"/>
              </w:rPr>
              <w:t>63</w:t>
            </w:r>
            <w:r w:rsidR="00A30C68" w:rsidRPr="00A30C68">
              <w:rPr>
                <w:rFonts w:ascii="Times New Roman" w:hAnsi="Times New Roman" w:cs="Times New Roman"/>
                <w:noProof/>
                <w:webHidden/>
                <w:sz w:val="28"/>
                <w:szCs w:val="28"/>
              </w:rPr>
              <w:fldChar w:fldCharType="end"/>
            </w:r>
          </w:hyperlink>
        </w:p>
        <w:p w:rsidR="00A30C68" w:rsidRDefault="00097DFD">
          <w:pPr>
            <w:pStyle w:val="10"/>
            <w:tabs>
              <w:tab w:val="right" w:leader="dot" w:pos="9350"/>
            </w:tabs>
            <w:rPr>
              <w:rFonts w:asciiTheme="minorHAnsi" w:eastAsiaTheme="minorEastAsia" w:hAnsiTheme="minorHAnsi" w:cstheme="minorBidi"/>
              <w:noProof/>
              <w:lang w:val="ru-RU"/>
            </w:rPr>
          </w:pPr>
          <w:hyperlink w:anchor="_Toc230233423" w:history="1">
            <w:r w:rsidR="00A30C68" w:rsidRPr="00A30C68">
              <w:rPr>
                <w:rStyle w:val="ac"/>
                <w:rFonts w:ascii="Times New Roman" w:eastAsia="Times New Roman" w:hAnsi="Times New Roman" w:cs="Times New Roman"/>
                <w:bCs/>
                <w:noProof/>
                <w:sz w:val="28"/>
                <w:szCs w:val="28"/>
                <w:lang w:val="ru-RU"/>
              </w:rPr>
              <w:t>Список использованных источников</w:t>
            </w:r>
            <w:r w:rsidR="00A30C68" w:rsidRPr="00A30C68">
              <w:rPr>
                <w:rFonts w:ascii="Times New Roman" w:hAnsi="Times New Roman" w:cs="Times New Roman"/>
                <w:noProof/>
                <w:webHidden/>
                <w:sz w:val="28"/>
                <w:szCs w:val="28"/>
              </w:rPr>
              <w:tab/>
            </w:r>
            <w:r w:rsidR="00A30C68" w:rsidRPr="00A30C68">
              <w:rPr>
                <w:rFonts w:ascii="Times New Roman" w:hAnsi="Times New Roman" w:cs="Times New Roman"/>
                <w:noProof/>
                <w:webHidden/>
                <w:sz w:val="28"/>
                <w:szCs w:val="28"/>
              </w:rPr>
              <w:fldChar w:fldCharType="begin"/>
            </w:r>
            <w:r w:rsidR="00A30C68" w:rsidRPr="00A30C68">
              <w:rPr>
                <w:rFonts w:ascii="Times New Roman" w:hAnsi="Times New Roman" w:cs="Times New Roman"/>
                <w:noProof/>
                <w:webHidden/>
                <w:sz w:val="28"/>
                <w:szCs w:val="28"/>
              </w:rPr>
              <w:instrText xml:space="preserve"> PAGEREF _Toc230233423 \h </w:instrText>
            </w:r>
            <w:r w:rsidR="00A30C68" w:rsidRPr="00A30C68">
              <w:rPr>
                <w:rFonts w:ascii="Times New Roman" w:hAnsi="Times New Roman" w:cs="Times New Roman"/>
                <w:noProof/>
                <w:webHidden/>
                <w:sz w:val="28"/>
                <w:szCs w:val="28"/>
              </w:rPr>
            </w:r>
            <w:r w:rsidR="00A30C68" w:rsidRPr="00A30C68">
              <w:rPr>
                <w:rFonts w:ascii="Times New Roman" w:hAnsi="Times New Roman" w:cs="Times New Roman"/>
                <w:noProof/>
                <w:webHidden/>
                <w:sz w:val="28"/>
                <w:szCs w:val="28"/>
              </w:rPr>
              <w:fldChar w:fldCharType="separate"/>
            </w:r>
            <w:r w:rsidR="00A30C68" w:rsidRPr="00A30C68">
              <w:rPr>
                <w:rFonts w:ascii="Times New Roman" w:hAnsi="Times New Roman" w:cs="Times New Roman"/>
                <w:noProof/>
                <w:webHidden/>
                <w:sz w:val="28"/>
                <w:szCs w:val="28"/>
              </w:rPr>
              <w:t>66</w:t>
            </w:r>
            <w:r w:rsidR="00A30C68" w:rsidRPr="00A30C68">
              <w:rPr>
                <w:rFonts w:ascii="Times New Roman" w:hAnsi="Times New Roman" w:cs="Times New Roman"/>
                <w:noProof/>
                <w:webHidden/>
                <w:sz w:val="28"/>
                <w:szCs w:val="28"/>
              </w:rPr>
              <w:fldChar w:fldCharType="end"/>
            </w:r>
          </w:hyperlink>
        </w:p>
        <w:p w:rsidR="00F834A7" w:rsidRDefault="00F74D7F" w:rsidP="00C76864">
          <w:pPr>
            <w:spacing w:line="360" w:lineRule="auto"/>
            <w:jc w:val="both"/>
            <w:rPr>
              <w:b/>
              <w:bCs/>
            </w:rPr>
          </w:pPr>
          <w:r w:rsidRPr="00C76864">
            <w:rPr>
              <w:rFonts w:ascii="Times New Roman" w:hAnsi="Times New Roman" w:cs="Times New Roman"/>
              <w:b/>
              <w:bCs/>
              <w:sz w:val="28"/>
              <w:szCs w:val="28"/>
            </w:rPr>
            <w:fldChar w:fldCharType="end"/>
          </w:r>
        </w:p>
      </w:sdtContent>
    </w:sdt>
    <w:p w:rsidR="002C229C" w:rsidRDefault="002C229C" w:rsidP="00653A71">
      <w:pPr>
        <w:pStyle w:val="1"/>
        <w:spacing w:before="0" w:after="0" w:line="360" w:lineRule="auto"/>
        <w:rPr>
          <w:rFonts w:cs="Times New Roman"/>
          <w:bCs/>
          <w:szCs w:val="28"/>
          <w:lang w:val="ru-RU"/>
        </w:rPr>
      </w:pPr>
    </w:p>
    <w:p w:rsidR="002C229C" w:rsidRDefault="002C229C" w:rsidP="00653A71">
      <w:pPr>
        <w:pStyle w:val="1"/>
        <w:spacing w:before="0" w:after="0" w:line="360" w:lineRule="auto"/>
        <w:rPr>
          <w:rFonts w:cs="Times New Roman"/>
          <w:bCs/>
          <w:szCs w:val="28"/>
          <w:lang w:val="ru-RU"/>
        </w:rPr>
      </w:pPr>
    </w:p>
    <w:p w:rsidR="002C229C" w:rsidRDefault="002C229C" w:rsidP="002C229C">
      <w:pPr>
        <w:rPr>
          <w:lang w:val="ru-RU"/>
        </w:rPr>
      </w:pPr>
    </w:p>
    <w:p w:rsidR="00F834A7" w:rsidRDefault="00F834A7" w:rsidP="004167DF">
      <w:pPr>
        <w:pStyle w:val="1"/>
        <w:spacing w:before="0" w:after="0" w:line="360" w:lineRule="auto"/>
        <w:jc w:val="left"/>
        <w:rPr>
          <w:rFonts w:cs="Times New Roman"/>
          <w:bCs/>
          <w:szCs w:val="28"/>
          <w:lang w:val="ru-RU"/>
        </w:rPr>
        <w:sectPr w:rsidR="00F834A7">
          <w:pgSz w:w="12240" w:h="15840"/>
          <w:pgMar w:top="1440" w:right="1440" w:bottom="1440" w:left="1440" w:header="720" w:footer="720" w:gutter="0"/>
          <w:pgNumType w:start="1"/>
          <w:cols w:space="720"/>
        </w:sectPr>
      </w:pPr>
    </w:p>
    <w:p w:rsidR="007D27F4" w:rsidRDefault="00FF0F5C" w:rsidP="00CD1CF2">
      <w:pPr>
        <w:pStyle w:val="1"/>
        <w:spacing w:before="0" w:after="0" w:line="360" w:lineRule="auto"/>
        <w:rPr>
          <w:rFonts w:cs="Times New Roman"/>
          <w:bCs/>
          <w:szCs w:val="28"/>
          <w:lang w:val="ru-RU"/>
        </w:rPr>
      </w:pPr>
      <w:bookmarkStart w:id="0" w:name="_Toc230233410"/>
      <w:r w:rsidRPr="00653A71">
        <w:rPr>
          <w:rFonts w:cs="Times New Roman"/>
          <w:bCs/>
          <w:szCs w:val="28"/>
          <w:lang w:val="ru-RU"/>
        </w:rPr>
        <w:lastRenderedPageBreak/>
        <w:t>Введение</w:t>
      </w:r>
      <w:bookmarkEnd w:id="0"/>
    </w:p>
    <w:p w:rsidR="002C229C" w:rsidRPr="002C229C" w:rsidRDefault="002C229C" w:rsidP="00CD1CF2">
      <w:pPr>
        <w:spacing w:line="360" w:lineRule="auto"/>
        <w:jc w:val="both"/>
        <w:rPr>
          <w:lang w:val="ru-RU"/>
        </w:rPr>
      </w:pPr>
    </w:p>
    <w:p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Актуальность темы исследования:</w:t>
      </w:r>
      <w:r w:rsidR="00CD1CF2">
        <w:rPr>
          <w:rFonts w:ascii="Times New Roman" w:eastAsia="Times New Roman" w:hAnsi="Times New Roman" w:cs="Times New Roman"/>
          <w:sz w:val="28"/>
          <w:szCs w:val="28"/>
          <w:lang w:val="ru-RU"/>
        </w:rPr>
        <w:t xml:space="preserve"> в</w:t>
      </w:r>
      <w:r w:rsidRPr="00CD1CF2">
        <w:rPr>
          <w:rFonts w:ascii="Times New Roman" w:eastAsia="Times New Roman" w:hAnsi="Times New Roman" w:cs="Times New Roman"/>
          <w:sz w:val="28"/>
          <w:szCs w:val="28"/>
          <w:lang w:val="ru-RU"/>
        </w:rPr>
        <w:t xml:space="preserve"> условиях современной макроэкономической нестабильности, геополитической турбулентности и структурной трансформации экономики критически важным элементом обеспечения финансовой защищенности капитала выступает грамотная и всесторонняя оценка инвестиционных активов. Сектор металлургии традиционно является одной из базовых и наиболее значимых отраслей российской экономики, однако его функционирование сопряжено с высокой капиталоемкостью, существенной зависимостью от волатильности мировых цен на сырье и необходимостью непрерывной модернизации производственных фондов. В подобных экономических реалиях инвестирование на фондовом рынке требует максимально взвешенного подхода к формированию и управлению портфелями паевых инвестиционных фондов (ПИФов), профилирующихся на предприятиях металлургического сектора.</w:t>
      </w:r>
    </w:p>
    <w:p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sz w:val="28"/>
          <w:szCs w:val="28"/>
          <w:lang w:val="ru-RU"/>
        </w:rPr>
        <w:t xml:space="preserve">Традиционно качество и эффективность управления инвестиционным портфелем измеряются на основе классических метрик, оценивающих ретроспективное соотношение риска и доходности. Тем не менее, практика показывает, что классические портфельные коэффициенты зачастую оказываются недостаточными при изолированном применении. Они отражают лишь историческую волатильность рыночных котировок, но не способны в полной мере охарактеризовать реальную стоимость объектов инвестирования, их финансовое здоровье и способность генерировать устойчивые денежные потоки в условиях кризисных явлений. Для получения достоверной оценки качества инвестиционного портфеля необходим интегрированный подход, сочетающий математическое моделирование портфеля с углубленным </w:t>
      </w:r>
      <w:r w:rsidRPr="00CD1CF2">
        <w:rPr>
          <w:rFonts w:ascii="Times New Roman" w:eastAsia="Times New Roman" w:hAnsi="Times New Roman" w:cs="Times New Roman"/>
          <w:sz w:val="28"/>
          <w:szCs w:val="28"/>
          <w:lang w:val="ru-RU"/>
        </w:rPr>
        <w:lastRenderedPageBreak/>
        <w:t xml:space="preserve">фундаментальным анализом самих активов (компаний-эмитентов). Оценка ликвидности, платежеспособности, рентабельности и рисков банкротства эмитентов позволяет сформировать объективное представление о внутренней стоимости активов. Следовательно, синтез классического портфельного и фундаментального финансового анализа для обоснования путей оптимизации структуры портфелей </w:t>
      </w:r>
      <w:proofErr w:type="spellStart"/>
      <w:r w:rsidRPr="00CD1CF2">
        <w:rPr>
          <w:rFonts w:ascii="Times New Roman" w:eastAsia="Times New Roman" w:hAnsi="Times New Roman" w:cs="Times New Roman"/>
          <w:sz w:val="28"/>
          <w:szCs w:val="28"/>
          <w:lang w:val="ru-RU"/>
        </w:rPr>
        <w:t>ПИФов</w:t>
      </w:r>
      <w:proofErr w:type="spellEnd"/>
      <w:r w:rsidRPr="00CD1CF2">
        <w:rPr>
          <w:rFonts w:ascii="Times New Roman" w:eastAsia="Times New Roman" w:hAnsi="Times New Roman" w:cs="Times New Roman"/>
          <w:sz w:val="28"/>
          <w:szCs w:val="28"/>
          <w:lang w:val="ru-RU"/>
        </w:rPr>
        <w:t xml:space="preserve"> является </w:t>
      </w:r>
      <w:proofErr w:type="spellStart"/>
      <w:r w:rsidRPr="00CD1CF2">
        <w:rPr>
          <w:rFonts w:ascii="Times New Roman" w:eastAsia="Times New Roman" w:hAnsi="Times New Roman" w:cs="Times New Roman"/>
          <w:sz w:val="28"/>
          <w:szCs w:val="28"/>
          <w:lang w:val="ru-RU"/>
        </w:rPr>
        <w:t>высокоактуальной</w:t>
      </w:r>
      <w:proofErr w:type="spellEnd"/>
      <w:r w:rsidRPr="00CD1CF2">
        <w:rPr>
          <w:rFonts w:ascii="Times New Roman" w:eastAsia="Times New Roman" w:hAnsi="Times New Roman" w:cs="Times New Roman"/>
          <w:sz w:val="28"/>
          <w:szCs w:val="28"/>
          <w:lang w:val="ru-RU"/>
        </w:rPr>
        <w:t xml:space="preserve"> научной и прикладной задачей.</w:t>
      </w:r>
    </w:p>
    <w:p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Цель исследования:</w:t>
      </w:r>
      <w:r w:rsidRPr="00CD1CF2">
        <w:rPr>
          <w:rFonts w:ascii="Times New Roman" w:eastAsia="Times New Roman" w:hAnsi="Times New Roman" w:cs="Times New Roman"/>
          <w:sz w:val="28"/>
          <w:szCs w:val="28"/>
          <w:lang w:val="ru-RU"/>
        </w:rPr>
        <w:t xml:space="preserve"> оценка текущего качества инвестиционного портфеля ОПИФ РФИ «ВИМ-Металлургия» и разработка практических рекомендаций по его повышению.</w:t>
      </w:r>
    </w:p>
    <w:p w:rsidR="007D27F4" w:rsidRPr="00CD1CF2" w:rsidRDefault="00FF0F5C" w:rsidP="00CD1CF2">
      <w:pPr>
        <w:spacing w:line="360" w:lineRule="auto"/>
        <w:ind w:firstLine="709"/>
        <w:jc w:val="both"/>
        <w:rPr>
          <w:rFonts w:ascii="Times New Roman" w:eastAsia="Times New Roman" w:hAnsi="Times New Roman" w:cs="Times New Roman"/>
          <w:bCs/>
          <w:sz w:val="28"/>
          <w:szCs w:val="28"/>
        </w:rPr>
      </w:pPr>
      <w:proofErr w:type="spellStart"/>
      <w:r w:rsidRPr="00CD1CF2">
        <w:rPr>
          <w:rFonts w:ascii="Times New Roman" w:eastAsia="Times New Roman" w:hAnsi="Times New Roman" w:cs="Times New Roman"/>
          <w:bCs/>
          <w:sz w:val="28"/>
          <w:szCs w:val="28"/>
        </w:rPr>
        <w:t>Задачи</w:t>
      </w:r>
      <w:proofErr w:type="spellEnd"/>
      <w:r w:rsidRPr="00CD1CF2">
        <w:rPr>
          <w:rFonts w:ascii="Times New Roman" w:eastAsia="Times New Roman" w:hAnsi="Times New Roman" w:cs="Times New Roman"/>
          <w:bCs/>
          <w:sz w:val="28"/>
          <w:szCs w:val="28"/>
        </w:rPr>
        <w:t xml:space="preserve"> </w:t>
      </w:r>
      <w:proofErr w:type="spellStart"/>
      <w:r w:rsidRPr="00CD1CF2">
        <w:rPr>
          <w:rFonts w:ascii="Times New Roman" w:eastAsia="Times New Roman" w:hAnsi="Times New Roman" w:cs="Times New Roman"/>
          <w:bCs/>
          <w:sz w:val="28"/>
          <w:szCs w:val="28"/>
        </w:rPr>
        <w:t>исследования</w:t>
      </w:r>
      <w:proofErr w:type="spellEnd"/>
      <w:r w:rsidRPr="00CD1CF2">
        <w:rPr>
          <w:rFonts w:ascii="Times New Roman" w:eastAsia="Times New Roman" w:hAnsi="Times New Roman" w:cs="Times New Roman"/>
          <w:bCs/>
          <w:sz w:val="28"/>
          <w:szCs w:val="28"/>
        </w:rPr>
        <w:t>:</w:t>
      </w:r>
    </w:p>
    <w:p w:rsidR="007D27F4" w:rsidRPr="00CD1CF2" w:rsidRDefault="00FF0F5C" w:rsidP="00CD1CF2">
      <w:pPr>
        <w:numPr>
          <w:ilvl w:val="0"/>
          <w:numId w:val="16"/>
        </w:numPr>
        <w:tabs>
          <w:tab w:val="left" w:pos="993"/>
        </w:tabs>
        <w:spacing w:line="360" w:lineRule="auto"/>
        <w:ind w:left="0"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sz w:val="28"/>
          <w:szCs w:val="28"/>
          <w:lang w:val="ru-RU"/>
        </w:rPr>
        <w:t>Изучить теоретические и методологические основы формирования инвестиционного портфеля и критерии определения его качества на современном финансовом рынке;</w:t>
      </w:r>
    </w:p>
    <w:p w:rsidR="007D27F4" w:rsidRPr="00CD1CF2" w:rsidRDefault="00FF0F5C" w:rsidP="00CD1CF2">
      <w:pPr>
        <w:numPr>
          <w:ilvl w:val="0"/>
          <w:numId w:val="16"/>
        </w:numPr>
        <w:tabs>
          <w:tab w:val="left" w:pos="993"/>
        </w:tabs>
        <w:spacing w:line="360" w:lineRule="auto"/>
        <w:ind w:left="0"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sz w:val="28"/>
          <w:szCs w:val="28"/>
          <w:lang w:val="ru-RU"/>
        </w:rPr>
        <w:t>Проанализировать финансовое состояние и инвестиционную привлекательность ключевых активов (компаний-эмитентов), входящих в структуру портфеля фонда;</w:t>
      </w:r>
    </w:p>
    <w:p w:rsidR="007D27F4" w:rsidRPr="00CD1CF2" w:rsidRDefault="00FF0F5C" w:rsidP="00CD1CF2">
      <w:pPr>
        <w:numPr>
          <w:ilvl w:val="0"/>
          <w:numId w:val="16"/>
        </w:numPr>
        <w:tabs>
          <w:tab w:val="left" w:pos="993"/>
        </w:tabs>
        <w:spacing w:line="360" w:lineRule="auto"/>
        <w:ind w:left="0"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sz w:val="28"/>
          <w:szCs w:val="28"/>
          <w:lang w:val="ru-RU"/>
        </w:rPr>
        <w:t>Рассчитать и интерпретировать основные классические метрики качества и эффективности анализируемого инвестиционного портфеля;</w:t>
      </w:r>
    </w:p>
    <w:p w:rsidR="007D27F4" w:rsidRPr="00CD1CF2" w:rsidRDefault="00FF0F5C" w:rsidP="00CD1CF2">
      <w:pPr>
        <w:numPr>
          <w:ilvl w:val="0"/>
          <w:numId w:val="16"/>
        </w:numPr>
        <w:tabs>
          <w:tab w:val="left" w:pos="993"/>
        </w:tabs>
        <w:spacing w:line="360" w:lineRule="auto"/>
        <w:ind w:left="0"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sz w:val="28"/>
          <w:szCs w:val="28"/>
          <w:lang w:val="ru-RU"/>
        </w:rPr>
        <w:t>Предложить обоснованные пути оптимизации структуры портфеля, направленные на максимизацию доходности и обеспечение эффективной диверсификации инвестиционных рисков.</w:t>
      </w:r>
    </w:p>
    <w:p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Объект исследования:</w:t>
      </w:r>
      <w:r w:rsidRPr="00CD1CF2">
        <w:rPr>
          <w:rFonts w:ascii="Times New Roman" w:eastAsia="Times New Roman" w:hAnsi="Times New Roman" w:cs="Times New Roman"/>
          <w:sz w:val="28"/>
          <w:szCs w:val="28"/>
          <w:lang w:val="ru-RU"/>
        </w:rPr>
        <w:t xml:space="preserve"> ОПИФ РФИ «ВИМ-Металлургия».</w:t>
      </w:r>
    </w:p>
    <w:p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Предмет исследования:</w:t>
      </w:r>
      <w:r w:rsidRPr="00CD1CF2">
        <w:rPr>
          <w:rFonts w:ascii="Times New Roman" w:eastAsia="Times New Roman" w:hAnsi="Times New Roman" w:cs="Times New Roman"/>
          <w:sz w:val="28"/>
          <w:szCs w:val="28"/>
          <w:lang w:val="ru-RU"/>
        </w:rPr>
        <w:t xml:space="preserve"> качество инвестиционного портфеля данного фонда.</w:t>
      </w:r>
    </w:p>
    <w:p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Теоретическая и методологическая база исследования:</w:t>
      </w:r>
      <w:r w:rsidRPr="00CD1CF2">
        <w:rPr>
          <w:rFonts w:ascii="Times New Roman" w:eastAsia="Times New Roman" w:hAnsi="Times New Roman" w:cs="Times New Roman"/>
          <w:sz w:val="28"/>
          <w:szCs w:val="28"/>
          <w:lang w:val="ru-RU"/>
        </w:rPr>
        <w:t xml:space="preserve"> при проведении исследования использовались фундаментальные труды отечественных и </w:t>
      </w:r>
      <w:r w:rsidRPr="00CD1CF2">
        <w:rPr>
          <w:rFonts w:ascii="Times New Roman" w:eastAsia="Times New Roman" w:hAnsi="Times New Roman" w:cs="Times New Roman"/>
          <w:sz w:val="28"/>
          <w:szCs w:val="28"/>
          <w:lang w:val="ru-RU"/>
        </w:rPr>
        <w:lastRenderedPageBreak/>
        <w:t xml:space="preserve">зарубежных авторов в области корпоративных финансов, финансового менеджмента и теории портфельного инвестирования (в частности, базовые концепции Г. </w:t>
      </w:r>
      <w:proofErr w:type="spellStart"/>
      <w:r w:rsidRPr="00CD1CF2">
        <w:rPr>
          <w:rFonts w:ascii="Times New Roman" w:eastAsia="Times New Roman" w:hAnsi="Times New Roman" w:cs="Times New Roman"/>
          <w:sz w:val="28"/>
          <w:szCs w:val="28"/>
          <w:lang w:val="ru-RU"/>
        </w:rPr>
        <w:t>Марковица</w:t>
      </w:r>
      <w:proofErr w:type="spellEnd"/>
      <w:r w:rsidRPr="00CD1CF2">
        <w:rPr>
          <w:rFonts w:ascii="Times New Roman" w:eastAsia="Times New Roman" w:hAnsi="Times New Roman" w:cs="Times New Roman"/>
          <w:sz w:val="28"/>
          <w:szCs w:val="28"/>
          <w:lang w:val="ru-RU"/>
        </w:rPr>
        <w:t xml:space="preserve">, У. Шарпа и др.). Методологический аппарат включает методы фундаментального и финансового анализа, в том числе методы горизонтального, вертикального и коэффициентного анализа корпоративной отчетности. Для количественной оценки качества инвестиционного портфеля применялись специализированные показатели: коэффициент Шарпа (для оценки доходности с поправкой на совокупный риск), коэффициент </w:t>
      </w:r>
      <w:proofErr w:type="spellStart"/>
      <w:r w:rsidRPr="00CD1CF2">
        <w:rPr>
          <w:rFonts w:ascii="Times New Roman" w:eastAsia="Times New Roman" w:hAnsi="Times New Roman" w:cs="Times New Roman"/>
          <w:sz w:val="28"/>
          <w:szCs w:val="28"/>
          <w:lang w:val="ru-RU"/>
        </w:rPr>
        <w:t>Сортино</w:t>
      </w:r>
      <w:proofErr w:type="spellEnd"/>
      <w:r w:rsidRPr="00CD1CF2">
        <w:rPr>
          <w:rFonts w:ascii="Times New Roman" w:eastAsia="Times New Roman" w:hAnsi="Times New Roman" w:cs="Times New Roman"/>
          <w:sz w:val="28"/>
          <w:szCs w:val="28"/>
          <w:lang w:val="ru-RU"/>
        </w:rPr>
        <w:t xml:space="preserve"> (для оценки риска отрицательных отклонений), коэффициенты </w:t>
      </w:r>
      <w:proofErr w:type="spellStart"/>
      <w:r w:rsidRPr="00CD1CF2">
        <w:rPr>
          <w:rFonts w:ascii="Times New Roman" w:eastAsia="Times New Roman" w:hAnsi="Times New Roman" w:cs="Times New Roman"/>
          <w:sz w:val="28"/>
          <w:szCs w:val="28"/>
          <w:lang w:val="ru-RU"/>
        </w:rPr>
        <w:t>Трейнора</w:t>
      </w:r>
      <w:proofErr w:type="spellEnd"/>
      <w:r w:rsidRPr="00CD1CF2">
        <w:rPr>
          <w:rFonts w:ascii="Times New Roman" w:eastAsia="Times New Roman" w:hAnsi="Times New Roman" w:cs="Times New Roman"/>
          <w:sz w:val="28"/>
          <w:szCs w:val="28"/>
          <w:lang w:val="ru-RU"/>
        </w:rPr>
        <w:t xml:space="preserve"> и </w:t>
      </w:r>
      <w:proofErr w:type="spellStart"/>
      <w:r w:rsidRPr="00CD1CF2">
        <w:rPr>
          <w:rFonts w:ascii="Times New Roman" w:eastAsia="Times New Roman" w:hAnsi="Times New Roman" w:cs="Times New Roman"/>
          <w:sz w:val="28"/>
          <w:szCs w:val="28"/>
          <w:lang w:val="ru-RU"/>
        </w:rPr>
        <w:t>Дженсена</w:t>
      </w:r>
      <w:proofErr w:type="spellEnd"/>
      <w:r w:rsidRPr="00CD1CF2">
        <w:rPr>
          <w:rFonts w:ascii="Times New Roman" w:eastAsia="Times New Roman" w:hAnsi="Times New Roman" w:cs="Times New Roman"/>
          <w:sz w:val="28"/>
          <w:szCs w:val="28"/>
          <w:lang w:val="ru-RU"/>
        </w:rPr>
        <w:t>, а также анализ бета-коэффициента.</w:t>
      </w:r>
    </w:p>
    <w:p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Информационная база исследования:</w:t>
      </w:r>
      <w:r w:rsidRPr="00CD1CF2">
        <w:rPr>
          <w:rFonts w:ascii="Times New Roman" w:eastAsia="Times New Roman" w:hAnsi="Times New Roman" w:cs="Times New Roman"/>
          <w:sz w:val="28"/>
          <w:szCs w:val="28"/>
          <w:lang w:val="ru-RU"/>
        </w:rPr>
        <w:t xml:space="preserve"> открытая финансовая отчетность компаний, входящих в портфель, сформированная в соответствии с российскими стандартами бухгалтерского учета (РСБУ) и международными стандартами финансовой отчетности (МСФО). Кроме того, эмпирическую базу исследования составили официальные данные управляющей компании (АО «ВИМ Инвестиции»), статистические и аналитические материалы информационно-финансовых агентств, котировальные данные Московской биржи, а также нормативно-правовые документы, регулирующие функционирование рынка ценных бумаг в РФ.</w:t>
      </w:r>
    </w:p>
    <w:p w:rsidR="00653A71" w:rsidRDefault="00653A71" w:rsidP="00CD1CF2">
      <w:pPr>
        <w:pStyle w:val="1"/>
        <w:spacing w:before="0" w:after="0" w:line="360" w:lineRule="auto"/>
        <w:jc w:val="both"/>
        <w:rPr>
          <w:rFonts w:cs="Times New Roman"/>
          <w:b w:val="0"/>
          <w:bCs/>
          <w:szCs w:val="28"/>
          <w:lang w:val="ru-RU"/>
        </w:rPr>
      </w:pPr>
    </w:p>
    <w:p w:rsidR="0007704C" w:rsidRDefault="0007704C" w:rsidP="0007704C">
      <w:pPr>
        <w:pStyle w:val="1"/>
        <w:spacing w:before="0" w:after="0" w:line="360" w:lineRule="auto"/>
        <w:jc w:val="left"/>
        <w:rPr>
          <w:rFonts w:cs="Times New Roman"/>
          <w:b w:val="0"/>
          <w:bCs/>
          <w:szCs w:val="28"/>
          <w:lang w:val="ru-RU"/>
        </w:rPr>
      </w:pPr>
    </w:p>
    <w:p w:rsidR="0007704C" w:rsidRDefault="0007704C" w:rsidP="0007704C">
      <w:pPr>
        <w:pStyle w:val="1"/>
        <w:spacing w:before="0" w:after="0" w:line="360" w:lineRule="auto"/>
        <w:jc w:val="left"/>
        <w:rPr>
          <w:rFonts w:cs="Times New Roman"/>
          <w:b w:val="0"/>
          <w:bCs/>
          <w:szCs w:val="28"/>
          <w:lang w:val="ru-RU"/>
        </w:rPr>
      </w:pPr>
    </w:p>
    <w:p w:rsidR="00793D47" w:rsidRDefault="00793D47">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793D47" w:rsidRPr="00793D47" w:rsidRDefault="00793D47" w:rsidP="00CD1CF2">
      <w:pPr>
        <w:pStyle w:val="1"/>
        <w:spacing w:before="0" w:after="0" w:line="360" w:lineRule="auto"/>
        <w:rPr>
          <w:lang w:val="ru-RU"/>
        </w:rPr>
      </w:pPr>
      <w:bookmarkStart w:id="1" w:name="_Toc230233411"/>
      <w:r w:rsidRPr="00793D47">
        <w:rPr>
          <w:lang w:val="ru-RU"/>
        </w:rPr>
        <w:lastRenderedPageBreak/>
        <w:t xml:space="preserve">Глава 1. </w:t>
      </w:r>
      <w:r w:rsidR="00A30C68">
        <w:rPr>
          <w:lang w:val="ru-RU"/>
        </w:rPr>
        <w:t>С</w:t>
      </w:r>
      <w:r w:rsidRPr="00793D47">
        <w:rPr>
          <w:lang w:val="ru-RU"/>
        </w:rPr>
        <w:t>остав инве</w:t>
      </w:r>
      <w:r w:rsidR="00E2290B">
        <w:rPr>
          <w:lang w:val="ru-RU"/>
        </w:rPr>
        <w:t xml:space="preserve">стиционного портфеля и методы </w:t>
      </w:r>
      <w:r w:rsidRPr="00793D47">
        <w:rPr>
          <w:lang w:val="ru-RU"/>
        </w:rPr>
        <w:t>определения</w:t>
      </w:r>
      <w:bookmarkEnd w:id="1"/>
      <w:r w:rsidR="00E2290B">
        <w:rPr>
          <w:lang w:val="ru-RU"/>
        </w:rPr>
        <w:t xml:space="preserve"> его качеста</w:t>
      </w:r>
      <w:bookmarkStart w:id="2" w:name="_GoBack"/>
      <w:bookmarkEnd w:id="2"/>
    </w:p>
    <w:p w:rsidR="00793D47" w:rsidRDefault="00793D47" w:rsidP="00CD1CF2">
      <w:pPr>
        <w:pStyle w:val="2"/>
        <w:numPr>
          <w:ilvl w:val="1"/>
          <w:numId w:val="13"/>
        </w:numPr>
        <w:spacing w:before="0" w:after="0" w:line="360" w:lineRule="auto"/>
        <w:rPr>
          <w:lang w:val="ru-RU"/>
        </w:rPr>
      </w:pPr>
      <w:bookmarkStart w:id="3" w:name="_Toc230233412"/>
      <w:r w:rsidRPr="00793D47">
        <w:rPr>
          <w:lang w:val="ru-RU"/>
        </w:rPr>
        <w:t>Сущность и значение качества инвестиционного портфеля</w:t>
      </w:r>
      <w:bookmarkEnd w:id="3"/>
    </w:p>
    <w:p w:rsidR="00631EF4" w:rsidRPr="00631EF4" w:rsidRDefault="00631EF4" w:rsidP="00CD1CF2">
      <w:pPr>
        <w:spacing w:line="360" w:lineRule="auto"/>
        <w:jc w:val="both"/>
        <w:rPr>
          <w:lang w:val="ru-RU"/>
        </w:rPr>
      </w:pPr>
    </w:p>
    <w:p w:rsidR="00793D47" w:rsidRP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t>В рамках современной финансовой теории, а также в практиках управления активами, инвестиционный портфель обычно рассматривается как базовый инструмент организации инвестиционного процесса, позволяющий преобразовать первоначальные инвестиционные намерения в структурированную и управляемую совокупность активов</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[20, с. 15]</w:t>
      </w:r>
      <w:r w:rsidRPr="00793D47">
        <w:rPr>
          <w:rFonts w:ascii="Times New Roman" w:hAnsi="Times New Roman" w:cs="Times New Roman"/>
          <w:sz w:val="28"/>
          <w:szCs w:val="28"/>
          <w:lang w:val="ru-RU"/>
        </w:rPr>
        <w:t>. В аналитическом смысле инвестиционный портфель целесообразно трактовать как целенаправленно сформированный набор объектов реального и финансового инвестирования, отобранных в соответствии с принятой стратегией, институциональными ограничениями и горизонтом вложений, который функционирует как единый объект управления и контроля</w:t>
      </w:r>
      <w:r w:rsidR="007C0ED7">
        <w:rPr>
          <w:rFonts w:ascii="Times New Roman" w:hAnsi="Times New Roman" w:cs="Times New Roman"/>
          <w:sz w:val="28"/>
          <w:szCs w:val="28"/>
          <w:lang w:val="ru-RU"/>
        </w:rPr>
        <w:t xml:space="preserve"> [7, с. 112</w:t>
      </w:r>
      <w:r w:rsidR="007C0ED7" w:rsidRPr="007C0ED7">
        <w:rPr>
          <w:rFonts w:ascii="Times New Roman" w:hAnsi="Times New Roman" w:cs="Times New Roman"/>
          <w:sz w:val="28"/>
          <w:szCs w:val="28"/>
          <w:lang w:val="ru-RU"/>
        </w:rPr>
        <w:t>]</w:t>
      </w:r>
      <w:r w:rsidRPr="00793D47">
        <w:rPr>
          <w:rFonts w:ascii="Times New Roman" w:hAnsi="Times New Roman" w:cs="Times New Roman"/>
          <w:sz w:val="28"/>
          <w:szCs w:val="28"/>
          <w:lang w:val="ru-RU"/>
        </w:rPr>
        <w:t>. Такое понимание предполагает, что отдельные элементы портфеля приобретают смысл не только поодиночке, но и через их взаимодействие в составе общей конструкции. Комбинирование инструментов позволяет в определенной степени компенсировать ограничения каждого из них, поскольку распределение капитала между активами с различными характеристиками делает достижимыми заданные параметры по ожидаемой доходности, приемлемому риску и требуемой ликвидности, причем именно на уровне совокупности, а не отдельного инструмента</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[36; 37]</w:t>
      </w:r>
      <w:r w:rsidRPr="00793D47">
        <w:rPr>
          <w:rFonts w:ascii="Times New Roman" w:hAnsi="Times New Roman" w:cs="Times New Roman"/>
          <w:sz w:val="28"/>
          <w:szCs w:val="28"/>
          <w:lang w:val="ru-RU"/>
        </w:rPr>
        <w:t>.</w:t>
      </w:r>
    </w:p>
    <w:p w:rsidR="00793D47" w:rsidRP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t>Цель формирования инвестиционного портфеля в большинстве случаев сводится к реализации инвестиционной политики через отбор и сочетание активов, которые при заданных ограничениях интерпретируются как относительно эффективные и достаточно надежные</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[19, с. 210]</w:t>
      </w:r>
      <w:r w:rsidRPr="00793D47">
        <w:rPr>
          <w:rFonts w:ascii="Times New Roman" w:hAnsi="Times New Roman" w:cs="Times New Roman"/>
          <w:sz w:val="28"/>
          <w:szCs w:val="28"/>
          <w:lang w:val="ru-RU"/>
        </w:rPr>
        <w:t xml:space="preserve">. В этой логике уместно говорить о системе взаимосвязанных ориентиров, где приоритеты </w:t>
      </w:r>
      <w:r w:rsidRPr="00793D47">
        <w:rPr>
          <w:rFonts w:ascii="Times New Roman" w:hAnsi="Times New Roman" w:cs="Times New Roman"/>
          <w:sz w:val="28"/>
          <w:szCs w:val="28"/>
          <w:lang w:val="ru-RU"/>
        </w:rPr>
        <w:lastRenderedPageBreak/>
        <w:t>задаются как стратегическими, так и тактическими соображениями: сохранение капитала и его прирост в долгосрочной перспективе; поддержание темпов роста дохода, которые соответствуют целям инвестора, при одновременном стремлении к более предсказуемой динамике денежных поступлений; ограничение уровня риска до значений, совместимых с допустимыми потерями и требованиями к устойчивости результатов</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[13, с. 154]</w:t>
      </w:r>
      <w:r w:rsidRPr="00793D47">
        <w:rPr>
          <w:rFonts w:ascii="Times New Roman" w:hAnsi="Times New Roman" w:cs="Times New Roman"/>
          <w:sz w:val="28"/>
          <w:szCs w:val="28"/>
          <w:lang w:val="ru-RU"/>
        </w:rPr>
        <w:t>; сохранение ликвидности в объеме, достаточном для исполнения обязательств, покрытия непредвиденных потребностей и для возможности реагировать на изменения рыночной конъюнктуры без вынужденных продаж по невыгодным ценам. Существенно, что практическая значимость портфеля проявляется не только в потенциале получения дохода, но и в способности сохранять управляемость и воспроизводимость результатов при изменениях внешних условий, включая смену процентных ставок, фаз экономического цикла и режимов рыночной волатильности.</w:t>
      </w:r>
    </w:p>
    <w:p w:rsidR="00793D47" w:rsidRP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t xml:space="preserve">Применение категории «качество» к инвестиционному портфелю не сводится к идее механической максимизации доходности, вычисленной по историческим данным или полученной на кратком временном интервале. Качество портфеля уместно определять как состояние и результат управленческого выбора, при котором достигается согласованное соотношение доходности, риска и ликвидности, а ожидаемая выгода рассматривается совместно с приемлемостью риска и с возможностью относительно оперативной трансформации части активов в денежную форму при разумных </w:t>
      </w:r>
      <w:proofErr w:type="spellStart"/>
      <w:r w:rsidRPr="00793D47">
        <w:rPr>
          <w:rFonts w:ascii="Times New Roman" w:hAnsi="Times New Roman" w:cs="Times New Roman"/>
          <w:sz w:val="28"/>
          <w:szCs w:val="28"/>
          <w:lang w:val="ru-RU"/>
        </w:rPr>
        <w:t>трансакционных</w:t>
      </w:r>
      <w:proofErr w:type="spellEnd"/>
      <w:r w:rsidRPr="00793D47">
        <w:rPr>
          <w:rFonts w:ascii="Times New Roman" w:hAnsi="Times New Roman" w:cs="Times New Roman"/>
          <w:sz w:val="28"/>
          <w:szCs w:val="28"/>
          <w:lang w:val="ru-RU"/>
        </w:rPr>
        <w:t xml:space="preserve"> издержках</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[11, с. 230]</w:t>
      </w:r>
      <w:r w:rsidRPr="00793D47">
        <w:rPr>
          <w:rFonts w:ascii="Times New Roman" w:hAnsi="Times New Roman" w:cs="Times New Roman"/>
          <w:sz w:val="28"/>
          <w:szCs w:val="28"/>
          <w:lang w:val="ru-RU"/>
        </w:rPr>
        <w:t xml:space="preserve">. В данном контексте характеристики отдельных ценных бумаг и инвестиционных проектов оцениваются через их способность формировать доход при ограниченном уровне неопределенности, а также через степень ликвидности, отражающую практическую реализуемость стратегии и возможности ребалансировки. </w:t>
      </w:r>
      <w:r w:rsidRPr="00793D47">
        <w:rPr>
          <w:rFonts w:ascii="Times New Roman" w:hAnsi="Times New Roman" w:cs="Times New Roman"/>
          <w:sz w:val="28"/>
          <w:szCs w:val="28"/>
          <w:lang w:val="ru-RU"/>
        </w:rPr>
        <w:lastRenderedPageBreak/>
        <w:t>Соответственно, более высокое качество портфеля связано с возникновением системного эффекта, который трудно воспроизвести на уровне единичного инструмента: денежные потоки становятся более устойчивыми, чувствительность к отдельным негативным событиям и ошибкам прогноза снижается, а структура вложений приобретает более предсказуемые свойства за счет распределения источников риска и дохода</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[23, с. 140]</w:t>
      </w:r>
      <w:r w:rsidRPr="00793D47">
        <w:rPr>
          <w:rFonts w:ascii="Times New Roman" w:hAnsi="Times New Roman" w:cs="Times New Roman"/>
          <w:sz w:val="28"/>
          <w:szCs w:val="28"/>
          <w:lang w:val="ru-RU"/>
        </w:rPr>
        <w:t>. Одновременно качество предполагает не только «хороший набор активов», но и внутреннюю согласованность портфельной конструкции, то есть соответствие структуры целям, временным ограничениям и допустимому уровню потерь.</w:t>
      </w:r>
    </w:p>
    <w:p w:rsidR="00793D47" w:rsidRP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t>Проблематика портфельного управления во многом обусловлена тем, что доходность, риск и ликвидность связаны функционально и на практике часто оказываются в напряженном соотношении. В финансовой теории устойчиво закрепилось положение о том, что рост ожидаемой доходности в среднем сопровождается повышением риска, то есть увеличением неопределенности итогового результата и вероятности неблагоприятных сценариев</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[25, с. 120]</w:t>
      </w:r>
      <w:r w:rsidRPr="00793D47">
        <w:rPr>
          <w:rFonts w:ascii="Times New Roman" w:hAnsi="Times New Roman" w:cs="Times New Roman"/>
          <w:sz w:val="28"/>
          <w:szCs w:val="28"/>
          <w:lang w:val="ru-RU"/>
        </w:rPr>
        <w:t>. Вместе с тем инструменты, которые принято относить к более надежным, включая государственные облигации, как правило, демонстрируют сравнительно умеренную доходность при более высокой ликвидности и меньшей амплитуде колебаний цен. Напротив, активы, ориентированные на рост стоимости, в том числе акции компаний роста, потенциально способны обеспечивать более высокий доход, однако они сопряжены с заметной вероятностью просадок, а в отдельных фазах кризиса нередко теряют ликвидность, что затрудняет закрытие позиции без существенного дисконта</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[10, с. 450]</w:t>
      </w:r>
      <w:r w:rsidRPr="00793D47">
        <w:rPr>
          <w:rFonts w:ascii="Times New Roman" w:hAnsi="Times New Roman" w:cs="Times New Roman"/>
          <w:sz w:val="28"/>
          <w:szCs w:val="28"/>
          <w:lang w:val="ru-RU"/>
        </w:rPr>
        <w:t>. В результате управленческие решения редко могут опираться на один показатель; напротив, требуется учитывать характер компромиссов, возникающих при изменении макроэкономического режима, рыночных ожиданий и доступности финансирования.</w:t>
      </w:r>
    </w:p>
    <w:p w:rsidR="00793D47" w:rsidRP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lastRenderedPageBreak/>
        <w:t>Поскольку одновременная максимизация доходности при нулевом риске и абсолютной ликвидности не реализуема в условиях реального рынка, формирование портфеля фактически превращается в задачу поиска компромиссного решения</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[26, с. 146]</w:t>
      </w:r>
      <w:r w:rsidRPr="00793D47">
        <w:rPr>
          <w:rFonts w:ascii="Times New Roman" w:hAnsi="Times New Roman" w:cs="Times New Roman"/>
          <w:sz w:val="28"/>
          <w:szCs w:val="28"/>
          <w:lang w:val="ru-RU"/>
        </w:rPr>
        <w:t>. Целевые установки инвестора в таком случае могут быть описаны как система относительных приоритетов или «весов», где усиление ориентации на прибыль обычно ведет к повышению риска и в ряде ситуаций снижает ликвидность, особенно при стрессовых сценариях. Для достижения приемлемого баланса управляющая сторона использует диверсификацию, объединяя активы с различной чувствительностью к факторам риска и с неодинаковой корреляцией доходностей, чтобы уменьшить совокупный риск без пропорционального сокращения ожидаемой доходности</w:t>
      </w:r>
      <w:r w:rsidR="007C0ED7">
        <w:rPr>
          <w:rFonts w:ascii="Times New Roman" w:hAnsi="Times New Roman" w:cs="Times New Roman"/>
          <w:sz w:val="28"/>
          <w:szCs w:val="28"/>
          <w:lang w:val="ru-RU"/>
        </w:rPr>
        <w:t xml:space="preserve"> [20, с. 65</w:t>
      </w:r>
      <w:r w:rsidR="007C0ED7" w:rsidRPr="007C0ED7">
        <w:rPr>
          <w:rFonts w:ascii="Times New Roman" w:hAnsi="Times New Roman" w:cs="Times New Roman"/>
          <w:sz w:val="28"/>
          <w:szCs w:val="28"/>
          <w:lang w:val="ru-RU"/>
        </w:rPr>
        <w:t>]</w:t>
      </w:r>
      <w:r w:rsidRPr="00793D47">
        <w:rPr>
          <w:rFonts w:ascii="Times New Roman" w:hAnsi="Times New Roman" w:cs="Times New Roman"/>
          <w:sz w:val="28"/>
          <w:szCs w:val="28"/>
          <w:lang w:val="ru-RU"/>
        </w:rPr>
        <w:t>. Однако результативность диверсификации определяется не столько количеством инструментов, сколько особенностями их совместного поведения, устойчивостью выбранной структуры к изменению корреляций, дисциплиной ребалансировки и соответствием портфельного состава исходным ограничениям, включая лимиты по классам активов, секторам, валютам и кредитному качеству. С прикладной точки зрения качественно сбалансированный портфель стремится уменьшить вероятность существенных потерь и сгладить вариативность результатов, не выходя при этом за рамки целевого профиля доходности и заданного инвестиционного горизонта.</w:t>
      </w:r>
    </w:p>
    <w:p w:rsid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t>Одновременно в прикладной сфере управление портфелем нередко редуцируется до оптимизации структуры активов на основе ожидаемой доходности и исторической волатильности, где ключевыми исходными данными выступают ретроспективные ряды котировок и статистические оценки риска</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[25, с. 880]</w:t>
      </w:r>
      <w:r w:rsidRPr="00793D47">
        <w:rPr>
          <w:rFonts w:ascii="Times New Roman" w:hAnsi="Times New Roman" w:cs="Times New Roman"/>
          <w:sz w:val="28"/>
          <w:szCs w:val="28"/>
          <w:lang w:val="ru-RU"/>
        </w:rPr>
        <w:t xml:space="preserve">. Традиционная трактовка качества портфеля в подобных подходах часто опирается преимущественно на количественные </w:t>
      </w:r>
      <w:r w:rsidRPr="00793D47">
        <w:rPr>
          <w:rFonts w:ascii="Times New Roman" w:hAnsi="Times New Roman" w:cs="Times New Roman"/>
          <w:sz w:val="28"/>
          <w:szCs w:val="28"/>
          <w:lang w:val="ru-RU"/>
        </w:rPr>
        <w:lastRenderedPageBreak/>
        <w:t xml:space="preserve">метрики, включая стандартное отклонение, ковариацию, корреляции и расчеты, основанные на динамике цен. Однако такая перспектива остается ограниченной, поскольку прошлые статистические параметры и рыночные цены не дают исчерпывающего представления о фундаментальной стоимости бизнеса эмитентов, о качестве их корпоративного управления, об устойчивости финансовой модели и о долгосрочных рисках, которые могут проявляться вне рамок краткосрочных ценовых колебаний, </w:t>
      </w:r>
      <w:proofErr w:type="gramStart"/>
      <w:r w:rsidRPr="00793D47">
        <w:rPr>
          <w:rFonts w:ascii="Times New Roman" w:hAnsi="Times New Roman" w:cs="Times New Roman"/>
          <w:sz w:val="28"/>
          <w:szCs w:val="28"/>
          <w:lang w:val="ru-RU"/>
        </w:rPr>
        <w:t>например</w:t>
      </w:r>
      <w:proofErr w:type="gramEnd"/>
      <w:r w:rsidRPr="00793D47">
        <w:rPr>
          <w:rFonts w:ascii="Times New Roman" w:hAnsi="Times New Roman" w:cs="Times New Roman"/>
          <w:sz w:val="28"/>
          <w:szCs w:val="28"/>
          <w:lang w:val="ru-RU"/>
        </w:rPr>
        <w:t xml:space="preserve"> через ухудшение конкурентной позиции, рост долговой нагрузки или структурные изменения в отрасли</w:t>
      </w:r>
      <w:r w:rsidR="007C0ED7">
        <w:rPr>
          <w:rFonts w:ascii="Times New Roman" w:hAnsi="Times New Roman" w:cs="Times New Roman"/>
          <w:sz w:val="28"/>
          <w:szCs w:val="28"/>
          <w:lang w:val="ru-RU"/>
        </w:rPr>
        <w:t xml:space="preserve"> [8, с. 45</w:t>
      </w:r>
      <w:r w:rsidR="007C0ED7" w:rsidRPr="007C0ED7">
        <w:rPr>
          <w:rFonts w:ascii="Times New Roman" w:hAnsi="Times New Roman" w:cs="Times New Roman"/>
          <w:sz w:val="28"/>
          <w:szCs w:val="28"/>
          <w:lang w:val="ru-RU"/>
        </w:rPr>
        <w:t>]</w:t>
      </w:r>
      <w:r w:rsidRPr="00793D47">
        <w:rPr>
          <w:rFonts w:ascii="Times New Roman" w:hAnsi="Times New Roman" w:cs="Times New Roman"/>
          <w:sz w:val="28"/>
          <w:szCs w:val="28"/>
          <w:lang w:val="ru-RU"/>
        </w:rPr>
        <w:t>. Кроме того, на статистические оценки заметно влияет выбор периода наблюдения, режим волатильности и наличие экстремальных событий, что усложняет перенос полученных оценок в будущее. По этой причине возникает методологическая необходимость расширять инструментарий оценки качества портфеля за счет методов фундаментального финансового анализа объектов инвестирования, а также за счет более широкого учета факторов, связанных с финансовой устойчивостью эмитента и источниками его денежных потоков, что логически подготавливает дальнейшее рассмотрение соответствующих подходов.</w:t>
      </w:r>
    </w:p>
    <w:p w:rsidR="00631EF4" w:rsidRDefault="00631EF4" w:rsidP="00CD1CF2">
      <w:pPr>
        <w:spacing w:line="360" w:lineRule="auto"/>
        <w:jc w:val="both"/>
        <w:rPr>
          <w:rFonts w:ascii="Times New Roman" w:hAnsi="Times New Roman" w:cs="Times New Roman"/>
          <w:sz w:val="28"/>
          <w:szCs w:val="28"/>
          <w:lang w:val="ru-RU"/>
        </w:rPr>
      </w:pPr>
    </w:p>
    <w:p w:rsidR="00793D47" w:rsidRDefault="00793D47" w:rsidP="00CD1CF2">
      <w:pPr>
        <w:pStyle w:val="2"/>
        <w:numPr>
          <w:ilvl w:val="1"/>
          <w:numId w:val="13"/>
        </w:numPr>
        <w:spacing w:before="0" w:after="0" w:line="360" w:lineRule="auto"/>
        <w:ind w:left="0" w:firstLine="0"/>
        <w:rPr>
          <w:lang w:val="ru-RU"/>
        </w:rPr>
      </w:pPr>
      <w:bookmarkStart w:id="4" w:name="_Toc230233413"/>
      <w:r w:rsidRPr="00631EF4">
        <w:rPr>
          <w:lang w:val="ru-RU"/>
        </w:rPr>
        <w:t>Факторы, определяющие качество инвестиционного портфеля</w:t>
      </w:r>
      <w:bookmarkEnd w:id="4"/>
    </w:p>
    <w:p w:rsidR="00CD1CF2" w:rsidRPr="00CD1CF2" w:rsidRDefault="00CD1CF2" w:rsidP="00CD1CF2">
      <w:pPr>
        <w:rPr>
          <w:lang w:val="ru-RU"/>
        </w:rPr>
      </w:pPr>
    </w:p>
    <w:p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Качество инвестиционного портфеля представляется обоснованным рассматривать как динамическую характеристику, которая изменяется во времени под воздействием совокупности взаимосвязанных условий. При этом часть таких условий формируется во внешней среде и практически не поддается влиянию со стороны инвестора или управляющей компании, тогда как другая часть определяется управленческими решениями, принятыми при формировании и сопровождении портфеля</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[7, с. 142]</w:t>
      </w:r>
      <w:r w:rsidRPr="00631EF4">
        <w:rPr>
          <w:rFonts w:ascii="Times New Roman" w:hAnsi="Times New Roman" w:cs="Times New Roman"/>
          <w:sz w:val="28"/>
          <w:szCs w:val="28"/>
          <w:lang w:val="ru-RU"/>
        </w:rPr>
        <w:t xml:space="preserve">. В академической </w:t>
      </w:r>
      <w:r w:rsidRPr="00631EF4">
        <w:rPr>
          <w:rFonts w:ascii="Times New Roman" w:hAnsi="Times New Roman" w:cs="Times New Roman"/>
          <w:sz w:val="28"/>
          <w:szCs w:val="28"/>
          <w:lang w:val="ru-RU"/>
        </w:rPr>
        <w:lastRenderedPageBreak/>
        <w:t>литературе укоренилась типология факторов на внешние (экзогенные) и внутренние (эндогенные), что методологически удобно: она позволяет аналитически отделить ограничения, возникающие независимо от воли субъекта управления, от параметров, которые могут целенаправленно корректироваться через инвестиционную стратегию, регламенты принятия решений, процедуры риск-менеджмента и критерии отбора инструментов</w:t>
      </w:r>
      <w:r w:rsidR="00677407">
        <w:rPr>
          <w:rFonts w:ascii="Times New Roman" w:hAnsi="Times New Roman" w:cs="Times New Roman"/>
          <w:sz w:val="28"/>
          <w:szCs w:val="28"/>
          <w:lang w:val="ru-RU"/>
        </w:rPr>
        <w:t xml:space="preserve"> [19, с. 215</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 Подобное разделение не отменяет их взаимодействия: экзогенные шоки нередко меняют эффективность внутренних практик управления, а эндогенные решения могут усиливать либо, напротив, сглаживать влияние внешней конъюнктуры.</w:t>
      </w:r>
    </w:p>
    <w:p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Внешние факторы задают макроэкономический и институциональный контур функционирования финансового рынка и по своей природе не являются результатом решений портфельного управляющего. Существенное значение в данном контексте имеют фазы экономического цикла, траектория инфляции и решения центрального банка в сфере денежно-кредитной политики, прежде всего изменение уровня ключевой ставки</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[24, с. 410]</w:t>
      </w:r>
      <w:r w:rsidRPr="00631EF4">
        <w:rPr>
          <w:rFonts w:ascii="Times New Roman" w:hAnsi="Times New Roman" w:cs="Times New Roman"/>
          <w:sz w:val="28"/>
          <w:szCs w:val="28"/>
          <w:lang w:val="ru-RU"/>
        </w:rPr>
        <w:t>. Инфляционная динамика снижает реальную ценность будущих денежных потоков, в связи с чем при построении портфеля возрастает роль инструментов, способных обеспечивать компенсацию инфляционного обесценения или, по крайней мере, поддерживать покупательную способность капитала. Движение ключевой ставки, в свою очередь, влияет на стоимость заемного финансирования в корпоративном секторе и формирует альтернативную доходность относительно близких к безрисковым инструментов, что смещает баланс привлекательности между акциями и облигациями</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[17, с. 312]</w:t>
      </w:r>
      <w:r w:rsidRPr="00631EF4">
        <w:rPr>
          <w:rFonts w:ascii="Times New Roman" w:hAnsi="Times New Roman" w:cs="Times New Roman"/>
          <w:sz w:val="28"/>
          <w:szCs w:val="28"/>
          <w:lang w:val="ru-RU"/>
        </w:rPr>
        <w:t xml:space="preserve">. Одновременно ставка выступает ключевым параметром дисконтирования при оценке активов: ее повышение повышает требуемую доходность и, при прочих равных, оказывает давление на текущую </w:t>
      </w:r>
      <w:r w:rsidRPr="00631EF4">
        <w:rPr>
          <w:rFonts w:ascii="Times New Roman" w:hAnsi="Times New Roman" w:cs="Times New Roman"/>
          <w:sz w:val="28"/>
          <w:szCs w:val="28"/>
          <w:lang w:val="ru-RU"/>
        </w:rPr>
        <w:lastRenderedPageBreak/>
        <w:t>стоимость будущих потоков, тогда как снижение ставки, напротив, способно поддерживать оценки</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[13, с. 205]</w:t>
      </w:r>
      <w:r w:rsidRPr="00631EF4">
        <w:rPr>
          <w:rFonts w:ascii="Times New Roman" w:hAnsi="Times New Roman" w:cs="Times New Roman"/>
          <w:sz w:val="28"/>
          <w:szCs w:val="28"/>
          <w:lang w:val="ru-RU"/>
        </w:rPr>
        <w:t>.</w:t>
      </w:r>
    </w:p>
    <w:p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Наряду с общими </w:t>
      </w:r>
      <w:proofErr w:type="spellStart"/>
      <w:r w:rsidRPr="00631EF4">
        <w:rPr>
          <w:rFonts w:ascii="Times New Roman" w:hAnsi="Times New Roman" w:cs="Times New Roman"/>
          <w:sz w:val="28"/>
          <w:szCs w:val="28"/>
          <w:lang w:val="ru-RU"/>
        </w:rPr>
        <w:t>макроусловиями</w:t>
      </w:r>
      <w:proofErr w:type="spellEnd"/>
      <w:r w:rsidRPr="00631EF4">
        <w:rPr>
          <w:rFonts w:ascii="Times New Roman" w:hAnsi="Times New Roman" w:cs="Times New Roman"/>
          <w:sz w:val="28"/>
          <w:szCs w:val="28"/>
          <w:lang w:val="ru-RU"/>
        </w:rPr>
        <w:t xml:space="preserve"> существенны отраслевые факторы, особенно в случае фондов с выраженной специализацией, когда риск-профиль портфеля во многом определяется узким набором драйверов. Для инвестиционных фондов, ориентированных на металлургический сегмент (в том числе в логике базового актива ОПИФ РФИ «ВИМ-Металлургия»), принципиальным обстоятельством является ярко выраженная цикличность сырьевых рынков</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[33, с. 12]</w:t>
      </w:r>
      <w:r w:rsidRPr="00631EF4">
        <w:rPr>
          <w:rFonts w:ascii="Times New Roman" w:hAnsi="Times New Roman" w:cs="Times New Roman"/>
          <w:sz w:val="28"/>
          <w:szCs w:val="28"/>
          <w:lang w:val="ru-RU"/>
        </w:rPr>
        <w:t>. Рыночная капитализация и инвестиционная привлекательность металлургических и горнодобывающих компаний в значительной степени обусловлены глобальной конъюнктурой: изменения мировых цен на сталь, цветные и драгоценные металлы сравнительно быстро транслируются в экспортную выручку и операционную рентабельность российских эмитентов. Показательно, что ухудшение ситуации на мировом рынке стали в 2023 году, связанное со слабым спросом и перепроизводством в КНР, сопровождалось снижением долларовых экспортных цен на 15–20%, что демонстрирует масштаб возможных ценовых сдвигов даже в относительно коротком временном интервале. Такая ценовая волатильность закономерно превращается в нестабильность финансовых результатов предприятий и проявляется в циклических колебаниях котировок, тем самым напрямую влияя на совокупную доходность отраслевых паевых фондов и усложняя интерпретацию «качества» портфеля в статических терминах</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[30, с. 22]</w:t>
      </w:r>
      <w:r w:rsidRPr="00631EF4">
        <w:rPr>
          <w:rFonts w:ascii="Times New Roman" w:hAnsi="Times New Roman" w:cs="Times New Roman"/>
          <w:sz w:val="28"/>
          <w:szCs w:val="28"/>
          <w:lang w:val="ru-RU"/>
        </w:rPr>
        <w:t>.</w:t>
      </w:r>
    </w:p>
    <w:p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Дополнительным внешним шоком для отрасли стало усиление санкционного давления, приведшее к разрывам традиционных цепочек поставок, изменению структуры контрагентов и пересборке экспортной логистики. Ограничения на импорт российской металлопродукции в ряде юрисдикций ускорили переориентацию экспортных потоков на рынки </w:t>
      </w:r>
      <w:r w:rsidRPr="00631EF4">
        <w:rPr>
          <w:rFonts w:ascii="Times New Roman" w:hAnsi="Times New Roman" w:cs="Times New Roman"/>
          <w:sz w:val="28"/>
          <w:szCs w:val="28"/>
          <w:lang w:val="ru-RU"/>
        </w:rPr>
        <w:lastRenderedPageBreak/>
        <w:t>Азиатско-Тихоокеанского региона, Ближнего Востока и стран глобального Юга. Вместе с тем данный «разворот» не является нейтральным с точки зрения экономических параметров: он связан с удлинением логистических маршрутов, ростом транспортных и транзакционных издержек, а также необходимостью предоставления ценовых дисконтов к мировым ориентирам для сохранения конкурентоспособности. В совокупности перечисленные эффекты снижают операционную маржинальность экспортноориентированных компаний и формируют внешний фон, который не устраняется средствами портфельной оптимизации и потому должен учитываться при оценке качества базовых активов, включая их устойчивость к институциональным ограничениям.</w:t>
      </w:r>
    </w:p>
    <w:p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На фоне внешних ограничений относительным стабилизатором в ряде сегментов выступал внутренний спрос, который частично поддерживал восстановление операционных показателей. Для предприятий черной металлургии национальный рынок приобрел дополнительное значение как источник выручки, опирающийся на строительную активность, инфраструктурные проекты и программы импортозамещения в машиностроении и смежных отраслях. Эмитенты, исторически ориентированные на внутренние продажи, в отдельных случаях демонстрировали более высокую адаптивность, в том числе за счет изменения продуктовой линейки и наращивания доли продукции с более высокой добавленной стоимостью. Подобная переориентация способна в определенной степени смягчать амплитуду циклических колебаний результатов, хотя и не устраняет базовую зависимость сектора от ценовой динамики сырьевых рынков и капиталоемкости производства.</w:t>
      </w:r>
    </w:p>
    <w:p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Заметное влияние на привлекательность сектора также оказывает валютный фактор, наряду с изменениями фискальной политики и режимов </w:t>
      </w:r>
      <w:r w:rsidRPr="00631EF4">
        <w:rPr>
          <w:rFonts w:ascii="Times New Roman" w:hAnsi="Times New Roman" w:cs="Times New Roman"/>
          <w:sz w:val="28"/>
          <w:szCs w:val="28"/>
          <w:lang w:val="ru-RU"/>
        </w:rPr>
        <w:lastRenderedPageBreak/>
        <w:t xml:space="preserve">изъятия ресурсной ренты. Колебания курса рубля воздействуют на металлургические компании неоднозначно: девальвация может частично компенсировать снижение экспортных цен в иностранной валюте за счет роста рублевой выручки, однако одновременно удорожает импортное оборудование и комплектующие, повышая капитальные затраты и стоимость </w:t>
      </w:r>
      <w:proofErr w:type="spellStart"/>
      <w:r w:rsidRPr="00631EF4">
        <w:rPr>
          <w:rFonts w:ascii="Times New Roman" w:hAnsi="Times New Roman" w:cs="Times New Roman"/>
          <w:sz w:val="28"/>
          <w:szCs w:val="28"/>
          <w:lang w:val="ru-RU"/>
        </w:rPr>
        <w:t>модернизационных</w:t>
      </w:r>
      <w:proofErr w:type="spellEnd"/>
      <w:r w:rsidRPr="00631EF4">
        <w:rPr>
          <w:rFonts w:ascii="Times New Roman" w:hAnsi="Times New Roman" w:cs="Times New Roman"/>
          <w:sz w:val="28"/>
          <w:szCs w:val="28"/>
          <w:lang w:val="ru-RU"/>
        </w:rPr>
        <w:t xml:space="preserve"> программ</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[33]</w:t>
      </w:r>
      <w:r w:rsidRPr="00631EF4">
        <w:rPr>
          <w:rFonts w:ascii="Times New Roman" w:hAnsi="Times New Roman" w:cs="Times New Roman"/>
          <w:sz w:val="28"/>
          <w:szCs w:val="28"/>
          <w:lang w:val="ru-RU"/>
        </w:rPr>
        <w:t>. Параллельно усиление налоговой нагрузки на сырьевой сектор, включая экспортные пошлины и корректировки НДПИ, ведет к перераспределению части доходов компаний в пользу бюджета и изменяет ожидаемую доходность капитала для акционеров</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[2]</w:t>
      </w:r>
      <w:r w:rsidRPr="00631EF4">
        <w:rPr>
          <w:rFonts w:ascii="Times New Roman" w:hAnsi="Times New Roman" w:cs="Times New Roman"/>
          <w:sz w:val="28"/>
          <w:szCs w:val="28"/>
          <w:lang w:val="ru-RU"/>
        </w:rPr>
        <w:t>. В условиях сохранения жесткой денежно-кредитной политики высокие процентные ставки ухудшают положение эмитентов с повышенной долговой нагрузкой, увеличивают стоимость обслуживания долга и способны сдерживать инвестиционные программы</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[17]</w:t>
      </w:r>
      <w:r w:rsidRPr="00631EF4">
        <w:rPr>
          <w:rFonts w:ascii="Times New Roman" w:hAnsi="Times New Roman" w:cs="Times New Roman"/>
          <w:sz w:val="28"/>
          <w:szCs w:val="28"/>
          <w:lang w:val="ru-RU"/>
        </w:rPr>
        <w:t>. В результате комбинация роста капитальных затрат, удорожания финансирования и налоговых изъятий ограничивает свободный денежный поток и снижает дивидендный потенциал, что формирует фундаментальный риск для портфельного инвестора и влияет на воспринимаемое качество портфеля как по критерию доходности, так и по критерию устойчивости.</w:t>
      </w:r>
    </w:p>
    <w:p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Внутренние факторы описывают параметры, которыми инвестор или управляющая компания в принципе способны управлять, и потому они выступают объектом целенаправленного проектирования. Во-первых, к ним относится качество управления фондом, проявляющееся в выборе общей стратегии (активной либо пассивной), в заданной глубине диверсификации, в формализованных принципах отбора активов, а также в регулярности и дисциплине </w:t>
      </w:r>
      <w:proofErr w:type="spellStart"/>
      <w:r w:rsidRPr="00631EF4">
        <w:rPr>
          <w:rFonts w:ascii="Times New Roman" w:hAnsi="Times New Roman" w:cs="Times New Roman"/>
          <w:sz w:val="28"/>
          <w:szCs w:val="28"/>
          <w:lang w:val="ru-RU"/>
        </w:rPr>
        <w:t>ребалансировки</w:t>
      </w:r>
      <w:proofErr w:type="spellEnd"/>
      <w:r w:rsidR="00677407">
        <w:rPr>
          <w:rFonts w:ascii="Times New Roman" w:hAnsi="Times New Roman" w:cs="Times New Roman"/>
          <w:sz w:val="28"/>
          <w:szCs w:val="28"/>
          <w:lang w:val="ru-RU"/>
        </w:rPr>
        <w:t xml:space="preserve"> [20, с. 78</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 xml:space="preserve">. Ребалансировка может рассматриваться как инструмент поддержания целевого соотношения риска и ожидаемой доходности в условиях изменяющейся рыночной среды; помимо </w:t>
      </w:r>
      <w:r w:rsidRPr="00631EF4">
        <w:rPr>
          <w:rFonts w:ascii="Times New Roman" w:hAnsi="Times New Roman" w:cs="Times New Roman"/>
          <w:sz w:val="28"/>
          <w:szCs w:val="28"/>
          <w:lang w:val="ru-RU"/>
        </w:rPr>
        <w:lastRenderedPageBreak/>
        <w:t>этого, она снижает вероятность накопления нежелательной концентрации и позволяет корректировать портфель в ответ на смещение весов отдельных позиций. Диверсификация ориентирована на уменьшение концентрационного риска, однако ее результативность зависит от корректного учета корреляций, общих отраслевых драйверов и того обстоятельства, что в стрессовых фазах цикла зависимости между активами часто усиливаются. Во-вторых, важным внутренним компонентом выступает финансово-хозяйственное состояние компаний-эмитентов, включенных в портфель: способность генерировать денежные потоки, структура и стоимость долга, операционная рентабельность, инвестиционная дисциплина, а также качество корпоративного управления формируют фундаментальную основу стоимости ценных бумаг и определяют, насколько эмитент способен проходить неблагоприятные фазы цикла без разрушения финансовой устойчивости</w:t>
      </w:r>
      <w:r w:rsidR="00677407">
        <w:rPr>
          <w:rFonts w:ascii="Times New Roman" w:hAnsi="Times New Roman" w:cs="Times New Roman"/>
          <w:sz w:val="28"/>
          <w:szCs w:val="28"/>
          <w:lang w:val="ru-RU"/>
        </w:rPr>
        <w:t xml:space="preserve"> [11, с. 156</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w:t>
      </w:r>
    </w:p>
    <w:p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В условиях высокой волатильности и выраженной цикличности отрасли пассивные стратегии, воспроизводящие отраслевой бенчмарк, могут приводить к значительным просадкам в неблагоприятные периоды сырьевого цикла, что обостряет вопрос о критериях отбора активов и о допустимой степени «механического» следования индексу. Соответственно, математический подход, ограниченный ретроспективной оценкой доходностей, корреляций и волатильности, оказывается недостаточным для интерпретации возможных изменений стоимости активов при структурной трансформации макроэкономической и институциональной среды. Для достижения целевой доходности при контролируемом уровне риска более значимым становится селективный выбор фундаментально устойчивых эмитентов, которые способны сохранять положительный денежный поток, поддерживать приемлемую долговую нагрузку и демонстрировать </w:t>
      </w:r>
      <w:r w:rsidRPr="00631EF4">
        <w:rPr>
          <w:rFonts w:ascii="Times New Roman" w:hAnsi="Times New Roman" w:cs="Times New Roman"/>
          <w:sz w:val="28"/>
          <w:szCs w:val="28"/>
          <w:lang w:val="ru-RU"/>
        </w:rPr>
        <w:lastRenderedPageBreak/>
        <w:t>операционную гибкость в условиях санкционных ограничений, налоговых изменений и повышенной стоимости капитала, поскольку именно такие характеристики в конечном счете определяют устойчивость портфеля к внешним шокам и качество его риск-</w:t>
      </w:r>
      <w:proofErr w:type="spellStart"/>
      <w:r w:rsidRPr="00631EF4">
        <w:rPr>
          <w:rFonts w:ascii="Times New Roman" w:hAnsi="Times New Roman" w:cs="Times New Roman"/>
          <w:sz w:val="28"/>
          <w:szCs w:val="28"/>
          <w:lang w:val="ru-RU"/>
        </w:rPr>
        <w:t>доходностного</w:t>
      </w:r>
      <w:proofErr w:type="spellEnd"/>
      <w:r w:rsidRPr="00631EF4">
        <w:rPr>
          <w:rFonts w:ascii="Times New Roman" w:hAnsi="Times New Roman" w:cs="Times New Roman"/>
          <w:sz w:val="28"/>
          <w:szCs w:val="28"/>
          <w:lang w:val="ru-RU"/>
        </w:rPr>
        <w:t xml:space="preserve"> профиля</w:t>
      </w:r>
      <w:r w:rsidR="00677407">
        <w:rPr>
          <w:rFonts w:ascii="Times New Roman" w:hAnsi="Times New Roman" w:cs="Times New Roman"/>
          <w:sz w:val="28"/>
          <w:szCs w:val="28"/>
          <w:lang w:val="ru-RU"/>
        </w:rPr>
        <w:t xml:space="preserve"> [9, с. 320</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w:t>
      </w:r>
    </w:p>
    <w:p w:rsidR="00631EF4" w:rsidRPr="00631EF4" w:rsidRDefault="00631EF4" w:rsidP="00FF3E0E">
      <w:pPr>
        <w:pStyle w:val="a5"/>
        <w:spacing w:line="360" w:lineRule="auto"/>
        <w:contextualSpacing w:val="0"/>
        <w:rPr>
          <w:lang w:val="ru-RU"/>
        </w:rPr>
      </w:pPr>
    </w:p>
    <w:p w:rsidR="00631EF4" w:rsidRDefault="00793D47" w:rsidP="00FF3E0E">
      <w:pPr>
        <w:pStyle w:val="2"/>
        <w:numPr>
          <w:ilvl w:val="1"/>
          <w:numId w:val="13"/>
        </w:numPr>
        <w:spacing w:before="0" w:after="0" w:line="360" w:lineRule="auto"/>
        <w:rPr>
          <w:lang w:val="ru-RU"/>
        </w:rPr>
      </w:pPr>
      <w:bookmarkStart w:id="5" w:name="_Toc230233414"/>
      <w:r w:rsidRPr="00631EF4">
        <w:rPr>
          <w:lang w:val="ru-RU"/>
        </w:rPr>
        <w:t>Инвестиционная привлекательность предприятия как фактор качества инвестиционного портфеля</w:t>
      </w:r>
      <w:bookmarkEnd w:id="5"/>
    </w:p>
    <w:p w:rsidR="00631EF4" w:rsidRPr="00631EF4" w:rsidRDefault="00631EF4" w:rsidP="00FF3E0E">
      <w:pPr>
        <w:spacing w:line="360" w:lineRule="auto"/>
        <w:ind w:firstLine="709"/>
        <w:jc w:val="both"/>
        <w:rPr>
          <w:rFonts w:ascii="Times New Roman" w:hAnsi="Times New Roman" w:cs="Times New Roman"/>
          <w:sz w:val="28"/>
          <w:szCs w:val="28"/>
          <w:lang w:val="ru-RU"/>
        </w:rPr>
      </w:pPr>
    </w:p>
    <w:p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В теории корпоративных финансов, равно как и в прикладной практике управления активами, устойчиво признается, что качество инвестиционного портфеля в существенной степени обусловлено состоянием компаний-эмитентов, чьи ценные бумаги составляют его базу</w:t>
      </w:r>
      <w:r w:rsidR="00677407">
        <w:rPr>
          <w:rFonts w:ascii="Times New Roman" w:hAnsi="Times New Roman" w:cs="Times New Roman"/>
          <w:sz w:val="28"/>
          <w:szCs w:val="28"/>
          <w:lang w:val="ru-RU"/>
        </w:rPr>
        <w:t xml:space="preserve"> [10, с. 245</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 В этом отношении портфель целесообразно интерпретировать не как автономную статистическую конструкцию, выводимую исключительно из рядов доходностей, а как производную от совокупности реальных хозяйственных систем</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[24, с. 45]</w:t>
      </w:r>
      <w:r w:rsidRPr="00631EF4">
        <w:rPr>
          <w:rFonts w:ascii="Times New Roman" w:hAnsi="Times New Roman" w:cs="Times New Roman"/>
          <w:sz w:val="28"/>
          <w:szCs w:val="28"/>
          <w:lang w:val="ru-RU"/>
        </w:rPr>
        <w:t>. Акция фиксирует долю участия в капитале и, следовательно, опосредованно отражает способность бизнеса формировать стоимость для собственников; облигация представляет собой долговое обязательство, напрямую зависящее от платежной дисциплины и структуры денежных потоков эмитента. Обе формы инвестиций, несмотря на различия в правах держателей, укоренены в финансово-экономической динамике предприятия, а потому неизбежно связаны с качеством корпоративного управления, инвестиционной политикой и операционной эффективностью</w:t>
      </w:r>
      <w:r w:rsidR="00677407">
        <w:rPr>
          <w:rFonts w:ascii="Times New Roman" w:hAnsi="Times New Roman" w:cs="Times New Roman"/>
          <w:sz w:val="28"/>
          <w:szCs w:val="28"/>
          <w:lang w:val="ru-RU"/>
        </w:rPr>
        <w:t xml:space="preserve"> [17, с. 140</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w:t>
      </w:r>
    </w:p>
    <w:p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Если предприятия характеризуются ограниченной платежеспособностью, ухудшением маржинальности, снижением эффективности использования капитала либо системными проблемами корпоративного контроля, то даже формально корректно выстроенная </w:t>
      </w:r>
      <w:r w:rsidRPr="00631EF4">
        <w:rPr>
          <w:rFonts w:ascii="Times New Roman" w:hAnsi="Times New Roman" w:cs="Times New Roman"/>
          <w:sz w:val="28"/>
          <w:szCs w:val="28"/>
          <w:lang w:val="ru-RU"/>
        </w:rPr>
        <w:lastRenderedPageBreak/>
        <w:t>диверсификация не обеспечивает надежной защиты капитала от обесценения в долгосрочном горизонте</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[9, с. 210]</w:t>
      </w:r>
      <w:r w:rsidRPr="00631EF4">
        <w:rPr>
          <w:rFonts w:ascii="Times New Roman" w:hAnsi="Times New Roman" w:cs="Times New Roman"/>
          <w:sz w:val="28"/>
          <w:szCs w:val="28"/>
          <w:lang w:val="ru-RU"/>
        </w:rPr>
        <w:t>. Практика показывает, что статистически «оптимальные» комбинации активов могут сохранять повышенную уязвимость к рискам, возникающим на уровне эмитента: от ухудшения условий рефинансирования и кассовых разрывов до стратегических ошибок, способных изменить траекторию бизнеса. Следовательно, параметры портфельного качества — ожидаемая доходность, ликвидность и устойчивость к рискам — в значительной мере детерминируются финансово-экономическими результатами базовых активов и характеристиками их источников стоимости, а не только формой распределения исторических доходностей</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[13, с. 112]</w:t>
      </w:r>
      <w:r w:rsidRPr="00631EF4">
        <w:rPr>
          <w:rFonts w:ascii="Times New Roman" w:hAnsi="Times New Roman" w:cs="Times New Roman"/>
          <w:sz w:val="28"/>
          <w:szCs w:val="28"/>
          <w:lang w:val="ru-RU"/>
        </w:rPr>
        <w:t>.</w:t>
      </w:r>
    </w:p>
    <w:p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В контексте портфельного инвестирования инвестиционную привлекательность предприятия уместно трактовать как интегральную и динамическую характеристику, отражающую способность компании привлекать капитал на приемлемых условиях, обеспечивать воспроизводство и развитие, а также генерировать устойчивые денежные потоки</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[19, с. 44]</w:t>
      </w:r>
      <w:r w:rsidRPr="00631EF4">
        <w:rPr>
          <w:rFonts w:ascii="Times New Roman" w:hAnsi="Times New Roman" w:cs="Times New Roman"/>
          <w:sz w:val="28"/>
          <w:szCs w:val="28"/>
          <w:lang w:val="ru-RU"/>
        </w:rPr>
        <w:t>. Данная характеристика изменяется во времени под влиянием рыночной конъюнктуры, управленческих решений и структурных сдвигов в отрасли, поэтому ее корректнее рассматривать как результат совокупного действия факторов, а не как раз и навсегда заданный статус эмитента. В ее состав логично включать оценку стратегических перспектив, качества ресурсной базы и технологий, конкурентоспособности продукции и рыночных позиций, а также ликвидности и финансовой устойчивости при приемлемом уровне риска. Для управляющего фондом высокая инвестиционная привлекательность базовых активов означает, что рыночные котировки в большей степени опираются на внутренние экономические основания — способность бизнеса создавать стоимость и обслуживать обязательства</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 xml:space="preserve">[13, с. </w:t>
      </w:r>
      <w:r w:rsidR="00220139" w:rsidRPr="00220139">
        <w:rPr>
          <w:rFonts w:ascii="Times New Roman" w:hAnsi="Times New Roman" w:cs="Times New Roman"/>
          <w:sz w:val="28"/>
          <w:szCs w:val="28"/>
          <w:lang w:val="ru-RU"/>
        </w:rPr>
        <w:lastRenderedPageBreak/>
        <w:t>120]</w:t>
      </w:r>
      <w:r w:rsidRPr="00631EF4">
        <w:rPr>
          <w:rFonts w:ascii="Times New Roman" w:hAnsi="Times New Roman" w:cs="Times New Roman"/>
          <w:sz w:val="28"/>
          <w:szCs w:val="28"/>
          <w:lang w:val="ru-RU"/>
        </w:rPr>
        <w:t>. Это, в свою очередь, снижает вероятность вовлеченности портфеля в спекулятивные ценовые искажения, а также способствует большей предсказуемости дивидендных и купонных выплат, поскольку последние оказываются подкреплены операционными результатами.</w:t>
      </w:r>
    </w:p>
    <w:p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Классическая портфельная теория, как правило, строится на инструментах математической статистики и использует дисперсию, стандартное отклонение и ковариацию исторических доходностей. Такой подход обладает несомненной методологической ценностью, поскольку позволяет формализовать компромисс между риском и доходностью и получить измеримые критерии сравнения стратегий</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[25, с. 156]</w:t>
      </w:r>
      <w:r w:rsidRPr="00631EF4">
        <w:rPr>
          <w:rFonts w:ascii="Times New Roman" w:hAnsi="Times New Roman" w:cs="Times New Roman"/>
          <w:sz w:val="28"/>
          <w:szCs w:val="28"/>
          <w:lang w:val="ru-RU"/>
        </w:rPr>
        <w:t>. Вместе с тем для вывода о реальном качестве портфеля опора исключительно на статистические показатели представляется методологически ограниченной, особенно применительно к секторам, где фундаментальные факторы способны резко менять профиль рисков</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[24, с. 218]</w:t>
      </w:r>
      <w:r w:rsidRPr="00631EF4">
        <w:rPr>
          <w:rFonts w:ascii="Times New Roman" w:hAnsi="Times New Roman" w:cs="Times New Roman"/>
          <w:sz w:val="28"/>
          <w:szCs w:val="28"/>
          <w:lang w:val="ru-RU"/>
        </w:rPr>
        <w:t>. В капиталоемких и циклических отраслях динамика цен активов нередко отражает не только текущие настроения инвесторов, но и фундаментальные сдвиги в спросе, издержках, инвестиционных циклах, доступности финансирования и регуляторной среде. При этом статистические параметры прошлого периода фиксируют такие изменения преимущественно постфактум, не раскрывая причинно-следственных связей и не позволяя адекватно оценить трансформацию рисков до ее проявления в котировках.</w:t>
      </w:r>
    </w:p>
    <w:p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Металлургический сектор характеризуется высокой капиталоемкостью, длительными сроками окупаемости проектов, необходимостью регулярной модернизации основных средств и, как следствие, нередко существенной долговой нагрузкой</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[30, с. 19]</w:t>
      </w:r>
      <w:r w:rsidRPr="00631EF4">
        <w:rPr>
          <w:rFonts w:ascii="Times New Roman" w:hAnsi="Times New Roman" w:cs="Times New Roman"/>
          <w:sz w:val="28"/>
          <w:szCs w:val="28"/>
          <w:lang w:val="ru-RU"/>
        </w:rPr>
        <w:t xml:space="preserve">. Кроме того, финансовые результаты компаний чувствительны к фазам глобального экономического цикла, к состоянию инфраструктурного и строительного спроса, а также к ценовой конъюнктуре </w:t>
      </w:r>
      <w:r w:rsidRPr="00631EF4">
        <w:rPr>
          <w:rFonts w:ascii="Times New Roman" w:hAnsi="Times New Roman" w:cs="Times New Roman"/>
          <w:sz w:val="28"/>
          <w:szCs w:val="28"/>
          <w:lang w:val="ru-RU"/>
        </w:rPr>
        <w:lastRenderedPageBreak/>
        <w:t>товарных рынков и логистическим ограничениям</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[33, с. 11]</w:t>
      </w:r>
      <w:r w:rsidRPr="00631EF4">
        <w:rPr>
          <w:rFonts w:ascii="Times New Roman" w:hAnsi="Times New Roman" w:cs="Times New Roman"/>
          <w:sz w:val="28"/>
          <w:szCs w:val="28"/>
          <w:lang w:val="ru-RU"/>
        </w:rPr>
        <w:t>. В такой среде ретроспективная волатильность в первую очередь отражает уже состоявшиеся ценовые колебания и не обеспечивает надежного суждения о ряде рисков, критичных для долгосрочного инвестора: вероятности кассовых разрывов, ухудшения способности обслуживать долг при падении спроса, росте стоимости фондирования или снижении экспортных цен, а также риске технологического устаревания и необходимости ускоренных капитальных вложений. Поэтому для оценки устойчивости и выявления источников доходности обоснованно привлекать фундаментальный анализ, предполагающий детальное рассмотрение отчетности, структуры капитала, операционного левериджа и показателей покрытия обязательств. Важным оказывается и учет специфики производственного цикла, поскольку длительность оборота капитала и зависимость от сырьевой базы нередко формируют скрытые ограничения, которые не проявляются в агрегированных рыночных метриках</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16, с. 42]</w:t>
      </w:r>
      <w:r w:rsidRPr="00631EF4">
        <w:rPr>
          <w:rFonts w:ascii="Times New Roman" w:hAnsi="Times New Roman" w:cs="Times New Roman"/>
          <w:sz w:val="28"/>
          <w:szCs w:val="28"/>
          <w:lang w:val="ru-RU"/>
        </w:rPr>
        <w:t>.</w:t>
      </w:r>
    </w:p>
    <w:p w:rsid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Тем самым опора исключительно на статистические параметры поведения ценных бумаг не формирует объективной картины будущей жизнеспособности активов в изменяющейся макроэкономической среде. Комплексная оценка качества портфеля и разработка мер по его повышению предполагают интеграцию инструментов портфельного моделирования с результатами фундаментального исследования объектов инвестирования, включая анализ бизнес-модели, устойчивости денежных потоков и качества управления рисками</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[20, с. 110]</w:t>
      </w:r>
      <w:r w:rsidRPr="00631EF4">
        <w:rPr>
          <w:rFonts w:ascii="Times New Roman" w:hAnsi="Times New Roman" w:cs="Times New Roman"/>
          <w:sz w:val="28"/>
          <w:szCs w:val="28"/>
          <w:lang w:val="ru-RU"/>
        </w:rPr>
        <w:t xml:space="preserve">. Логика зависимости портфеля от базового актива делает обоснованным переход от преимущественного анализа рыночных метрик к применению методов финансового и фундаментального анализа предприятий. Такая постановка вопроса подготавливает дальнейшее рассмотрение процедур, позволяющих связать наблюдаемые рыночные </w:t>
      </w:r>
      <w:r w:rsidRPr="00631EF4">
        <w:rPr>
          <w:rFonts w:ascii="Times New Roman" w:hAnsi="Times New Roman" w:cs="Times New Roman"/>
          <w:sz w:val="28"/>
          <w:szCs w:val="28"/>
          <w:lang w:val="ru-RU"/>
        </w:rPr>
        <w:lastRenderedPageBreak/>
        <w:t>показатели с экономическим содержанием деятельности эмитентов и с потенциальными изменениями их финансового профиля.</w:t>
      </w:r>
    </w:p>
    <w:p w:rsidR="00FF3E0E" w:rsidRPr="00631EF4" w:rsidRDefault="00FF3E0E" w:rsidP="00FF3E0E">
      <w:pPr>
        <w:spacing w:line="360" w:lineRule="auto"/>
        <w:ind w:firstLine="709"/>
        <w:jc w:val="both"/>
        <w:rPr>
          <w:rFonts w:ascii="Times New Roman" w:hAnsi="Times New Roman" w:cs="Times New Roman"/>
          <w:sz w:val="28"/>
          <w:szCs w:val="28"/>
          <w:lang w:val="ru-RU"/>
        </w:rPr>
      </w:pPr>
    </w:p>
    <w:p w:rsidR="00631EF4" w:rsidRPr="00FF3E0E" w:rsidRDefault="00631EF4" w:rsidP="00FF3E0E">
      <w:pPr>
        <w:spacing w:line="360" w:lineRule="auto"/>
        <w:ind w:firstLine="709"/>
        <w:jc w:val="center"/>
        <w:rPr>
          <w:rFonts w:ascii="Times New Roman" w:hAnsi="Times New Roman" w:cs="Times New Roman"/>
          <w:b/>
          <w:sz w:val="28"/>
          <w:szCs w:val="28"/>
          <w:lang w:val="ru-RU"/>
        </w:rPr>
      </w:pPr>
      <w:r w:rsidRPr="00FF3E0E">
        <w:rPr>
          <w:rFonts w:ascii="Times New Roman" w:hAnsi="Times New Roman" w:cs="Times New Roman"/>
          <w:b/>
          <w:sz w:val="28"/>
          <w:szCs w:val="28"/>
          <w:lang w:val="ru-RU"/>
        </w:rPr>
        <w:t>1.4. Методы определения инвестиционной привлекательности предприятия</w:t>
      </w:r>
    </w:p>
    <w:p w:rsidR="00FF3E0E" w:rsidRPr="00631EF4" w:rsidRDefault="00FF3E0E" w:rsidP="00FF3E0E">
      <w:pPr>
        <w:spacing w:line="360" w:lineRule="auto"/>
        <w:ind w:firstLine="709"/>
        <w:jc w:val="both"/>
        <w:rPr>
          <w:rFonts w:ascii="Times New Roman" w:hAnsi="Times New Roman" w:cs="Times New Roman"/>
          <w:sz w:val="28"/>
          <w:szCs w:val="28"/>
          <w:lang w:val="ru-RU"/>
        </w:rPr>
      </w:pPr>
    </w:p>
    <w:p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Для формирования обоснованного представления об инвестиционной привлекательности предприятия традиционно используется инструментарий фундаментального и финансового анализа</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22, с. 54]</w:t>
      </w:r>
      <w:r w:rsidRPr="00631EF4">
        <w:rPr>
          <w:rFonts w:ascii="Times New Roman" w:hAnsi="Times New Roman" w:cs="Times New Roman"/>
          <w:sz w:val="28"/>
          <w:szCs w:val="28"/>
          <w:lang w:val="ru-RU"/>
        </w:rPr>
        <w:t>. Такой анализ базируется на систематическом изучении финансовой отчетности эмитента, интерпретации ее статей с учетом учетной политики и отраслевой специфики, а также на сопоставлении результатов с альтернативными источниками информации (например, данными о рынках сбыта, инвестиционных программах и долговом профиле)</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[16, с. 12]</w:t>
      </w:r>
      <w:r w:rsidRPr="00631EF4">
        <w:rPr>
          <w:rFonts w:ascii="Times New Roman" w:hAnsi="Times New Roman" w:cs="Times New Roman"/>
          <w:sz w:val="28"/>
          <w:szCs w:val="28"/>
          <w:lang w:val="ru-RU"/>
        </w:rPr>
        <w:t>. В прикладном измерении он ориентирован на оценку внутренней (справедливой) стоимости бизнеса и на диагностику его способности генерировать устойчивые денежные потоки в условиях отраслевой и макроэкономической изменчивости. В рамках фундаментальной оценки обычно применяются коэффициентный анализ, расчет отдельных метрик, востребованных в портфельной практике, а также модели прогнозирования вероятности банкротства и финансовой несостоятельности, которые позволяют перейти от описания текущего состояния к вероятностной оценке негативных сценариев</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24, с. 218]</w:t>
      </w:r>
      <w:r w:rsidRPr="00631EF4">
        <w:rPr>
          <w:rFonts w:ascii="Times New Roman" w:hAnsi="Times New Roman" w:cs="Times New Roman"/>
          <w:sz w:val="28"/>
          <w:szCs w:val="28"/>
          <w:lang w:val="ru-RU"/>
        </w:rPr>
        <w:t>.</w:t>
      </w:r>
    </w:p>
    <w:p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Коэффициентный анализ представляет собой метод исследования, основанный на расчете относительных показателей как соотношений между абсолютными величинами отчетности. Его преимущество состоит в том, что относительные показатели позволяют сопоставлять компании разного масштаба и выявлять тенденции, не сводимые к номинальному росту выручки </w:t>
      </w:r>
      <w:r w:rsidRPr="00631EF4">
        <w:rPr>
          <w:rFonts w:ascii="Times New Roman" w:hAnsi="Times New Roman" w:cs="Times New Roman"/>
          <w:sz w:val="28"/>
          <w:szCs w:val="28"/>
          <w:lang w:val="ru-RU"/>
        </w:rPr>
        <w:lastRenderedPageBreak/>
        <w:t>или активов</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16, с. 48]</w:t>
      </w:r>
      <w:r w:rsidRPr="00631EF4">
        <w:rPr>
          <w:rFonts w:ascii="Times New Roman" w:hAnsi="Times New Roman" w:cs="Times New Roman"/>
          <w:sz w:val="28"/>
          <w:szCs w:val="28"/>
          <w:lang w:val="ru-RU"/>
        </w:rPr>
        <w:t>. Для инвестора наибольший практический интерес традиционно представляют четыре группы коэффициентов, поскольку они дают возможность увязать оценку доходности с оценкой устойчивости и рисков, а также сформировать более структурированное представление о природе финансовых результатов:</w:t>
      </w:r>
    </w:p>
    <w:p w:rsidR="00631EF4" w:rsidRPr="00FF3E0E" w:rsidRDefault="00631EF4" w:rsidP="00FF3E0E">
      <w:pPr>
        <w:pStyle w:val="a5"/>
        <w:numPr>
          <w:ilvl w:val="0"/>
          <w:numId w:val="17"/>
        </w:numPr>
        <w:tabs>
          <w:tab w:val="left" w:pos="993"/>
        </w:tabs>
        <w:spacing w:line="360" w:lineRule="auto"/>
        <w:ind w:left="0" w:firstLine="709"/>
        <w:jc w:val="both"/>
        <w:rPr>
          <w:rFonts w:ascii="Times New Roman" w:hAnsi="Times New Roman" w:cs="Times New Roman"/>
          <w:sz w:val="28"/>
          <w:szCs w:val="28"/>
          <w:lang w:val="ru-RU"/>
        </w:rPr>
      </w:pPr>
      <w:r w:rsidRPr="00FF3E0E">
        <w:rPr>
          <w:rFonts w:ascii="Times New Roman" w:hAnsi="Times New Roman" w:cs="Times New Roman"/>
          <w:sz w:val="28"/>
          <w:szCs w:val="28"/>
          <w:lang w:val="ru-RU"/>
        </w:rPr>
        <w:t xml:space="preserve">Показатели ликвидности. Они характеризуют способность компании своевременно исполнять краткосрочные обязательства и отражают, насколько быстро активы могут быть трансформированы в денежные средства без существенной потери стоимости. Коэффициенты текущей, быстрой и абсолютной ликвидности позволяют оценить уязвимость предприятия к кассовым разрывам, зависимость от оборотного капитала и риск технического дефолта на ближайшем горизонте. В условиях нестабильной конъюнктуры и роста стоимости фондирования данная группа показателей приобретает дополнительную значимость, поскольку доступ к ликвидности может оказывать прямое влияние на способность поддерживать операционную непрерывность и выполнять </w:t>
      </w:r>
      <w:proofErr w:type="spellStart"/>
      <w:r w:rsidRPr="00FF3E0E">
        <w:rPr>
          <w:rFonts w:ascii="Times New Roman" w:hAnsi="Times New Roman" w:cs="Times New Roman"/>
          <w:sz w:val="28"/>
          <w:szCs w:val="28"/>
          <w:lang w:val="ru-RU"/>
        </w:rPr>
        <w:t>ковенанты</w:t>
      </w:r>
      <w:proofErr w:type="spellEnd"/>
      <w:r w:rsidRPr="00FF3E0E">
        <w:rPr>
          <w:rFonts w:ascii="Times New Roman" w:hAnsi="Times New Roman" w:cs="Times New Roman"/>
          <w:sz w:val="28"/>
          <w:szCs w:val="28"/>
          <w:lang w:val="ru-RU"/>
        </w:rPr>
        <w:t xml:space="preserve"> по кредитным соглашениям</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[15, с. 215]</w:t>
      </w:r>
      <w:r w:rsidRPr="00FF3E0E">
        <w:rPr>
          <w:rFonts w:ascii="Times New Roman" w:hAnsi="Times New Roman" w:cs="Times New Roman"/>
          <w:sz w:val="28"/>
          <w:szCs w:val="28"/>
          <w:lang w:val="ru-RU"/>
        </w:rPr>
        <w:t>.</w:t>
      </w:r>
    </w:p>
    <w:p w:rsidR="00631EF4" w:rsidRPr="00FF3E0E" w:rsidRDefault="00631EF4" w:rsidP="00FF3E0E">
      <w:pPr>
        <w:pStyle w:val="a5"/>
        <w:numPr>
          <w:ilvl w:val="0"/>
          <w:numId w:val="17"/>
        </w:numPr>
        <w:tabs>
          <w:tab w:val="left" w:pos="993"/>
        </w:tabs>
        <w:spacing w:line="360" w:lineRule="auto"/>
        <w:ind w:left="0" w:firstLine="709"/>
        <w:jc w:val="both"/>
        <w:rPr>
          <w:rFonts w:ascii="Times New Roman" w:hAnsi="Times New Roman" w:cs="Times New Roman"/>
          <w:sz w:val="28"/>
          <w:szCs w:val="28"/>
          <w:lang w:val="ru-RU"/>
        </w:rPr>
      </w:pPr>
      <w:r w:rsidRPr="00FF3E0E">
        <w:rPr>
          <w:rFonts w:ascii="Times New Roman" w:hAnsi="Times New Roman" w:cs="Times New Roman"/>
          <w:sz w:val="28"/>
          <w:szCs w:val="28"/>
          <w:lang w:val="ru-RU"/>
        </w:rPr>
        <w:t xml:space="preserve">Показатели финансовой устойчивости. Эта группа описывает структуру капитала и степень зависимости компании от внешних источников финансирования в долгосрочном горизонте. Коэффициент автономии и показатели финансового левериджа отражают соотношение собственного и заемного капитала и позволяют оценить степень финансового риска, связанную с обслуживанием долга. Чрезмерная долговая нагрузка, как правило, снижает устойчивость к шокам спроса и цен, ограничивает инвестиционные возможности в фазах неблагоприятного цикла и может ухудшать восприятие компании рынком, в том числе через рост требуемой </w:t>
      </w:r>
      <w:r w:rsidRPr="00FF3E0E">
        <w:rPr>
          <w:rFonts w:ascii="Times New Roman" w:hAnsi="Times New Roman" w:cs="Times New Roman"/>
          <w:sz w:val="28"/>
          <w:szCs w:val="28"/>
          <w:lang w:val="ru-RU"/>
        </w:rPr>
        <w:lastRenderedPageBreak/>
        <w:t>доходности по долговым инструментам и повышение дисконта в оценке капитала</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[21, с. 140]</w:t>
      </w:r>
      <w:r w:rsidRPr="00FF3E0E">
        <w:rPr>
          <w:rFonts w:ascii="Times New Roman" w:hAnsi="Times New Roman" w:cs="Times New Roman"/>
          <w:sz w:val="28"/>
          <w:szCs w:val="28"/>
          <w:lang w:val="ru-RU"/>
        </w:rPr>
        <w:t>.</w:t>
      </w:r>
    </w:p>
    <w:p w:rsidR="00631EF4" w:rsidRPr="00FF3E0E" w:rsidRDefault="00631EF4" w:rsidP="00FF3E0E">
      <w:pPr>
        <w:pStyle w:val="a5"/>
        <w:numPr>
          <w:ilvl w:val="0"/>
          <w:numId w:val="17"/>
        </w:numPr>
        <w:tabs>
          <w:tab w:val="left" w:pos="993"/>
        </w:tabs>
        <w:spacing w:line="360" w:lineRule="auto"/>
        <w:ind w:left="0" w:firstLine="709"/>
        <w:jc w:val="both"/>
        <w:rPr>
          <w:rFonts w:ascii="Times New Roman" w:hAnsi="Times New Roman" w:cs="Times New Roman"/>
          <w:sz w:val="28"/>
          <w:szCs w:val="28"/>
          <w:lang w:val="ru-RU"/>
        </w:rPr>
      </w:pPr>
      <w:r w:rsidRPr="00FF3E0E">
        <w:rPr>
          <w:rFonts w:ascii="Times New Roman" w:hAnsi="Times New Roman" w:cs="Times New Roman"/>
          <w:sz w:val="28"/>
          <w:szCs w:val="28"/>
          <w:lang w:val="ru-RU"/>
        </w:rPr>
        <w:t>Показатели деловой активности. Эти коэффициенты измеряют эффективность использования ресурсов через скорость оборота активов и обязательств, а также через качество управления оборотным капиталом. Показатели оборачиваемости активов, запасов, дебиторской и кредиторской задолженности позволяют судить о том, как быстро вложенный капитал возвращается в денежной форме и насколько согласованы производственный цикл и расчетная дисциплина с контрагентами. Более высокая деловая активность нередко способствует укреплению платежеспособности и снижает потребность в дополнительном внешнем финансировании, однако интерпретация требует учета отраслевых норм: ускорение оборота может сопровождаться ростом операционных рисков, если достигается за счет снижения запасов ниже технологически безопасного уровня или за счет смягчения условий продаж</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[16, с. 56]</w:t>
      </w:r>
      <w:r w:rsidRPr="00FF3E0E">
        <w:rPr>
          <w:rFonts w:ascii="Times New Roman" w:hAnsi="Times New Roman" w:cs="Times New Roman"/>
          <w:sz w:val="28"/>
          <w:szCs w:val="28"/>
          <w:lang w:val="ru-RU"/>
        </w:rPr>
        <w:t>.</w:t>
      </w:r>
    </w:p>
    <w:p w:rsidR="00631EF4" w:rsidRPr="00FF3E0E" w:rsidRDefault="00631EF4" w:rsidP="00FF3E0E">
      <w:pPr>
        <w:pStyle w:val="a5"/>
        <w:numPr>
          <w:ilvl w:val="0"/>
          <w:numId w:val="17"/>
        </w:numPr>
        <w:tabs>
          <w:tab w:val="left" w:pos="993"/>
        </w:tabs>
        <w:spacing w:line="360" w:lineRule="auto"/>
        <w:ind w:left="0" w:firstLine="709"/>
        <w:jc w:val="both"/>
        <w:rPr>
          <w:rFonts w:ascii="Times New Roman" w:hAnsi="Times New Roman" w:cs="Times New Roman"/>
          <w:sz w:val="28"/>
          <w:szCs w:val="28"/>
          <w:lang w:val="ru-RU"/>
        </w:rPr>
      </w:pPr>
      <w:r w:rsidRPr="00FF3E0E">
        <w:rPr>
          <w:rFonts w:ascii="Times New Roman" w:hAnsi="Times New Roman" w:cs="Times New Roman"/>
          <w:sz w:val="28"/>
          <w:szCs w:val="28"/>
          <w:lang w:val="ru-RU"/>
        </w:rPr>
        <w:t>Показатели рентабельности. Рентабельность отражает способность бизнеса генерировать прибыль и относится к ключевым характеристикам экономической эффективности. Для портфельного инвестора особенно информативны показатели рентабельности активов (ROA), собственного капитала (ROE) и продаж (ROS), поскольку они позволяют сопоставлять эффективность разных эмитентов и увязывать финансовый результат с масштабом используемых ресурсов и структурой финансирования. При этом для корректной интерпретации важны уточнения: ROE может временно повышаться вследствие роста доли заемного капитала, а ROS — меняться под влиянием ценового цикла и структуры продуктовой корзины, что требует сопоставления с операционной маржинальностью и уровнем капитальных затрат</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[13, с. 115]</w:t>
      </w:r>
      <w:r w:rsidRPr="00FF3E0E">
        <w:rPr>
          <w:rFonts w:ascii="Times New Roman" w:hAnsi="Times New Roman" w:cs="Times New Roman"/>
          <w:sz w:val="28"/>
          <w:szCs w:val="28"/>
          <w:lang w:val="ru-RU"/>
        </w:rPr>
        <w:t>.</w:t>
      </w:r>
    </w:p>
    <w:p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lastRenderedPageBreak/>
        <w:t xml:space="preserve">Существенным элементом оценки выступает диагностика риска финансовой несостоятельности. Для портфельного инвестора кредитный риск эмитента имеет принципиальное значение, поскольку ухудшение платежеспособности обычно приводит к резкому пересмотру стоимости ценных бумаг и, следовательно, к снижению качества портфеля как по доходности, так и по рисковому профилю. Для прогнозирования банкротства применяются подходы многомерного дискриминантного анализа, позволяющие агрегировать несколько финансовых индикаторов в единую оценку риска. К классическим инструментам относится Z-счет Э. Альтмана, основанный на комбинированном учете показателей ликвидности, рентабельности и структуры капитала и интерпретируемый как индикатор вероятностного приближения к зоне финансового неблагополучия. В прикладных исследованиях также используется модель Р. </w:t>
      </w:r>
      <w:proofErr w:type="spellStart"/>
      <w:r w:rsidRPr="00631EF4">
        <w:rPr>
          <w:rFonts w:ascii="Times New Roman" w:hAnsi="Times New Roman" w:cs="Times New Roman"/>
          <w:sz w:val="28"/>
          <w:szCs w:val="28"/>
          <w:lang w:val="ru-RU"/>
        </w:rPr>
        <w:t>Таффлера</w:t>
      </w:r>
      <w:proofErr w:type="spellEnd"/>
      <w:r w:rsidRPr="00631EF4">
        <w:rPr>
          <w:rFonts w:ascii="Times New Roman" w:hAnsi="Times New Roman" w:cs="Times New Roman"/>
          <w:sz w:val="28"/>
          <w:szCs w:val="28"/>
          <w:lang w:val="ru-RU"/>
        </w:rPr>
        <w:t>, представляющая собой линейную регрессионную конструкцию, оценивающую финансовое состояние по набору коэффициентов; ее применение может быть оправдано как средство сопоставительной диагностики при условии учета ограничений, связанных с переносимостью параметров между рынками и отраслями</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[19, с. 312]</w:t>
      </w:r>
      <w:r w:rsidRPr="00631EF4">
        <w:rPr>
          <w:rFonts w:ascii="Times New Roman" w:hAnsi="Times New Roman" w:cs="Times New Roman"/>
          <w:sz w:val="28"/>
          <w:szCs w:val="28"/>
          <w:lang w:val="ru-RU"/>
        </w:rPr>
        <w:t>.</w:t>
      </w:r>
    </w:p>
    <w:p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Наряду с фундаментальным анализом эмитентов значимую роль сохраняют метрики портфельной теории, предназначенные для оценки эффективности управления портфелем как целостной системой. Методологической основой многих таких показателей выступает модель оценки капитальных активов (CAPM), разделяющая риск на систематический и несистематический и тем самым предлагающая схему сопоставления доходности с рыночной экспозицией</w:t>
      </w:r>
      <w:r w:rsidR="00220139">
        <w:rPr>
          <w:rFonts w:ascii="Times New Roman" w:hAnsi="Times New Roman" w:cs="Times New Roman"/>
          <w:sz w:val="28"/>
          <w:szCs w:val="28"/>
          <w:lang w:val="ru-RU"/>
        </w:rPr>
        <w:t xml:space="preserve"> </w:t>
      </w:r>
      <w:r w:rsidR="00710322">
        <w:rPr>
          <w:rFonts w:ascii="Times New Roman" w:hAnsi="Times New Roman" w:cs="Times New Roman"/>
          <w:sz w:val="28"/>
          <w:szCs w:val="28"/>
          <w:lang w:val="ru-RU"/>
        </w:rPr>
        <w:t>[</w:t>
      </w:r>
      <w:r w:rsidR="00220139" w:rsidRPr="00220139">
        <w:rPr>
          <w:rFonts w:ascii="Times New Roman" w:hAnsi="Times New Roman" w:cs="Times New Roman"/>
          <w:sz w:val="28"/>
          <w:szCs w:val="28"/>
          <w:lang w:val="ru-RU"/>
        </w:rPr>
        <w:t>20, с. 112]</w:t>
      </w:r>
      <w:r w:rsidRPr="00631EF4">
        <w:rPr>
          <w:rFonts w:ascii="Times New Roman" w:hAnsi="Times New Roman" w:cs="Times New Roman"/>
          <w:sz w:val="28"/>
          <w:szCs w:val="28"/>
          <w:lang w:val="ru-RU"/>
        </w:rPr>
        <w:t>. В классическом изложении используются следующие показатели:</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lastRenderedPageBreak/>
        <w:t>Коэффициент Шарпа (</w:t>
      </w:r>
      <w:proofErr w:type="spellStart"/>
      <w:r w:rsidRPr="00631EF4">
        <w:rPr>
          <w:rFonts w:ascii="Times New Roman" w:hAnsi="Times New Roman" w:cs="Times New Roman"/>
          <w:sz w:val="28"/>
          <w:szCs w:val="28"/>
          <w:lang w:val="ru-RU"/>
        </w:rPr>
        <w:t>Sharpe</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ratio</w:t>
      </w:r>
      <w:proofErr w:type="spellEnd"/>
      <w:r w:rsidRPr="00631EF4">
        <w:rPr>
          <w:rFonts w:ascii="Times New Roman" w:hAnsi="Times New Roman" w:cs="Times New Roman"/>
          <w:sz w:val="28"/>
          <w:szCs w:val="28"/>
          <w:lang w:val="ru-RU"/>
        </w:rPr>
        <w:t>) измеряет избыточную доходность портфеля на единицу совокупного риска</w:t>
      </w:r>
      <w:r w:rsidR="00FF3E0E">
        <w:rPr>
          <w:rFonts w:ascii="Times New Roman" w:hAnsi="Times New Roman" w:cs="Times New Roman"/>
          <w:sz w:val="28"/>
          <w:szCs w:val="28"/>
          <w:lang w:val="ru-RU"/>
        </w:rPr>
        <w:t xml:space="preserve"> (1)</w:t>
      </w:r>
      <w:r w:rsidRPr="00631EF4">
        <w:rPr>
          <w:rFonts w:ascii="Times New Roman" w:hAnsi="Times New Roman" w:cs="Times New Roman"/>
          <w:sz w:val="28"/>
          <w:szCs w:val="28"/>
          <w:lang w:val="ru-RU"/>
        </w:rPr>
        <w:t>:</w:t>
      </w:r>
    </w:p>
    <w:p w:rsidR="00631EF4" w:rsidRPr="00631EF4" w:rsidRDefault="00FF3E0E"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K</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Sharpe</m:t>
                </m:r>
              </m:e>
            </m:d>
          </m:sub>
        </m:sSub>
        <m:r>
          <w:rPr>
            <w:rFonts w:ascii="Cambria Math" w:hAnsi="Cambria Math" w:cs="Times New Roman"/>
            <w:sz w:val="28"/>
            <w:szCs w:val="28"/>
            <w:lang w:val="ru-RU"/>
          </w:rPr>
          <m:t>= frac</m:t>
        </m:r>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p</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f</m:t>
                </m:r>
              </m:sub>
            </m:sSub>
          </m:e>
        </m:d>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σ</m:t>
                </m:r>
              </m:e>
              <m:sub>
                <m:r>
                  <w:rPr>
                    <w:rFonts w:ascii="Cambria Math" w:hAnsi="Cambria Math" w:cs="Times New Roman"/>
                    <w:sz w:val="28"/>
                    <w:szCs w:val="28"/>
                    <w:lang w:val="ru-RU"/>
                  </w:rPr>
                  <m:t>p</m:t>
                </m:r>
              </m:sub>
            </m:sSub>
          </m:e>
        </m:d>
      </m:oMath>
      <w:r>
        <w:rPr>
          <w:rFonts w:ascii="Times New Roman" w:hAnsi="Times New Roman" w:cs="Times New Roman"/>
          <w:sz w:val="28"/>
          <w:szCs w:val="28"/>
          <w:lang w:val="ru-RU"/>
        </w:rPr>
        <w:t>,                                  (1)</w:t>
      </w:r>
    </w:p>
    <w:p w:rsidR="00FF3E0E"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где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p</m:t>
            </m:r>
          </m:sub>
        </m:sSub>
      </m:oMath>
      <w:r w:rsidRPr="00631EF4">
        <w:rPr>
          <w:rFonts w:ascii="Times New Roman" w:hAnsi="Times New Roman" w:cs="Times New Roman"/>
          <w:sz w:val="28"/>
          <w:szCs w:val="28"/>
          <w:lang w:val="ru-RU"/>
        </w:rPr>
        <w:t xml:space="preserve"> — средняя доходность инвестиционного портфеля;</w:t>
      </w:r>
    </w:p>
    <w:p w:rsidR="00FF3E0E" w:rsidRDefault="00097DFD" w:rsidP="00631EF4">
      <w:pPr>
        <w:spacing w:line="360" w:lineRule="auto"/>
        <w:ind w:firstLine="709"/>
        <w:jc w:val="both"/>
        <w:rPr>
          <w:rFonts w:ascii="Times New Roman" w:hAnsi="Times New Roman" w:cs="Times New Roman"/>
          <w:sz w:val="28"/>
          <w:szCs w:val="28"/>
          <w:lang w:val="ru-RU"/>
        </w:rPr>
      </w:pP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f</m:t>
            </m:r>
          </m:sub>
        </m:sSub>
      </m:oMath>
      <w:r w:rsidR="00631EF4" w:rsidRPr="00631EF4">
        <w:rPr>
          <w:rFonts w:ascii="Times New Roman" w:hAnsi="Times New Roman" w:cs="Times New Roman"/>
          <w:sz w:val="28"/>
          <w:szCs w:val="28"/>
          <w:lang w:val="ru-RU"/>
        </w:rPr>
        <w:t xml:space="preserve"> — средняя доходность </w:t>
      </w:r>
      <w:proofErr w:type="spellStart"/>
      <w:r w:rsidR="00631EF4" w:rsidRPr="00631EF4">
        <w:rPr>
          <w:rFonts w:ascii="Times New Roman" w:hAnsi="Times New Roman" w:cs="Times New Roman"/>
          <w:sz w:val="28"/>
          <w:szCs w:val="28"/>
          <w:lang w:val="ru-RU"/>
        </w:rPr>
        <w:t>безрискового</w:t>
      </w:r>
      <w:proofErr w:type="spellEnd"/>
      <w:r w:rsidR="00631EF4" w:rsidRPr="00631EF4">
        <w:rPr>
          <w:rFonts w:ascii="Times New Roman" w:hAnsi="Times New Roman" w:cs="Times New Roman"/>
          <w:sz w:val="28"/>
          <w:szCs w:val="28"/>
          <w:lang w:val="ru-RU"/>
        </w:rPr>
        <w:t xml:space="preserve"> актива;</w:t>
      </w:r>
    </w:p>
    <w:p w:rsidR="00FF3E0E" w:rsidRDefault="00631EF4" w:rsidP="00631EF4">
      <w:pPr>
        <w:spacing w:line="360" w:lineRule="auto"/>
        <w:ind w:firstLine="709"/>
        <w:jc w:val="both"/>
        <w:rPr>
          <w:rFonts w:ascii="Times New Roman" w:hAnsi="Times New Roman" w:cs="Times New Roman"/>
          <w:sz w:val="28"/>
          <w:szCs w:val="28"/>
          <w:lang w:val="ru-RU"/>
        </w:rPr>
      </w:pPr>
      <m:oMath>
        <m:r>
          <w:rPr>
            <w:rFonts w:ascii="Cambria Math" w:hAnsi="Cambria Math" w:cs="Times New Roman"/>
            <w:sz w:val="28"/>
            <w:szCs w:val="28"/>
            <w:lang w:val="ru-RU"/>
          </w:rPr>
          <m:t>sigm</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a</m:t>
            </m:r>
          </m:e>
          <m:sub>
            <m:r>
              <w:rPr>
                <w:rFonts w:ascii="Cambria Math" w:hAnsi="Cambria Math" w:cs="Times New Roman"/>
                <w:sz w:val="28"/>
                <w:szCs w:val="28"/>
                <w:lang w:val="ru-RU"/>
              </w:rPr>
              <m:t>p</m:t>
            </m:r>
          </m:sub>
        </m:sSub>
      </m:oMath>
      <w:r w:rsidRPr="00631EF4">
        <w:rPr>
          <w:rFonts w:ascii="Times New Roman" w:hAnsi="Times New Roman" w:cs="Times New Roman"/>
          <w:sz w:val="28"/>
          <w:szCs w:val="28"/>
          <w:lang w:val="ru-RU"/>
        </w:rPr>
        <w:t xml:space="preserve"> — стандартное отклонение доходностей портфеля (общий риск). </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Показатель интерпретируется как премия за принятый риск; значения, превышающие единицу, в типовой трактовке могут рассматриваться как признак сравнительно высокой эффективности управления при выбранных допущениях, хотя выводы зависят от горизонта, распределения доходностей и корректности выбора </w:t>
      </w:r>
      <w:proofErr w:type="spellStart"/>
      <w:r w:rsidRPr="00631EF4">
        <w:rPr>
          <w:rFonts w:ascii="Times New Roman" w:hAnsi="Times New Roman" w:cs="Times New Roman"/>
          <w:sz w:val="28"/>
          <w:szCs w:val="28"/>
          <w:lang w:val="ru-RU"/>
        </w:rPr>
        <w:t>безрисковой</w:t>
      </w:r>
      <w:proofErr w:type="spellEnd"/>
      <w:r w:rsidRPr="00631EF4">
        <w:rPr>
          <w:rFonts w:ascii="Times New Roman" w:hAnsi="Times New Roman" w:cs="Times New Roman"/>
          <w:sz w:val="28"/>
          <w:szCs w:val="28"/>
          <w:lang w:val="ru-RU"/>
        </w:rPr>
        <w:t xml:space="preserve"> ставки.</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Коэффициент </w:t>
      </w:r>
      <w:proofErr w:type="spellStart"/>
      <w:r w:rsidRPr="00631EF4">
        <w:rPr>
          <w:rFonts w:ascii="Times New Roman" w:hAnsi="Times New Roman" w:cs="Times New Roman"/>
          <w:sz w:val="28"/>
          <w:szCs w:val="28"/>
          <w:lang w:val="ru-RU"/>
        </w:rPr>
        <w:t>Сортино</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Sortino</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ratio</w:t>
      </w:r>
      <w:proofErr w:type="spellEnd"/>
      <w:r w:rsidRPr="00631EF4">
        <w:rPr>
          <w:rFonts w:ascii="Times New Roman" w:hAnsi="Times New Roman" w:cs="Times New Roman"/>
          <w:sz w:val="28"/>
          <w:szCs w:val="28"/>
          <w:lang w:val="ru-RU"/>
        </w:rPr>
        <w:t xml:space="preserve">) уточняет оценку риска, используя </w:t>
      </w:r>
      <w:proofErr w:type="spellStart"/>
      <w:r w:rsidRPr="00631EF4">
        <w:rPr>
          <w:rFonts w:ascii="Times New Roman" w:hAnsi="Times New Roman" w:cs="Times New Roman"/>
          <w:sz w:val="28"/>
          <w:szCs w:val="28"/>
          <w:lang w:val="ru-RU"/>
        </w:rPr>
        <w:t>полудисперсию</w:t>
      </w:r>
      <w:proofErr w:type="spellEnd"/>
      <w:r w:rsidRPr="00631EF4">
        <w:rPr>
          <w:rFonts w:ascii="Times New Roman" w:hAnsi="Times New Roman" w:cs="Times New Roman"/>
          <w:sz w:val="28"/>
          <w:szCs w:val="28"/>
          <w:lang w:val="ru-RU"/>
        </w:rPr>
        <w:t xml:space="preserve"> и фокусируясь на отрицательных отклонениях</w:t>
      </w:r>
      <w:r w:rsidR="00FF3E0E">
        <w:rPr>
          <w:rFonts w:ascii="Times New Roman" w:hAnsi="Times New Roman" w:cs="Times New Roman"/>
          <w:sz w:val="28"/>
          <w:szCs w:val="28"/>
          <w:lang w:val="ru-RU"/>
        </w:rPr>
        <w:t xml:space="preserve"> (2)</w:t>
      </w:r>
      <w:r w:rsidRPr="00631EF4">
        <w:rPr>
          <w:rFonts w:ascii="Times New Roman" w:hAnsi="Times New Roman" w:cs="Times New Roman"/>
          <w:sz w:val="28"/>
          <w:szCs w:val="28"/>
          <w:lang w:val="ru-RU"/>
        </w:rPr>
        <w:t>:</w:t>
      </w:r>
    </w:p>
    <w:p w:rsidR="00631EF4" w:rsidRPr="00631EF4" w:rsidRDefault="00FF3E0E"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K</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Sortino</m:t>
                </m:r>
              </m:e>
            </m:d>
          </m:sub>
        </m:sSub>
        <m:r>
          <w:rPr>
            <w:rFonts w:ascii="Cambria Math" w:hAnsi="Cambria Math" w:cs="Times New Roman"/>
            <w:sz w:val="28"/>
            <w:szCs w:val="28"/>
            <w:lang w:val="ru-RU"/>
          </w:rPr>
          <m:t>= frac</m:t>
        </m:r>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p</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f</m:t>
                </m:r>
              </m:sub>
            </m:sSub>
          </m:e>
        </m:d>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σ</m:t>
                </m:r>
              </m:e>
              <m:sub>
                <m:r>
                  <w:rPr>
                    <w:rFonts w:ascii="Cambria Math" w:hAnsi="Cambria Math" w:cs="Times New Roman"/>
                    <w:sz w:val="28"/>
                    <w:szCs w:val="28"/>
                    <w:lang w:val="ru-RU"/>
                  </w:rPr>
                  <m:t>d</m:t>
                </m:r>
              </m:sub>
            </m:sSub>
          </m:e>
        </m:d>
      </m:oMath>
      <w:r>
        <w:rPr>
          <w:rFonts w:ascii="Times New Roman" w:hAnsi="Times New Roman" w:cs="Times New Roman"/>
          <w:sz w:val="28"/>
          <w:szCs w:val="28"/>
          <w:lang w:val="ru-RU"/>
        </w:rPr>
        <w:t>,                               (2)</w:t>
      </w:r>
    </w:p>
    <w:p w:rsidR="00FF3E0E"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где </w:t>
      </w:r>
      <m:oMath>
        <m:r>
          <w:rPr>
            <w:rFonts w:ascii="Cambria Math" w:hAnsi="Cambria Math" w:cs="Times New Roman"/>
            <w:sz w:val="28"/>
            <w:szCs w:val="28"/>
            <w:lang w:val="ru-RU"/>
          </w:rPr>
          <m:t>sigm</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a</m:t>
            </m:r>
          </m:e>
          <m:sub>
            <m:r>
              <w:rPr>
                <w:rFonts w:ascii="Cambria Math" w:hAnsi="Cambria Math" w:cs="Times New Roman"/>
                <w:sz w:val="28"/>
                <w:szCs w:val="28"/>
                <w:lang w:val="ru-RU"/>
              </w:rPr>
              <m:t>d</m:t>
            </m:r>
          </m:sub>
        </m:sSub>
      </m:oMath>
      <w:r w:rsidRPr="00631EF4">
        <w:rPr>
          <w:rFonts w:ascii="Times New Roman" w:hAnsi="Times New Roman" w:cs="Times New Roman"/>
          <w:sz w:val="28"/>
          <w:szCs w:val="28"/>
          <w:lang w:val="ru-RU"/>
        </w:rPr>
        <w:t xml:space="preserve">— стандартное отклонение убытков (downside deviation). </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В прикладном анализе данный коэффициент часто рассматривается как более чувствительный к риску потерь капитала по сравнению с коэффициентом Шарпа, поскольку он исключает «наказание» за положительные отклонения и тем самым ближе к предпочтениям инвестора, ориентированного на ограничение просадок.</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Коэффициент </w:t>
      </w:r>
      <w:proofErr w:type="spellStart"/>
      <w:r w:rsidRPr="00631EF4">
        <w:rPr>
          <w:rFonts w:ascii="Times New Roman" w:hAnsi="Times New Roman" w:cs="Times New Roman"/>
          <w:sz w:val="28"/>
          <w:szCs w:val="28"/>
          <w:lang w:val="ru-RU"/>
        </w:rPr>
        <w:t>Трейнора</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Treynor</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ratio</w:t>
      </w:r>
      <w:proofErr w:type="spellEnd"/>
      <w:r w:rsidRPr="00631EF4">
        <w:rPr>
          <w:rFonts w:ascii="Times New Roman" w:hAnsi="Times New Roman" w:cs="Times New Roman"/>
          <w:sz w:val="28"/>
          <w:szCs w:val="28"/>
          <w:lang w:val="ru-RU"/>
        </w:rPr>
        <w:t>) соотносит избыточную доходность с величиной систематического риска</w:t>
      </w:r>
      <w:r w:rsidR="00FF3E0E">
        <w:rPr>
          <w:rFonts w:ascii="Times New Roman" w:hAnsi="Times New Roman" w:cs="Times New Roman"/>
          <w:sz w:val="28"/>
          <w:szCs w:val="28"/>
          <w:lang w:val="ru-RU"/>
        </w:rPr>
        <w:t xml:space="preserve"> (3)</w:t>
      </w:r>
      <w:r w:rsidRPr="00631EF4">
        <w:rPr>
          <w:rFonts w:ascii="Times New Roman" w:hAnsi="Times New Roman" w:cs="Times New Roman"/>
          <w:sz w:val="28"/>
          <w:szCs w:val="28"/>
          <w:lang w:val="ru-RU"/>
        </w:rPr>
        <w:t>:</w:t>
      </w:r>
    </w:p>
    <w:p w:rsidR="00631EF4" w:rsidRPr="00631EF4" w:rsidRDefault="00FF3E0E"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 xml:space="preserve"> K</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Treynor</m:t>
                </m:r>
              </m:e>
            </m:d>
          </m:sub>
        </m:sSub>
        <m:r>
          <w:rPr>
            <w:rFonts w:ascii="Cambria Math" w:hAnsi="Cambria Math" w:cs="Times New Roman"/>
            <w:sz w:val="28"/>
            <w:szCs w:val="28"/>
            <w:lang w:val="ru-RU"/>
          </w:rPr>
          <m:t>= frac</m:t>
        </m:r>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p</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f</m:t>
                </m:r>
              </m:sub>
            </m:sSub>
          </m:e>
        </m:d>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β</m:t>
                </m:r>
              </m:e>
              <m:sub>
                <m:r>
                  <w:rPr>
                    <w:rFonts w:ascii="Cambria Math" w:hAnsi="Cambria Math" w:cs="Times New Roman"/>
                    <w:sz w:val="28"/>
                    <w:szCs w:val="28"/>
                    <w:lang w:val="ru-RU"/>
                  </w:rPr>
                  <m:t>p</m:t>
                </m:r>
              </m:sub>
            </m:sSub>
          </m:e>
        </m:d>
      </m:oMath>
      <w:r>
        <w:rPr>
          <w:rFonts w:ascii="Times New Roman" w:hAnsi="Times New Roman" w:cs="Times New Roman"/>
          <w:sz w:val="28"/>
          <w:szCs w:val="28"/>
          <w:lang w:val="ru-RU"/>
        </w:rPr>
        <w:t>,                             (3)</w:t>
      </w:r>
    </w:p>
    <w:p w:rsidR="00FF3E0E"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где </w:t>
      </w:r>
      <m:oMath>
        <m:r>
          <w:rPr>
            <w:rFonts w:ascii="Cambria Math" w:hAnsi="Cambria Math" w:cs="Times New Roman"/>
            <w:sz w:val="28"/>
            <w:szCs w:val="28"/>
            <w:lang w:val="ru-RU"/>
          </w:rPr>
          <m:t>bet</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a</m:t>
            </m:r>
          </m:e>
          <m:sub>
            <m:r>
              <w:rPr>
                <w:rFonts w:ascii="Cambria Math" w:hAnsi="Cambria Math" w:cs="Times New Roman"/>
                <w:sz w:val="28"/>
                <w:szCs w:val="28"/>
                <w:lang w:val="ru-RU"/>
              </w:rPr>
              <m:t>p</m:t>
            </m:r>
          </m:sub>
        </m:sSub>
      </m:oMath>
      <w:r w:rsidRPr="00631EF4">
        <w:rPr>
          <w:rFonts w:ascii="Times New Roman" w:hAnsi="Times New Roman" w:cs="Times New Roman"/>
          <w:sz w:val="28"/>
          <w:szCs w:val="28"/>
          <w:lang w:val="ru-RU"/>
        </w:rPr>
        <w:t xml:space="preserve"> — бета-коэффициент портфеля, интерпретируемый как мера рыночного риска. </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lastRenderedPageBreak/>
        <w:t>Данный показатель уместен в тех случаях, когда предполагается, что несистематический риск в портфеле в значительной степени диверсифицирован, и ключевым источником неопределенности остается рыночная компонента.</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Альфа </w:t>
      </w:r>
      <w:proofErr w:type="spellStart"/>
      <w:r w:rsidRPr="00631EF4">
        <w:rPr>
          <w:rFonts w:ascii="Times New Roman" w:hAnsi="Times New Roman" w:cs="Times New Roman"/>
          <w:sz w:val="28"/>
          <w:szCs w:val="28"/>
          <w:lang w:val="ru-RU"/>
        </w:rPr>
        <w:t>Дженсена</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Jensen's</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alpha</w:t>
      </w:r>
      <w:proofErr w:type="spellEnd"/>
      <w:r w:rsidRPr="00631EF4">
        <w:rPr>
          <w:rFonts w:ascii="Times New Roman" w:hAnsi="Times New Roman" w:cs="Times New Roman"/>
          <w:sz w:val="28"/>
          <w:szCs w:val="28"/>
          <w:lang w:val="ru-RU"/>
        </w:rPr>
        <w:t xml:space="preserve">) оценивает абсолютную величину </w:t>
      </w:r>
      <w:proofErr w:type="spellStart"/>
      <w:r w:rsidRPr="00631EF4">
        <w:rPr>
          <w:rFonts w:ascii="Times New Roman" w:hAnsi="Times New Roman" w:cs="Times New Roman"/>
          <w:sz w:val="28"/>
          <w:szCs w:val="28"/>
          <w:lang w:val="ru-RU"/>
        </w:rPr>
        <w:t>сверхдоходности</w:t>
      </w:r>
      <w:proofErr w:type="spellEnd"/>
      <w:r w:rsidRPr="00631EF4">
        <w:rPr>
          <w:rFonts w:ascii="Times New Roman" w:hAnsi="Times New Roman" w:cs="Times New Roman"/>
          <w:sz w:val="28"/>
          <w:szCs w:val="28"/>
          <w:lang w:val="ru-RU"/>
        </w:rPr>
        <w:t xml:space="preserve"> относительно прогнозируемой CAPM</w:t>
      </w:r>
      <w:r w:rsidR="00FF3E0E">
        <w:rPr>
          <w:rFonts w:ascii="Times New Roman" w:hAnsi="Times New Roman" w:cs="Times New Roman"/>
          <w:sz w:val="28"/>
          <w:szCs w:val="28"/>
          <w:lang w:val="ru-RU"/>
        </w:rPr>
        <w:t xml:space="preserve"> (4)</w:t>
      </w:r>
      <w:r w:rsidRPr="00631EF4">
        <w:rPr>
          <w:rFonts w:ascii="Times New Roman" w:hAnsi="Times New Roman" w:cs="Times New Roman"/>
          <w:sz w:val="28"/>
          <w:szCs w:val="28"/>
          <w:lang w:val="ru-RU"/>
        </w:rPr>
        <w:t>:</w:t>
      </w:r>
    </w:p>
    <w:p w:rsidR="00631EF4" w:rsidRPr="005F2182" w:rsidRDefault="00FF3E0E"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r>
          <w:rPr>
            <w:rFonts w:ascii="Cambria Math" w:hAnsi="Cambria Math" w:cs="Times New Roman"/>
            <w:sz w:val="28"/>
            <w:szCs w:val="28"/>
            <w:lang w:val="ru-RU"/>
          </w:rPr>
          <m:t xml:space="preserve">α= </m:t>
        </m:r>
        <m:sSub>
          <m:sSubPr>
            <m:ctrlPr>
              <w:rPr>
                <w:rFonts w:ascii="Cambria Math" w:hAnsi="Cambria Math" w:cs="Times New Roman"/>
                <w:i/>
                <w:sz w:val="28"/>
                <w:szCs w:val="28"/>
                <w:lang w:val="ru-RU"/>
              </w:rPr>
            </m:ctrlPr>
          </m:sSubPr>
          <m:e>
            <m:r>
              <w:rPr>
                <w:rFonts w:ascii="Cambria Math" w:hAnsi="Cambria Math" w:cs="Times New Roman"/>
                <w:sz w:val="28"/>
                <w:szCs w:val="28"/>
                <w:lang w:val="en-US"/>
              </w:rPr>
              <m:t>r</m:t>
            </m:r>
          </m:e>
          <m:sub>
            <m:r>
              <w:rPr>
                <w:rFonts w:ascii="Cambria Math" w:hAnsi="Cambria Math" w:cs="Times New Roman"/>
                <w:sz w:val="28"/>
                <w:szCs w:val="28"/>
                <w:lang w:val="en-US"/>
              </w:rPr>
              <m:t>p</m:t>
            </m:r>
          </m:sub>
        </m:sSub>
        <m:r>
          <w:rPr>
            <w:rFonts w:ascii="Cambria Math" w:hAnsi="Cambria Math" w:cs="Times New Roman"/>
            <w:sz w:val="28"/>
            <w:szCs w:val="28"/>
            <w:lang w:val="ru-RU"/>
          </w:rPr>
          <m:t xml:space="preserve">- </m:t>
        </m:r>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en-US"/>
                  </w:rPr>
                  <m:t>r</m:t>
                </m:r>
              </m:e>
              <m:sub>
                <m:r>
                  <w:rPr>
                    <w:rFonts w:ascii="Cambria Math" w:hAnsi="Cambria Math" w:cs="Times New Roman"/>
                    <w:sz w:val="28"/>
                    <w:szCs w:val="28"/>
                    <w:lang w:val="en-US"/>
                  </w:rPr>
                  <m:t>f</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β</m:t>
                </m:r>
              </m:e>
              <m:sub>
                <m:r>
                  <w:rPr>
                    <w:rFonts w:ascii="Cambria Math" w:hAnsi="Cambria Math" w:cs="Times New Roman"/>
                    <w:sz w:val="28"/>
                    <w:szCs w:val="28"/>
                    <w:lang w:val="en-US"/>
                  </w:rPr>
                  <m:t>p</m:t>
                </m:r>
              </m:sub>
            </m:sSub>
            <m:r>
              <w:rPr>
                <w:rFonts w:ascii="Cambria Math" w:hAnsi="Cambria Math" w:cs="Times New Roman"/>
                <w:sz w:val="28"/>
                <w:szCs w:val="28"/>
                <w:lang w:val="ru-RU"/>
              </w:rPr>
              <m:t>×</m:t>
            </m:r>
            <m:d>
              <m:dPr>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en-US"/>
                      </w:rPr>
                      <m:t>r</m:t>
                    </m:r>
                  </m:e>
                  <m:sub>
                    <m:r>
                      <w:rPr>
                        <w:rFonts w:ascii="Cambria Math" w:hAnsi="Cambria Math" w:cs="Times New Roman"/>
                        <w:sz w:val="28"/>
                        <w:szCs w:val="28"/>
                        <w:lang w:val="en-US"/>
                      </w:rPr>
                      <m:t>m</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en-US"/>
                      </w:rPr>
                      <m:t>r</m:t>
                    </m:r>
                  </m:e>
                  <m:sub>
                    <m:r>
                      <w:rPr>
                        <w:rFonts w:ascii="Cambria Math" w:hAnsi="Cambria Math" w:cs="Times New Roman"/>
                        <w:sz w:val="28"/>
                        <w:szCs w:val="28"/>
                        <w:lang w:val="en-US"/>
                      </w:rPr>
                      <m:t>f</m:t>
                    </m:r>
                  </m:sub>
                </m:sSub>
              </m:e>
            </m:d>
          </m:e>
        </m:d>
      </m:oMath>
      <w:r>
        <w:rPr>
          <w:rFonts w:ascii="Times New Roman" w:hAnsi="Times New Roman" w:cs="Times New Roman"/>
          <w:sz w:val="28"/>
          <w:szCs w:val="28"/>
          <w:lang w:val="ru-RU"/>
        </w:rPr>
        <w:t>,                                    (4)</w:t>
      </w:r>
    </w:p>
    <w:p w:rsidR="00FF3E0E"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где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m</m:t>
            </m:r>
          </m:sub>
        </m:sSub>
      </m:oMath>
      <w:r w:rsidRPr="00631EF4">
        <w:rPr>
          <w:rFonts w:ascii="Times New Roman" w:hAnsi="Times New Roman" w:cs="Times New Roman"/>
          <w:sz w:val="28"/>
          <w:szCs w:val="28"/>
          <w:lang w:val="ru-RU"/>
        </w:rPr>
        <w:t xml:space="preserve"> — ожидаемая среднерыночная доходность. </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Положительная альфа обычно трактуется как свидетельство превышения портфелем рыночных ожиданий при заданной величине систематического риска, однако интерпретация требует осторожности из-за чувствительности к выбору </w:t>
      </w:r>
      <w:proofErr w:type="spellStart"/>
      <w:r w:rsidRPr="00631EF4">
        <w:rPr>
          <w:rFonts w:ascii="Times New Roman" w:hAnsi="Times New Roman" w:cs="Times New Roman"/>
          <w:sz w:val="28"/>
          <w:szCs w:val="28"/>
          <w:lang w:val="ru-RU"/>
        </w:rPr>
        <w:t>бенчмарка</w:t>
      </w:r>
      <w:proofErr w:type="spellEnd"/>
      <w:r w:rsidRPr="00631EF4">
        <w:rPr>
          <w:rFonts w:ascii="Times New Roman" w:hAnsi="Times New Roman" w:cs="Times New Roman"/>
          <w:sz w:val="28"/>
          <w:szCs w:val="28"/>
          <w:lang w:val="ru-RU"/>
        </w:rPr>
        <w:t xml:space="preserve"> и горизонта оценки</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25, с. 158]</w:t>
      </w:r>
      <w:r w:rsidRPr="00631EF4">
        <w:rPr>
          <w:rFonts w:ascii="Times New Roman" w:hAnsi="Times New Roman" w:cs="Times New Roman"/>
          <w:sz w:val="28"/>
          <w:szCs w:val="28"/>
          <w:lang w:val="ru-RU"/>
        </w:rPr>
        <w:t>.</w:t>
      </w:r>
    </w:p>
    <w:p w:rsidR="00631EF4" w:rsidRPr="00631EF4" w:rsidRDefault="004605F7"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Бета-коэффициент </w:t>
      </w:r>
      <w:r w:rsidR="00631EF4" w:rsidRPr="00631EF4">
        <w:rPr>
          <w:rFonts w:ascii="Times New Roman" w:hAnsi="Times New Roman" w:cs="Times New Roman"/>
          <w:sz w:val="28"/>
          <w:szCs w:val="28"/>
          <w:lang w:val="ru-RU"/>
        </w:rPr>
        <w:t>(</w:t>
      </w:r>
      <m:oMath>
        <m:r>
          <w:rPr>
            <w:rFonts w:ascii="Cambria Math" w:hAnsi="Cambria Math" w:cs="Times New Roman"/>
            <w:sz w:val="28"/>
            <w:szCs w:val="28"/>
            <w:lang w:val="ru-RU"/>
          </w:rPr>
          <m:t>beta</m:t>
        </m:r>
      </m:oMath>
      <w:r w:rsidR="00631EF4" w:rsidRPr="00631EF4">
        <w:rPr>
          <w:rFonts w:ascii="Times New Roman" w:hAnsi="Times New Roman" w:cs="Times New Roman"/>
          <w:sz w:val="28"/>
          <w:szCs w:val="28"/>
          <w:lang w:val="ru-RU"/>
        </w:rPr>
        <w:t xml:space="preserve">) отражает чувствительность портфеля к изменению рыночного </w:t>
      </w:r>
      <w:proofErr w:type="spellStart"/>
      <w:r w:rsidR="00631EF4" w:rsidRPr="00631EF4">
        <w:rPr>
          <w:rFonts w:ascii="Times New Roman" w:hAnsi="Times New Roman" w:cs="Times New Roman"/>
          <w:sz w:val="28"/>
          <w:szCs w:val="28"/>
          <w:lang w:val="ru-RU"/>
        </w:rPr>
        <w:t>бенчмарка</w:t>
      </w:r>
      <w:proofErr w:type="spellEnd"/>
      <w:r>
        <w:rPr>
          <w:rFonts w:ascii="Times New Roman" w:hAnsi="Times New Roman" w:cs="Times New Roman"/>
          <w:sz w:val="28"/>
          <w:szCs w:val="28"/>
          <w:lang w:val="ru-RU"/>
        </w:rPr>
        <w:t xml:space="preserve"> (5)</w:t>
      </w:r>
      <w:r w:rsidR="00631EF4" w:rsidRPr="00631EF4">
        <w:rPr>
          <w:rFonts w:ascii="Times New Roman" w:hAnsi="Times New Roman" w:cs="Times New Roman"/>
          <w:sz w:val="28"/>
          <w:szCs w:val="28"/>
          <w:lang w:val="ru-RU"/>
        </w:rPr>
        <w:t>:</w:t>
      </w:r>
    </w:p>
    <w:p w:rsidR="00631EF4" w:rsidRPr="004605F7" w:rsidRDefault="004605F7"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ru-RU"/>
              </w:rPr>
              <m:t xml:space="preserve"> </m:t>
            </m:r>
            <m:r>
              <w:rPr>
                <w:rFonts w:ascii="Cambria Math" w:hAnsi="Cambria Math" w:cs="Times New Roman"/>
                <w:sz w:val="28"/>
                <w:szCs w:val="28"/>
                <w:lang w:val="en-US"/>
              </w:rPr>
              <m:t>β</m:t>
            </m:r>
          </m:e>
          <m:sub>
            <m:r>
              <w:rPr>
                <w:rFonts w:ascii="Cambria Math" w:hAnsi="Cambria Math" w:cs="Times New Roman"/>
                <w:sz w:val="28"/>
                <w:szCs w:val="28"/>
                <w:lang w:val="en-US"/>
              </w:rPr>
              <m:t>p</m:t>
            </m:r>
          </m:sub>
        </m:sSub>
        <m:r>
          <w:rPr>
            <w:rFonts w:ascii="Cambria Math" w:hAnsi="Cambria Math" w:cs="Times New Roman"/>
            <w:sz w:val="28"/>
            <w:szCs w:val="28"/>
            <w:lang w:val="ru-RU"/>
          </w:rPr>
          <m:t xml:space="preserve">= </m:t>
        </m:r>
        <m:r>
          <w:rPr>
            <w:rFonts w:ascii="Cambria Math" w:hAnsi="Cambria Math" w:cs="Times New Roman"/>
            <w:sz w:val="28"/>
            <w:szCs w:val="28"/>
            <w:lang w:val="en-US"/>
          </w:rPr>
          <m:t>frac</m:t>
        </m:r>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Cov</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p</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m</m:t>
                    </m:r>
                  </m:sub>
                </m:sSub>
              </m:e>
            </m:d>
          </m:e>
        </m:d>
        <m:d>
          <m:dPr>
            <m:begChr m:val="{"/>
            <m:endChr m:val="}"/>
            <m:ctrlPr>
              <w:rPr>
                <w:rFonts w:ascii="Cambria Math" w:hAnsi="Cambria Math" w:cs="Times New Roman"/>
                <w:i/>
                <w:sz w:val="28"/>
                <w:szCs w:val="28"/>
                <w:lang w:val="en-US"/>
              </w:rPr>
            </m:ctrlPr>
          </m:dPr>
          <m:e>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σ</m:t>
                </m:r>
              </m:e>
              <m:sub>
                <m:r>
                  <w:rPr>
                    <w:rFonts w:ascii="Cambria Math" w:hAnsi="Cambria Math" w:cs="Times New Roman"/>
                    <w:sz w:val="28"/>
                    <w:szCs w:val="28"/>
                    <w:lang w:val="en-US"/>
                  </w:rPr>
                  <m:t>m</m:t>
                </m:r>
              </m:sub>
              <m:sup>
                <m:r>
                  <w:rPr>
                    <w:rFonts w:ascii="Cambria Math" w:hAnsi="Cambria Math" w:cs="Times New Roman"/>
                    <w:sz w:val="28"/>
                    <w:szCs w:val="28"/>
                    <w:lang w:val="ru-RU"/>
                  </w:rPr>
                  <m:t>2</m:t>
                </m:r>
              </m:sup>
            </m:sSubSup>
          </m:e>
        </m:d>
      </m:oMath>
      <w:r>
        <w:rPr>
          <w:rFonts w:ascii="Times New Roman" w:hAnsi="Times New Roman" w:cs="Times New Roman"/>
          <w:sz w:val="28"/>
          <w:szCs w:val="28"/>
          <w:lang w:val="ru-RU"/>
        </w:rPr>
        <w:t>,                                            (5)</w:t>
      </w:r>
    </w:p>
    <w:p w:rsidR="004605F7"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где </w:t>
      </w:r>
      <m:oMath>
        <m:r>
          <w:rPr>
            <w:rFonts w:ascii="Cambria Math" w:hAnsi="Cambria Math" w:cs="Times New Roman"/>
            <w:sz w:val="28"/>
            <w:szCs w:val="28"/>
            <w:lang w:val="ru-RU"/>
          </w:rPr>
          <m:t>Cov</m:t>
        </m:r>
        <m:d>
          <m:dPr>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p</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m</m:t>
                </m:r>
              </m:sub>
            </m:sSub>
          </m:e>
        </m:d>
      </m:oMath>
      <w:r w:rsidRPr="00631EF4">
        <w:rPr>
          <w:rFonts w:ascii="Times New Roman" w:hAnsi="Times New Roman" w:cs="Times New Roman"/>
          <w:sz w:val="28"/>
          <w:szCs w:val="28"/>
          <w:lang w:val="ru-RU"/>
        </w:rPr>
        <w:t xml:space="preserve"> — ковариация доходностей портфеля и рынка;</w:t>
      </w:r>
    </w:p>
    <w:p w:rsidR="004605F7" w:rsidRDefault="00631EF4" w:rsidP="00631EF4">
      <w:pPr>
        <w:spacing w:line="360" w:lineRule="auto"/>
        <w:ind w:firstLine="709"/>
        <w:jc w:val="both"/>
        <w:rPr>
          <w:rFonts w:ascii="Times New Roman" w:hAnsi="Times New Roman" w:cs="Times New Roman"/>
          <w:sz w:val="28"/>
          <w:szCs w:val="28"/>
          <w:lang w:val="ru-RU"/>
        </w:rPr>
      </w:pPr>
      <m:oMath>
        <m:r>
          <w:rPr>
            <w:rFonts w:ascii="Cambria Math" w:hAnsi="Cambria Math" w:cs="Times New Roman"/>
            <w:sz w:val="28"/>
            <w:szCs w:val="28"/>
            <w:lang w:val="ru-RU"/>
          </w:rPr>
          <m:t>sigm</m:t>
        </m:r>
        <m:sSubSup>
          <m:sSubSupPr>
            <m:ctrlPr>
              <w:rPr>
                <w:rFonts w:ascii="Cambria Math" w:hAnsi="Cambria Math" w:cs="Times New Roman"/>
                <w:i/>
                <w:sz w:val="28"/>
                <w:szCs w:val="28"/>
                <w:lang w:val="ru-RU"/>
              </w:rPr>
            </m:ctrlPr>
          </m:sSubSupPr>
          <m:e>
            <m:r>
              <w:rPr>
                <w:rFonts w:ascii="Cambria Math" w:hAnsi="Cambria Math" w:cs="Times New Roman"/>
                <w:sz w:val="28"/>
                <w:szCs w:val="28"/>
                <w:lang w:val="ru-RU"/>
              </w:rPr>
              <m:t>a</m:t>
            </m:r>
          </m:e>
          <m:sub>
            <m:r>
              <w:rPr>
                <w:rFonts w:ascii="Cambria Math" w:hAnsi="Cambria Math" w:cs="Times New Roman"/>
                <w:sz w:val="28"/>
                <w:szCs w:val="28"/>
                <w:lang w:val="ru-RU"/>
              </w:rPr>
              <m:t>m</m:t>
            </m:r>
          </m:sub>
          <m:sup>
            <m:r>
              <w:rPr>
                <w:rFonts w:ascii="Cambria Math" w:hAnsi="Cambria Math" w:cs="Times New Roman"/>
                <w:sz w:val="28"/>
                <w:szCs w:val="28"/>
                <w:lang w:val="ru-RU"/>
              </w:rPr>
              <m:t>2</m:t>
            </m:r>
          </m:sup>
        </m:sSubSup>
      </m:oMath>
      <w:r w:rsidRPr="00631EF4">
        <w:rPr>
          <w:rFonts w:ascii="Times New Roman" w:hAnsi="Times New Roman" w:cs="Times New Roman"/>
          <w:sz w:val="28"/>
          <w:szCs w:val="28"/>
          <w:lang w:val="ru-RU"/>
        </w:rPr>
        <w:t xml:space="preserve"> — дисперсия доходности рынка. </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Значения </w:t>
      </w:r>
      <m:oMath>
        <m:r>
          <w:rPr>
            <w:rFonts w:ascii="Cambria Math" w:hAnsi="Cambria Math" w:cs="Times New Roman"/>
            <w:sz w:val="28"/>
            <w:szCs w:val="28"/>
            <w:lang w:val="ru-RU"/>
          </w:rPr>
          <m:t xml:space="preserve">beta &gt; 1 </m:t>
        </m:r>
      </m:oMath>
      <w:r w:rsidRPr="00631EF4">
        <w:rPr>
          <w:rFonts w:ascii="Times New Roman" w:hAnsi="Times New Roman" w:cs="Times New Roman"/>
          <w:sz w:val="28"/>
          <w:szCs w:val="28"/>
          <w:lang w:val="ru-RU"/>
        </w:rPr>
        <w:t>традиционно связывают с более высокой волатильностью портфеля относительно рынка, что соответствует более «агрессивному» профилю, однако в отдельных режимах рынка высокая бета может сопровождаться асимметрией потерь, что делает уместным параллельный анализ просадок.</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Для оценки устойчивости реализации стратегии нередко дополнительно используются показатели максимальной просадки (MDD), фиксирующей наиболее неблагоприятный исторический сценарий падения стоимости от локального пика к минимуму</w:t>
      </w:r>
      <w:r w:rsidR="004605F7">
        <w:rPr>
          <w:rFonts w:ascii="Times New Roman" w:hAnsi="Times New Roman" w:cs="Times New Roman"/>
          <w:sz w:val="28"/>
          <w:szCs w:val="28"/>
          <w:lang w:val="ru-RU"/>
        </w:rPr>
        <w:t xml:space="preserve"> (6)</w:t>
      </w:r>
      <w:r w:rsidRPr="00631EF4">
        <w:rPr>
          <w:rFonts w:ascii="Times New Roman" w:hAnsi="Times New Roman" w:cs="Times New Roman"/>
          <w:sz w:val="28"/>
          <w:szCs w:val="28"/>
          <w:lang w:val="ru-RU"/>
        </w:rPr>
        <w:t>:</w:t>
      </w:r>
    </w:p>
    <w:p w:rsidR="00631EF4" w:rsidRPr="00631EF4" w:rsidRDefault="004605F7"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                        </w:t>
      </w:r>
      <m:oMath>
        <m:r>
          <w:rPr>
            <w:rFonts w:ascii="Cambria Math" w:hAnsi="Cambria Math" w:cs="Times New Roman"/>
            <w:sz w:val="28"/>
            <w:szCs w:val="28"/>
            <w:lang w:val="ru-RU"/>
          </w:rPr>
          <m:t>MDD = frac</m:t>
        </m:r>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V</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peak</m:t>
                    </m:r>
                  </m:e>
                </m:d>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V</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trough</m:t>
                    </m:r>
                  </m:e>
                </m:d>
              </m:sub>
            </m:sSub>
          </m:e>
        </m:d>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V</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peak</m:t>
                    </m:r>
                  </m:e>
                </m:d>
              </m:sub>
            </m:sSub>
          </m:e>
        </m:d>
      </m:oMath>
      <w:r>
        <w:rPr>
          <w:rFonts w:ascii="Times New Roman" w:hAnsi="Times New Roman" w:cs="Times New Roman"/>
          <w:sz w:val="28"/>
          <w:szCs w:val="28"/>
          <w:lang w:val="ru-RU"/>
        </w:rPr>
        <w:t>,                    (6)</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а также ошибка слежения (</w:t>
      </w:r>
      <w:proofErr w:type="spellStart"/>
      <w:r w:rsidRPr="00631EF4">
        <w:rPr>
          <w:rFonts w:ascii="Times New Roman" w:hAnsi="Times New Roman" w:cs="Times New Roman"/>
          <w:sz w:val="28"/>
          <w:szCs w:val="28"/>
          <w:lang w:val="ru-RU"/>
        </w:rPr>
        <w:t>Tracking</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Error</w:t>
      </w:r>
      <w:proofErr w:type="spellEnd"/>
      <w:r w:rsidRPr="00631EF4">
        <w:rPr>
          <w:rFonts w:ascii="Times New Roman" w:hAnsi="Times New Roman" w:cs="Times New Roman"/>
          <w:sz w:val="28"/>
          <w:szCs w:val="28"/>
          <w:lang w:val="ru-RU"/>
        </w:rPr>
        <w:t>, TE), измеряющая степень отклонения динамики портфеля от базового индекса</w:t>
      </w:r>
      <w:r w:rsidR="004605F7">
        <w:rPr>
          <w:rFonts w:ascii="Times New Roman" w:hAnsi="Times New Roman" w:cs="Times New Roman"/>
          <w:sz w:val="28"/>
          <w:szCs w:val="28"/>
          <w:lang w:val="ru-RU"/>
        </w:rPr>
        <w:t xml:space="preserve"> (7)</w:t>
      </w:r>
      <w:r w:rsidRPr="00631EF4">
        <w:rPr>
          <w:rFonts w:ascii="Times New Roman" w:hAnsi="Times New Roman" w:cs="Times New Roman"/>
          <w:sz w:val="28"/>
          <w:szCs w:val="28"/>
          <w:lang w:val="ru-RU"/>
        </w:rPr>
        <w:t>:</w:t>
      </w:r>
    </w:p>
    <w:p w:rsidR="00631EF4" w:rsidRPr="00631EF4" w:rsidRDefault="004605F7"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r>
          <w:rPr>
            <w:rFonts w:ascii="Cambria Math" w:hAnsi="Cambria Math" w:cs="Times New Roman"/>
            <w:sz w:val="28"/>
            <w:szCs w:val="28"/>
            <w:lang w:val="ru-RU"/>
          </w:rPr>
          <m:t xml:space="preserve">TE = </m:t>
        </m:r>
        <m:rad>
          <m:radPr>
            <m:degHide m:val="1"/>
            <m:ctrlPr>
              <w:rPr>
                <w:rFonts w:ascii="Cambria Math" w:hAnsi="Cambria Math" w:cs="Times New Roman"/>
                <w:i/>
                <w:sz w:val="28"/>
                <w:szCs w:val="28"/>
                <w:lang w:val="ru-RU"/>
              </w:rPr>
            </m:ctrlPr>
          </m:radPr>
          <m:deg/>
          <m:e>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frac</m:t>
                </m:r>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m:t>
                    </m:r>
                    <m:sSup>
                      <m:sSupPr>
                        <m:ctrlPr>
                          <w:rPr>
                            <w:rFonts w:ascii="Cambria Math" w:hAnsi="Cambria Math" w:cs="Times New Roman"/>
                            <w:i/>
                            <w:sz w:val="28"/>
                            <w:szCs w:val="28"/>
                            <w:lang w:val="ru-RU"/>
                          </w:rPr>
                        </m:ctrlPr>
                      </m:sSupPr>
                      <m:e>
                        <m:d>
                          <m:dPr>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p</m:t>
                                        </m:r>
                                      </m:e>
                                      <m:sub>
                                        <m:r>
                                          <w:rPr>
                                            <w:rFonts w:ascii="Cambria Math" w:hAnsi="Cambria Math" w:cs="Times New Roman"/>
                                            <w:sz w:val="28"/>
                                            <w:szCs w:val="28"/>
                                            <w:lang w:val="ru-RU"/>
                                          </w:rPr>
                                          <m:t>i</m:t>
                                        </m:r>
                                      </m:sub>
                                    </m:sSub>
                                  </m:e>
                                </m:d>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m</m:t>
                                        </m:r>
                                      </m:e>
                                      <m:sub>
                                        <m:r>
                                          <w:rPr>
                                            <w:rFonts w:ascii="Cambria Math" w:hAnsi="Cambria Math" w:cs="Times New Roman"/>
                                            <w:sz w:val="28"/>
                                            <w:szCs w:val="28"/>
                                            <w:lang w:val="ru-RU"/>
                                          </w:rPr>
                                          <m:t>i</m:t>
                                        </m:r>
                                      </m:sub>
                                    </m:sSub>
                                  </m:e>
                                </m:d>
                              </m:sub>
                            </m:sSub>
                          </m:e>
                        </m:d>
                      </m:e>
                      <m:sup>
                        <m:r>
                          <w:rPr>
                            <w:rFonts w:ascii="Cambria Math" w:hAnsi="Cambria Math" w:cs="Times New Roman"/>
                            <w:sz w:val="28"/>
                            <w:szCs w:val="28"/>
                            <w:lang w:val="ru-RU"/>
                          </w:rPr>
                          <m:t>2</m:t>
                        </m:r>
                      </m:sup>
                    </m:sSup>
                  </m:e>
                </m:d>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n-1</m:t>
                    </m:r>
                  </m:e>
                </m:d>
              </m:e>
            </m:d>
          </m:e>
        </m:rad>
      </m:oMath>
      <w:r>
        <w:rPr>
          <w:rFonts w:ascii="Times New Roman" w:hAnsi="Times New Roman" w:cs="Times New Roman"/>
          <w:sz w:val="28"/>
          <w:szCs w:val="28"/>
          <w:lang w:val="ru-RU"/>
        </w:rPr>
        <w:t>,                  (7)</w:t>
      </w:r>
    </w:p>
    <w:p w:rsidR="00631EF4" w:rsidRPr="00677407" w:rsidRDefault="00631EF4" w:rsidP="004605F7">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Эти индикаторы позволяют дополнить оценку «среднего» риска характеристиками экстремальных движений и дисциплины следования выбранному ориентиру, что важно как для контроля качества управления, так и для интерпретации результатов в контексте заявленной инвестиционной политики</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[24, с. 230]</w:t>
      </w:r>
      <w:r w:rsidRPr="00631EF4">
        <w:rPr>
          <w:rFonts w:ascii="Times New Roman" w:hAnsi="Times New Roman" w:cs="Times New Roman"/>
          <w:sz w:val="28"/>
          <w:szCs w:val="28"/>
          <w:lang w:val="ru-RU"/>
        </w:rPr>
        <w:t>.</w:t>
      </w:r>
    </w:p>
    <w:p w:rsidR="004605F7" w:rsidRPr="00677407"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Вывод по первой главе: Завершая теоретическое рассмотрение, представляется обоснованным подчеркнуть, что традиционный подход к оценке и управлению паевыми инвестиционными фондами не во всех случаях обеспечивает комплексное описание качества портфеля. </w:t>
      </w:r>
    </w:p>
    <w:p w:rsidR="004605F7" w:rsidRPr="00677407"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Преимущественная ориентация на ретроспективные портфельные метрики способна приводить к недоучету фундаментальных драйверов стоимости бизнеса и внутренних рисков эмитентов, которые не сводятся к историческим колебаниям котировок и могут проявляться с временным лагом. </w:t>
      </w:r>
    </w:p>
    <w:p w:rsidR="004605F7" w:rsidRPr="00677407"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Более аргументированная оценка качества инвестиционного портфеля предполагает совместное применение инструментов портфельной теории и фундаментального финансового анализа объектов инвестирования. Использование коэффициентного анализа, диагностики кредитных рисков и расчета портфельных индикаторов позволяет уточнить представление об инвестиционной привлекательности базовых активов и связать рыночные показатели с финансово-экономическим содержанием деятельности эмитентов</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[20, с. 135]</w:t>
      </w:r>
      <w:r w:rsidRPr="00631EF4">
        <w:rPr>
          <w:rFonts w:ascii="Times New Roman" w:hAnsi="Times New Roman" w:cs="Times New Roman"/>
          <w:sz w:val="28"/>
          <w:szCs w:val="28"/>
          <w:lang w:val="ru-RU"/>
        </w:rPr>
        <w:t xml:space="preserve">. </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lastRenderedPageBreak/>
        <w:t>Именно интегрированный методологический подход далее целесообразно использовать в аналитической части дипломной работы при оценке и разработке направлений повышения качества инвестиционного портфеля ОПИФ РФИ «ВИМ-Металлургия».</w:t>
      </w:r>
    </w:p>
    <w:p w:rsidR="00631EF4" w:rsidRPr="00631EF4" w:rsidRDefault="00631EF4" w:rsidP="00631EF4">
      <w:pPr>
        <w:rPr>
          <w:rFonts w:ascii="Times New Roman" w:hAnsi="Times New Roman" w:cs="Times New Roman"/>
          <w:sz w:val="28"/>
          <w:szCs w:val="28"/>
          <w:lang w:val="ru-RU"/>
        </w:rPr>
      </w:pPr>
    </w:p>
    <w:p w:rsidR="00631EF4" w:rsidRPr="00631EF4" w:rsidRDefault="00631EF4" w:rsidP="00631EF4">
      <w:pPr>
        <w:rPr>
          <w:rFonts w:ascii="Times New Roman" w:hAnsi="Times New Roman" w:cs="Times New Roman"/>
          <w:sz w:val="28"/>
          <w:szCs w:val="28"/>
          <w:lang w:val="ru-RU"/>
        </w:rPr>
      </w:pPr>
    </w:p>
    <w:p w:rsidR="005F2182" w:rsidRPr="005F2182" w:rsidRDefault="00793D47" w:rsidP="005F2182">
      <w:pPr>
        <w:rPr>
          <w:rFonts w:ascii="Times New Roman" w:hAnsi="Times New Roman"/>
          <w:b/>
          <w:i/>
          <w:sz w:val="28"/>
          <w:szCs w:val="32"/>
          <w:lang w:val="ru-RU"/>
        </w:rPr>
      </w:pPr>
      <w:r>
        <w:rPr>
          <w:lang w:val="ru-RU"/>
        </w:rPr>
        <w:br w:type="page"/>
      </w:r>
    </w:p>
    <w:p w:rsidR="005F2182" w:rsidRPr="005F2182" w:rsidRDefault="005F2182" w:rsidP="004605F7">
      <w:pPr>
        <w:pStyle w:val="1"/>
        <w:spacing w:before="0" w:after="0" w:line="360" w:lineRule="auto"/>
        <w:rPr>
          <w:lang w:val="ru-RU"/>
        </w:rPr>
      </w:pPr>
      <w:bookmarkStart w:id="6" w:name="_Toc230233415"/>
      <w:r w:rsidRPr="005F2182">
        <w:rPr>
          <w:lang w:val="ru-RU"/>
        </w:rPr>
        <w:lastRenderedPageBreak/>
        <w:t xml:space="preserve">Глава 2. </w:t>
      </w:r>
      <w:r w:rsidR="00A30C68">
        <w:rPr>
          <w:lang w:val="ru-RU"/>
        </w:rPr>
        <w:t>А</w:t>
      </w:r>
      <w:r w:rsidRPr="005F2182">
        <w:rPr>
          <w:lang w:val="ru-RU"/>
        </w:rPr>
        <w:t>нализ качества инвестиционного портфеля ОПИФ РФИ «ВИМ-Металлургия»</w:t>
      </w:r>
      <w:bookmarkEnd w:id="6"/>
    </w:p>
    <w:p w:rsidR="005F2182" w:rsidRDefault="005F2182" w:rsidP="004605F7">
      <w:pPr>
        <w:pStyle w:val="2"/>
        <w:spacing w:before="0" w:after="0" w:line="360" w:lineRule="auto"/>
        <w:ind w:firstLine="709"/>
        <w:rPr>
          <w:lang w:val="ru-RU"/>
        </w:rPr>
      </w:pPr>
      <w:bookmarkStart w:id="7" w:name="_Toc230233416"/>
      <w:r w:rsidRPr="005F2182">
        <w:rPr>
          <w:lang w:val="ru-RU"/>
        </w:rPr>
        <w:t>2.1. Финансово-экономическая характеристика ОПИФ РФИ «ВИМ-Металлургия»</w:t>
      </w:r>
      <w:bookmarkEnd w:id="7"/>
    </w:p>
    <w:p w:rsidR="005F2182" w:rsidRPr="005F2182" w:rsidRDefault="005F2182" w:rsidP="004605F7">
      <w:pPr>
        <w:spacing w:line="360" w:lineRule="auto"/>
        <w:ind w:firstLine="709"/>
        <w:jc w:val="both"/>
        <w:rPr>
          <w:lang w:val="ru-RU"/>
        </w:rPr>
      </w:pPr>
    </w:p>
    <w:p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Открытый паевой инвестиционный фонд рыночных финансовых инструментов (ОПИФ РФИ) «ВИМ-Металлургия» может быть охарактеризован как отраслевой механизм коллективного инвестирования, функционирующий под управлением управляющей компании АО «ВИМ Инвестиции» и ориентированный на формирование экспозиции к российскому металлургическому и горнодобывающему сегментам</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[4; 50]</w:t>
      </w:r>
      <w:r w:rsidRPr="00EC4086">
        <w:rPr>
          <w:rFonts w:ascii="Times New Roman" w:hAnsi="Times New Roman" w:cs="Times New Roman"/>
          <w:sz w:val="28"/>
          <w:szCs w:val="28"/>
          <w:lang w:val="ru-RU"/>
        </w:rPr>
        <w:t xml:space="preserve">. В соответствии с инвестиционной декларацией, заявленная базовая стратегия предполагает размещение привлеченных средств преимущественно в долевые инструменты, прежде всего в акции крупных российских эмитентов, относимых к металлургии и добыче сырья. </w:t>
      </w:r>
    </w:p>
    <w:p w:rsidR="005F2182" w:rsidRPr="00677407"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Тем самым фонд фактически воспроизводит логики отраслевого портфеля: ожидаемый результат связывается с длительным горизонтом удержания активов и с предпосылкой, что фундаментальные параметры компаний базовых сырьевых отраслей способны обеспечивать рост курсовой стоимости</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[33, с. 11]</w:t>
      </w:r>
      <w:r w:rsidRPr="00EC4086">
        <w:rPr>
          <w:rFonts w:ascii="Times New Roman" w:hAnsi="Times New Roman" w:cs="Times New Roman"/>
          <w:sz w:val="28"/>
          <w:szCs w:val="28"/>
          <w:lang w:val="ru-RU"/>
        </w:rPr>
        <w:t xml:space="preserve">. Дополнительный источник накопления капитала формируется через дивидендные выплаты, однако их вклад носит условный характер и зависит от корпоративной политики эмитентов, инвестиционных программ и ограничений, диктуемых рыночной конъюнктурой. В прикладном смысле целевой ориентир управления следует понимать как попытку капитализации циклических преимуществ сырьевого сектора, одновременно принимая во внимание, что отрасль исторически характеризуется повышенной чувствительностью к внешним шокам, включая колебания мировых цен на </w:t>
      </w:r>
      <w:r w:rsidRPr="00EC4086">
        <w:rPr>
          <w:rFonts w:ascii="Times New Roman" w:hAnsi="Times New Roman" w:cs="Times New Roman"/>
          <w:sz w:val="28"/>
          <w:szCs w:val="28"/>
          <w:lang w:val="ru-RU"/>
        </w:rPr>
        <w:lastRenderedPageBreak/>
        <w:t>металлы, изменения курса национальной валюты и ограничения на внешнюю торговлю</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[9, с. 210]</w:t>
      </w:r>
      <w:r w:rsidRPr="00EC4086">
        <w:rPr>
          <w:rFonts w:ascii="Times New Roman" w:hAnsi="Times New Roman" w:cs="Times New Roman"/>
          <w:sz w:val="28"/>
          <w:szCs w:val="28"/>
          <w:lang w:val="ru-RU"/>
        </w:rPr>
        <w:t>.</w:t>
      </w:r>
    </w:p>
    <w:p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Ключевым агрегированным показателем, используемым для оценки масштаба операций фонда и качества управления, выступает динамика стоимости чистых активов (СЧА), поскольку она интегрирует как изменение рыночной стоимости портфеля, так и поведение пайщиков</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[7, с. 115]</w:t>
      </w:r>
      <w:r w:rsidRPr="00EC4086">
        <w:rPr>
          <w:rFonts w:ascii="Times New Roman" w:hAnsi="Times New Roman" w:cs="Times New Roman"/>
          <w:sz w:val="28"/>
          <w:szCs w:val="28"/>
          <w:lang w:val="ru-RU"/>
        </w:rPr>
        <w:t>. Изменение СЧА ОПИФ РФИ «ВИМ-Металлургия» в наблюдаемых периодах целесообразно объяснять действием двух базовых компонент: во-первых, переоценкой стоимости ценных бумаг вследствие движения котировок (то есть рыночным фактором), во-вторых, результатом операций по выдаче и погашению инвестиционных паев, отражающим чистый приток либо отток средств инвесторов</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[15, с. 300]</w:t>
      </w:r>
      <w:r w:rsidRPr="00EC4086">
        <w:rPr>
          <w:rFonts w:ascii="Times New Roman" w:hAnsi="Times New Roman" w:cs="Times New Roman"/>
          <w:sz w:val="28"/>
          <w:szCs w:val="28"/>
          <w:lang w:val="ru-RU"/>
        </w:rPr>
        <w:t xml:space="preserve">. </w:t>
      </w:r>
    </w:p>
    <w:p w:rsidR="005F2182" w:rsidRPr="00EC4086" w:rsidRDefault="005F2182" w:rsidP="00710322">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В фазах благоприятной макроэкономической конъюнктуры и на фоне роста цен на сырьевые товары (включая железную руду, цветные и драгоценные металлы) возможно увеличение СЧА, обусловленное одновременно положительной переоценкой акций и расширением базы пайщиков. Однако в периоды нестабильности, усложнения логистических маршрутов и переоценки корпоративных приоритетов, когда компании могут временно сокращать дивидендные выплаты для поддержания ликвидности, СЧА фонда закономерно становится более волатильной. Отдельного внимания заслуживает и поведенческий аспект: при ухудшении рыночной динамики часть пайщиков может фиксировать убытки через погашение паев, тем самым усиливая эффект оттока капитала и снижая операционную гибкость фонда в краткосрочной перспективе. Следовательно, СЧА в данном случае представляет собой не просто бухгалтерский итог, а индикатор взаимодействия рыночного цикла и коллективных ожиданий инвесторов</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[25, с. 120]</w:t>
      </w:r>
      <w:r w:rsidRPr="00EC4086">
        <w:rPr>
          <w:rFonts w:ascii="Times New Roman" w:hAnsi="Times New Roman" w:cs="Times New Roman"/>
          <w:sz w:val="28"/>
          <w:szCs w:val="28"/>
          <w:lang w:val="ru-RU"/>
        </w:rPr>
        <w:t>.</w:t>
      </w:r>
    </w:p>
    <w:p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lastRenderedPageBreak/>
        <w:t>Анализ доходности ОПИФ РФИ «ВИМ-Металлургия» указывает на высокую сопряженность результатов фонда с динамикой его бенчмарка — Индекса металлургии и добычи Московской биржи (MOEXMM), что является логичным следствием отраслевой специализации и высокой доли профильных акций в портфеле. На коротких горизонтах доходность, как правило, характеризуется значительной изменчивостью, отражающей общую волатильность фондового рынка и специфические отраслевые риски: цикличность спроса на металлы, чувствительность к внешнеторговым ограничениям, а также к изменениям процентных ставок и ожиданий по инвестиционным программам компаний</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[24, с. 230]</w:t>
      </w:r>
      <w:r w:rsidRPr="00EC4086">
        <w:rPr>
          <w:rFonts w:ascii="Times New Roman" w:hAnsi="Times New Roman" w:cs="Times New Roman"/>
          <w:sz w:val="28"/>
          <w:szCs w:val="28"/>
          <w:lang w:val="ru-RU"/>
        </w:rPr>
        <w:t>. На более продолжительных интервалах (примерно от одного года до трех лет) результаты фонда в существенной степени определяются фундаментальной устойчивостью эмитентов, их маржинальностью, долговой нагрузкой, доступом к рынкам сбыта и способностью поддерживать инвестиционный и дивидендный циклы</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[13, с. 132]</w:t>
      </w:r>
      <w:r w:rsidRPr="00EC4086">
        <w:rPr>
          <w:rFonts w:ascii="Times New Roman" w:hAnsi="Times New Roman" w:cs="Times New Roman"/>
          <w:sz w:val="28"/>
          <w:szCs w:val="28"/>
          <w:lang w:val="ru-RU"/>
        </w:rPr>
        <w:t xml:space="preserve">. </w:t>
      </w:r>
    </w:p>
    <w:p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Ретроспективные оценки по металлургическому сектору в ряде периодов действительно демонстрировали двузначные значения средней годовой эффективной доходности для отдельных крупных компаний, при этом устойчивость таких оценок зависит от выбранного временного окна и фаз товарного цикла. В этой связи задача управляющей компании по «обыгрыванию» бенчмарка может быть интерпретирована как результат совокупности решений по ребалансировке, выбору относительных весов между сегментами черной и цветной металлургии, а также по управлению ликвидностью; при этом практическая реализуемость устойчивого превышения индекса осложняется высокой концентрацией отраслевых рисков и ограниченным числом сопоставимых ликвидных инструментов на локальном рынке.</w:t>
      </w:r>
    </w:p>
    <w:p w:rsidR="005F2182" w:rsidRPr="00EC4086" w:rsidRDefault="005F2182" w:rsidP="004605F7">
      <w:pPr>
        <w:spacing w:line="360" w:lineRule="auto"/>
        <w:ind w:firstLine="709"/>
        <w:jc w:val="both"/>
        <w:rPr>
          <w:rFonts w:ascii="Times New Roman" w:hAnsi="Times New Roman" w:cs="Times New Roman"/>
          <w:sz w:val="28"/>
          <w:szCs w:val="28"/>
          <w:lang w:val="ru-RU"/>
        </w:rPr>
      </w:pPr>
    </w:p>
    <w:p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Отраслевая композиция активов ОПИФ РФИ «ВИМ-Металлургия» описывается как высококонцентрированная, что подтверждается доминированием категории «Сырье и материалы», на которую приходится более 93% портфеля. Внутри данного сегмента представлены акции ведущих эмитентов, значимых как для экспортной выручки, так и для внутреннего рынка, включая ПАО «ГМК «Норильский никель», ПАО «Северсталь», ПАО «НЛМК», ПАО «ММК», МКПАО «ЭН+ ГРУП», ПАО «Корпорация ВСМПО-АВИСМА» и другие компании сопоставимого профиля. Такая структура фактически означает, что фонд воспроизводит риск-профиль сырьевого кластера: его результаты тесно связаны с динамикой сырьевых котировок, производственными ограничениями, регуляторной средой и внешними рынками. Остальная часть СЧА, как правило, размещается в высоколиквидных консервативных инструментах, включая денежные средства на счетах, что объясняется необходимостью поддерживать операционную ликвидность для своевременного погашения паев, финансирования обязательных расходов и снижения транзакционных издержек в ситуациях, когда требуется перераспределение активов. Одновременно доля таких средств, хотя и повышает управляемость фонда, в периоды роста рынка может выступать фактором, ограничивающим участие в восходящем движении, поскольку формирует «кэш-драг» относительно полностью инвестированного портфеля</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[7, с. 112]</w:t>
      </w:r>
      <w:r w:rsidRPr="00EC4086">
        <w:rPr>
          <w:rFonts w:ascii="Times New Roman" w:hAnsi="Times New Roman" w:cs="Times New Roman"/>
          <w:sz w:val="28"/>
          <w:szCs w:val="28"/>
          <w:lang w:val="ru-RU"/>
        </w:rPr>
        <w:t>.</w:t>
      </w:r>
    </w:p>
    <w:p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Резюмируя параметры структуры и инвестиционной направленности, уместно заключить, что ОПИФ РФИ «ВИМ-Металлургия» соответствует модели узкоспециализированного, слабо диверсифицированного отраслевого фонда. Концентрация подавляющей части активов в секторе сырья означает, что портфель в меньшей степени пользуется защитными эффектами </w:t>
      </w:r>
      <w:r w:rsidRPr="00EC4086">
        <w:rPr>
          <w:rFonts w:ascii="Times New Roman" w:hAnsi="Times New Roman" w:cs="Times New Roman"/>
          <w:sz w:val="28"/>
          <w:szCs w:val="28"/>
          <w:lang w:val="ru-RU"/>
        </w:rPr>
        <w:lastRenderedPageBreak/>
        <w:t>межотраслевой диверсификации и, следовательно, в большей мере подвержен систематическим отраслевым рискам</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[29, с. 14]</w:t>
      </w:r>
      <w:r w:rsidRPr="00EC4086">
        <w:rPr>
          <w:rFonts w:ascii="Times New Roman" w:hAnsi="Times New Roman" w:cs="Times New Roman"/>
          <w:sz w:val="28"/>
          <w:szCs w:val="28"/>
          <w:lang w:val="ru-RU"/>
        </w:rPr>
        <w:t xml:space="preserve">. </w:t>
      </w:r>
    </w:p>
    <w:p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Практическое следствие состоит в повышенной чувствительности к макроэкономическим шокам, изменениям условий внешней торговли, колебаниям товарных рынков и корпоративным событиям крупнейших эмитентов, включая пересмотр дивидендной политики и инвестиционных планов. Иначе говоря, устойчивость результатов фонда во многом зависит от способности отдельных ключевых компаний сохранять финансовую устойчивость, а также от того, насколько благоприятной будет внешняя среда для сырьевых производств в рассматриваемом горизонте.</w:t>
      </w:r>
    </w:p>
    <w:p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Инвестиционная привлекательность и итоговое качество паевого инвестиционного фонда для конечного инвестора целесообразно рассматривать не только через призму валовой доходности базовых активов, но и с учетом совокупного бремени инфраструктурных издержек, которые систематически снижают чистый финансовый результат</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[11, с. 42]</w:t>
      </w:r>
      <w:r w:rsidRPr="00EC4086">
        <w:rPr>
          <w:rFonts w:ascii="Times New Roman" w:hAnsi="Times New Roman" w:cs="Times New Roman"/>
          <w:sz w:val="28"/>
          <w:szCs w:val="28"/>
          <w:lang w:val="ru-RU"/>
        </w:rPr>
        <w:t xml:space="preserve">. </w:t>
      </w:r>
    </w:p>
    <w:p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В современной практике для агрегированной оценки подобных расходов используется совокупный коэффициент затрат (</w:t>
      </w:r>
      <w:proofErr w:type="spellStart"/>
      <w:r w:rsidRPr="00EC4086">
        <w:rPr>
          <w:rFonts w:ascii="Times New Roman" w:hAnsi="Times New Roman" w:cs="Times New Roman"/>
          <w:sz w:val="28"/>
          <w:szCs w:val="28"/>
          <w:lang w:val="ru-RU"/>
        </w:rPr>
        <w:t>Total</w:t>
      </w:r>
      <w:proofErr w:type="spellEnd"/>
      <w:r w:rsidRPr="00EC4086">
        <w:rPr>
          <w:rFonts w:ascii="Times New Roman" w:hAnsi="Times New Roman" w:cs="Times New Roman"/>
          <w:sz w:val="28"/>
          <w:szCs w:val="28"/>
          <w:lang w:val="ru-RU"/>
        </w:rPr>
        <w:t xml:space="preserve"> </w:t>
      </w:r>
      <w:proofErr w:type="spellStart"/>
      <w:r w:rsidRPr="00EC4086">
        <w:rPr>
          <w:rFonts w:ascii="Times New Roman" w:hAnsi="Times New Roman" w:cs="Times New Roman"/>
          <w:sz w:val="28"/>
          <w:szCs w:val="28"/>
          <w:lang w:val="ru-RU"/>
        </w:rPr>
        <w:t>Expense</w:t>
      </w:r>
      <w:proofErr w:type="spellEnd"/>
      <w:r w:rsidRPr="00EC4086">
        <w:rPr>
          <w:rFonts w:ascii="Times New Roman" w:hAnsi="Times New Roman" w:cs="Times New Roman"/>
          <w:sz w:val="28"/>
          <w:szCs w:val="28"/>
          <w:lang w:val="ru-RU"/>
        </w:rPr>
        <w:t xml:space="preserve"> </w:t>
      </w:r>
      <w:proofErr w:type="spellStart"/>
      <w:r w:rsidRPr="00EC4086">
        <w:rPr>
          <w:rFonts w:ascii="Times New Roman" w:hAnsi="Times New Roman" w:cs="Times New Roman"/>
          <w:sz w:val="28"/>
          <w:szCs w:val="28"/>
          <w:lang w:val="ru-RU"/>
        </w:rPr>
        <w:t>Ratio</w:t>
      </w:r>
      <w:proofErr w:type="spellEnd"/>
      <w:r w:rsidRPr="00EC4086">
        <w:rPr>
          <w:rFonts w:ascii="Times New Roman" w:hAnsi="Times New Roman" w:cs="Times New Roman"/>
          <w:sz w:val="28"/>
          <w:szCs w:val="28"/>
          <w:lang w:val="ru-RU"/>
        </w:rPr>
        <w:t xml:space="preserve">, TER), который для ПИФов представляет собой комбинацию регулярных обязательных удержаний. </w:t>
      </w:r>
    </w:p>
    <w:p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В состав TER, как правило, входят: вознаграждение управляющей компании за доверительное управление и поддержание структуры портфеля; плата за услуги специализированного депозитария, осуществляющего учет и контроль сделок на предмет соответствия инвестиционной декларации; расходы, связанные с ведением реестра владельцев паев; услуги независимого аудитора; а также транзакционные и биржевые сборы, возникающие при совершении операций с инструментами. </w:t>
      </w:r>
    </w:p>
    <w:p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lastRenderedPageBreak/>
        <w:t>В методологическом плане TER удобен тем, что переводит разнородные статьи расходов в сопоставимый показатель, позволяющий обсуждать эффективность фонда на базе единой метрики, хотя при сравнительном анализе важно учитывать специфику стратегии и частоту операций.</w:t>
      </w:r>
    </w:p>
    <w:p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Экономически значимая особенность механизма TER состоит в том, что данные расходы, как правило, удерживаются из СЧА на регулярной основе (в том числе ежедневно), что делает их влияние на результат непрерывным и слабо зависящим от рыночной фазы. Принципиально существенным является то, что соответствующее изъятие носит условно «безусловный» характер: оно происходит независимо от того, находится ли портфель в фазе роста либо переживает период снижения стоимости (</w:t>
      </w:r>
      <w:proofErr w:type="spellStart"/>
      <w:r w:rsidRPr="00EC4086">
        <w:rPr>
          <w:rFonts w:ascii="Times New Roman" w:hAnsi="Times New Roman" w:cs="Times New Roman"/>
          <w:sz w:val="28"/>
          <w:szCs w:val="28"/>
          <w:lang w:val="ru-RU"/>
        </w:rPr>
        <w:t>drawdown</w:t>
      </w:r>
      <w:proofErr w:type="spellEnd"/>
      <w:r w:rsidRPr="00EC4086">
        <w:rPr>
          <w:rFonts w:ascii="Times New Roman" w:hAnsi="Times New Roman" w:cs="Times New Roman"/>
          <w:sz w:val="28"/>
          <w:szCs w:val="28"/>
          <w:lang w:val="ru-RU"/>
        </w:rPr>
        <w:t>). В прикладном аспекте это означает, что в периоды отрицательной рыночной доходности комиссионное давление усиливает просадку, тогда как в периоды роста снижает темп накопления капитала относительно гипотетического портфеля без издержек. При этом эффект не ограничивается однократным уменьшением: регулярные удержания меняют базу, на которую в дальнейшем начисляется доходность, что особенно заметно на длительных горизонтах</w:t>
      </w:r>
      <w:r w:rsidR="00710322">
        <w:rPr>
          <w:rFonts w:ascii="Times New Roman" w:hAnsi="Times New Roman" w:cs="Times New Roman"/>
          <w:sz w:val="28"/>
          <w:szCs w:val="28"/>
          <w:lang w:val="ru-RU"/>
        </w:rPr>
        <w:t xml:space="preserve"> [24, с. 412</w:t>
      </w:r>
      <w:r w:rsidR="00710322" w:rsidRPr="00710322">
        <w:rPr>
          <w:rFonts w:ascii="Times New Roman" w:hAnsi="Times New Roman" w:cs="Times New Roman"/>
          <w:sz w:val="28"/>
          <w:szCs w:val="28"/>
          <w:lang w:val="ru-RU"/>
        </w:rPr>
        <w:t>]</w:t>
      </w:r>
      <w:r w:rsidRPr="00EC4086">
        <w:rPr>
          <w:rFonts w:ascii="Times New Roman" w:hAnsi="Times New Roman" w:cs="Times New Roman"/>
          <w:sz w:val="28"/>
          <w:szCs w:val="28"/>
          <w:lang w:val="ru-RU"/>
        </w:rPr>
        <w:t>.</w:t>
      </w:r>
    </w:p>
    <w:p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Помимо внутренних операционных расходов, инвестор сталкивается с прямыми транзакционными издержками при входе и выходе, реализуемыми через механизм надбавок и скидок. Надбавка повышает расчетную стоимость пая при приобретении и тем самым означает, что часть капитала инвестора фактически перераспределяется в пользу посредников в момент открытия позиции. Скидка удерживается при погашении паев, выполняя, в том числе, функцию снижения краткосрочных спекулятивных потоков и защиты фонда от избыточной текучести капитала. Для долгосрочного инвестора такая конструкция сдвигает точку безубыточности: прежде чем инвестиция начнет </w:t>
      </w:r>
      <w:r w:rsidRPr="00EC4086">
        <w:rPr>
          <w:rFonts w:ascii="Times New Roman" w:hAnsi="Times New Roman" w:cs="Times New Roman"/>
          <w:sz w:val="28"/>
          <w:szCs w:val="28"/>
          <w:lang w:val="ru-RU"/>
        </w:rPr>
        <w:lastRenderedPageBreak/>
        <w:t>приносить чистый положительный результат, валовая доходность портфеля должна компенсировать первоначальный спред транзакционных издержек и последующее давление регулярных комиссий. С практической точки зрения это усиливает значимость горизонта инвестирования и делает сравнение альтернативных инструментов (например, индексных продуктов, прямого владения акциями или иных форм коллективного инвестирования) более содержательным при сопоставимых рисках</w:t>
      </w:r>
      <w:r w:rsidR="00710322">
        <w:rPr>
          <w:rFonts w:ascii="Times New Roman" w:hAnsi="Times New Roman" w:cs="Times New Roman"/>
          <w:sz w:val="28"/>
          <w:szCs w:val="28"/>
          <w:lang w:val="ru-RU"/>
        </w:rPr>
        <w:t xml:space="preserve"> [33, с. 12</w:t>
      </w:r>
      <w:r w:rsidR="00710322" w:rsidRPr="00710322">
        <w:rPr>
          <w:rFonts w:ascii="Times New Roman" w:hAnsi="Times New Roman" w:cs="Times New Roman"/>
          <w:sz w:val="28"/>
          <w:szCs w:val="28"/>
          <w:lang w:val="ru-RU"/>
        </w:rPr>
        <w:t>]</w:t>
      </w:r>
      <w:r w:rsidRPr="00EC4086">
        <w:rPr>
          <w:rFonts w:ascii="Times New Roman" w:hAnsi="Times New Roman" w:cs="Times New Roman"/>
          <w:sz w:val="28"/>
          <w:szCs w:val="28"/>
          <w:lang w:val="ru-RU"/>
        </w:rPr>
        <w:t>.</w:t>
      </w:r>
    </w:p>
    <w:p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Наиболее существенное математическое воздействие инфраструктурные издержки оказывают на долгосрочный результат через искажение эффекта сложного процента, поскольку изъятый капитал перестает участвовать в дальнейшем наращении стоимости. В стандартной формализации будущая стоимость инвестиции (FV) выражается зависимостью</w:t>
      </w:r>
      <w:r w:rsidR="004605F7" w:rsidRPr="004605F7">
        <w:rPr>
          <w:rFonts w:ascii="Times New Roman" w:hAnsi="Times New Roman" w:cs="Times New Roman"/>
          <w:sz w:val="28"/>
          <w:szCs w:val="28"/>
          <w:lang w:val="ru-RU"/>
        </w:rPr>
        <w:t xml:space="preserve"> (8)</w:t>
      </w:r>
      <w:r w:rsidRPr="00EC4086">
        <w:rPr>
          <w:rFonts w:ascii="Times New Roman" w:hAnsi="Times New Roman" w:cs="Times New Roman"/>
          <w:sz w:val="28"/>
          <w:szCs w:val="28"/>
          <w:lang w:val="ru-RU"/>
        </w:rPr>
        <w:t>:</w:t>
      </w:r>
    </w:p>
    <w:p w:rsidR="005F2182" w:rsidRPr="004605F7" w:rsidRDefault="004605F7" w:rsidP="005F2182">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r>
          <m:rPr>
            <m:sty m:val="p"/>
          </m:rPr>
          <w:rPr>
            <w:rFonts w:ascii="Cambria Math" w:hAnsi="Cambria Math" w:cs="Times New Roman"/>
            <w:sz w:val="28"/>
            <w:szCs w:val="28"/>
            <w:lang w:val="ru-RU"/>
          </w:rPr>
          <m:t>FV = PV ⋅</m:t>
        </m:r>
        <m:sSup>
          <m:sSupPr>
            <m:ctrlPr>
              <w:rPr>
                <w:rFonts w:ascii="Cambria Math" w:hAnsi="Cambria Math" w:cs="Times New Roman"/>
                <w:sz w:val="28"/>
                <w:szCs w:val="28"/>
                <w:lang w:val="ru-RU"/>
              </w:rPr>
            </m:ctrlPr>
          </m:sSupPr>
          <m:e>
            <m:d>
              <m:dPr>
                <m:ctrlPr>
                  <w:rPr>
                    <w:rFonts w:ascii="Cambria Math" w:hAnsi="Cambria Math" w:cs="Times New Roman"/>
                    <w:sz w:val="28"/>
                    <w:szCs w:val="28"/>
                    <w:lang w:val="ru-RU"/>
                  </w:rPr>
                </m:ctrlPr>
              </m:dPr>
              <m:e>
                <m:r>
                  <m:rPr>
                    <m:sty m:val="p"/>
                  </m:rPr>
                  <w:rPr>
                    <w:rFonts w:ascii="Cambria Math" w:hAnsi="Cambria Math" w:cs="Times New Roman"/>
                    <w:sz w:val="28"/>
                    <w:szCs w:val="28"/>
                    <w:lang w:val="ru-RU"/>
                  </w:rPr>
                  <m:t>1 + r</m:t>
                </m:r>
              </m:e>
            </m:d>
          </m:e>
          <m:sup>
            <m:r>
              <m:rPr>
                <m:sty m:val="p"/>
              </m:rPr>
              <w:rPr>
                <w:rFonts w:ascii="Cambria Math" w:hAnsi="Cambria Math" w:cs="Times New Roman"/>
                <w:sz w:val="28"/>
                <w:szCs w:val="28"/>
                <w:lang w:val="ru-RU"/>
              </w:rPr>
              <m:t>n</m:t>
            </m:r>
          </m:sup>
        </m:sSup>
      </m:oMath>
      <w:r>
        <w:rPr>
          <w:rFonts w:ascii="Times New Roman" w:hAnsi="Times New Roman" w:cs="Times New Roman"/>
          <w:sz w:val="28"/>
          <w:szCs w:val="28"/>
          <w:lang w:val="ru-RU"/>
        </w:rPr>
        <w:t>,                                            (8)</w:t>
      </w:r>
    </w:p>
    <w:p w:rsidR="005F2182" w:rsidRPr="00EC4086" w:rsidRDefault="005F2182" w:rsidP="005F2182">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где PV обозначает первоначально инвестированный капитал, r — ожидаемую валовую доходность, а n — число периодов инвестирования. Если предположить, что совокупная комиссия удерживается систематически и может быть аппроксимирована ставкой c, то выражение принимает вид</w:t>
      </w:r>
      <w:r w:rsidR="004605F7">
        <w:rPr>
          <w:rFonts w:ascii="Times New Roman" w:hAnsi="Times New Roman" w:cs="Times New Roman"/>
          <w:sz w:val="28"/>
          <w:szCs w:val="28"/>
          <w:lang w:val="ru-RU"/>
        </w:rPr>
        <w:t xml:space="preserve"> (9)</w:t>
      </w:r>
      <w:r w:rsidRPr="00EC4086">
        <w:rPr>
          <w:rFonts w:ascii="Times New Roman" w:hAnsi="Times New Roman" w:cs="Times New Roman"/>
          <w:sz w:val="28"/>
          <w:szCs w:val="28"/>
          <w:lang w:val="ru-RU"/>
        </w:rPr>
        <w:t>:</w:t>
      </w:r>
    </w:p>
    <w:p w:rsidR="005F2182" w:rsidRPr="004605F7" w:rsidRDefault="004605F7" w:rsidP="005F2182">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r>
          <m:rPr>
            <m:sty m:val="p"/>
          </m:rPr>
          <w:rPr>
            <w:rFonts w:ascii="Cambria Math" w:hAnsi="Cambria Math" w:cs="Times New Roman"/>
            <w:sz w:val="28"/>
            <w:szCs w:val="28"/>
            <w:lang w:val="en-US"/>
          </w:rPr>
          <m:t>FV</m:t>
        </m:r>
        <m:r>
          <m:rPr>
            <m:sty m:val="p"/>
          </m:rPr>
          <w:rPr>
            <w:rFonts w:ascii="Cambria Math" w:hAnsi="Cambria Math" w:cs="Times New Roman"/>
            <w:sz w:val="28"/>
            <w:szCs w:val="28"/>
            <w:lang w:val="ru-RU"/>
          </w:rPr>
          <m:t xml:space="preserve"> = </m:t>
        </m:r>
        <m:r>
          <m:rPr>
            <m:sty m:val="p"/>
          </m:rPr>
          <w:rPr>
            <w:rFonts w:ascii="Cambria Math" w:hAnsi="Cambria Math" w:cs="Times New Roman"/>
            <w:sz w:val="28"/>
            <w:szCs w:val="28"/>
            <w:lang w:val="en-US"/>
          </w:rPr>
          <m:t>PV</m:t>
        </m:r>
        <m:r>
          <m:rPr>
            <m:sty m:val="p"/>
          </m:rPr>
          <w:rPr>
            <w:rFonts w:ascii="Cambria Math" w:hAnsi="Cambria Math" w:cs="Times New Roman"/>
            <w:sz w:val="28"/>
            <w:szCs w:val="28"/>
            <w:lang w:val="ru-RU"/>
          </w:rPr>
          <m:t xml:space="preserve"> ⋅</m:t>
        </m:r>
        <m:sSup>
          <m:sSupPr>
            <m:ctrlPr>
              <w:rPr>
                <w:rFonts w:ascii="Cambria Math" w:hAnsi="Cambria Math" w:cs="Times New Roman"/>
                <w:sz w:val="28"/>
                <w:szCs w:val="28"/>
                <w:lang w:val="en-US"/>
              </w:rPr>
            </m:ctrlPr>
          </m:sSupPr>
          <m:e>
            <m:d>
              <m:dPr>
                <m:ctrlPr>
                  <w:rPr>
                    <w:rFonts w:ascii="Cambria Math" w:hAnsi="Cambria Math" w:cs="Times New Roman"/>
                    <w:sz w:val="28"/>
                    <w:szCs w:val="28"/>
                    <w:lang w:val="en-US"/>
                  </w:rPr>
                </m:ctrlPr>
              </m:dPr>
              <m:e>
                <m:r>
                  <m:rPr>
                    <m:sty m:val="p"/>
                  </m:rPr>
                  <w:rPr>
                    <w:rFonts w:ascii="Cambria Math" w:hAnsi="Cambria Math" w:cs="Times New Roman"/>
                    <w:sz w:val="28"/>
                    <w:szCs w:val="28"/>
                    <w:lang w:val="ru-RU"/>
                  </w:rPr>
                  <m:t xml:space="preserve">1 + </m:t>
                </m:r>
                <m:r>
                  <m:rPr>
                    <m:sty m:val="p"/>
                  </m:rPr>
                  <w:rPr>
                    <w:rFonts w:ascii="Cambria Math" w:hAnsi="Cambria Math" w:cs="Times New Roman"/>
                    <w:sz w:val="28"/>
                    <w:szCs w:val="28"/>
                    <w:lang w:val="en-US"/>
                  </w:rPr>
                  <m:t>r</m:t>
                </m:r>
                <m:r>
                  <m:rPr>
                    <m:sty m:val="p"/>
                  </m:rPr>
                  <w:rPr>
                    <w:rFonts w:ascii="Cambria Math" w:hAnsi="Cambria Math" w:cs="Times New Roman"/>
                    <w:sz w:val="28"/>
                    <w:szCs w:val="28"/>
                    <w:lang w:val="ru-RU"/>
                  </w:rPr>
                  <m:t xml:space="preserve"> - </m:t>
                </m:r>
                <m:r>
                  <m:rPr>
                    <m:sty m:val="p"/>
                  </m:rPr>
                  <w:rPr>
                    <w:rFonts w:ascii="Cambria Math" w:hAnsi="Cambria Math" w:cs="Times New Roman"/>
                    <w:sz w:val="28"/>
                    <w:szCs w:val="28"/>
                    <w:lang w:val="en-US"/>
                  </w:rPr>
                  <m:t>c</m:t>
                </m:r>
              </m:e>
            </m:d>
          </m:e>
          <m:sup>
            <m:r>
              <m:rPr>
                <m:sty m:val="p"/>
              </m:rPr>
              <w:rPr>
                <w:rFonts w:ascii="Cambria Math" w:hAnsi="Cambria Math" w:cs="Times New Roman"/>
                <w:sz w:val="28"/>
                <w:szCs w:val="28"/>
                <w:lang w:val="en-US"/>
              </w:rPr>
              <m:t>n</m:t>
            </m:r>
          </m:sup>
        </m:sSup>
      </m:oMath>
      <w:r>
        <w:rPr>
          <w:rFonts w:ascii="Times New Roman" w:hAnsi="Times New Roman" w:cs="Times New Roman"/>
          <w:sz w:val="28"/>
          <w:szCs w:val="28"/>
          <w:lang w:val="ru-RU"/>
        </w:rPr>
        <w:t>,                                      (9)</w:t>
      </w:r>
    </w:p>
    <w:p w:rsidR="00AC43B0"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Поскольку n выступает экспоненциальным множителем, даже умеренные по величине ежегодные удержания способны сформировать кумулятивный эффект, который по масштабу оказывается несоразмерным номинальной ставке комиссии, особенно на длинных временных интервалах. В прикладном контексте это означает, что капитал, направляемый на покрытие TER и прочих расходов, фактически исключается из процесса реинвестирования, а потому снижает потенциальную траекторию роста портфеля</w:t>
      </w:r>
      <w:r w:rsidR="00AC43B0">
        <w:rPr>
          <w:rFonts w:ascii="Times New Roman" w:hAnsi="Times New Roman" w:cs="Times New Roman"/>
          <w:sz w:val="28"/>
          <w:szCs w:val="28"/>
          <w:lang w:val="ru-RU"/>
        </w:rPr>
        <w:t xml:space="preserve"> </w:t>
      </w:r>
      <w:r w:rsidR="00AC43B0" w:rsidRPr="00AC43B0">
        <w:rPr>
          <w:rFonts w:ascii="Times New Roman" w:hAnsi="Times New Roman" w:cs="Times New Roman"/>
          <w:sz w:val="28"/>
          <w:szCs w:val="28"/>
          <w:lang w:val="ru-RU"/>
        </w:rPr>
        <w:t>[47]</w:t>
      </w:r>
      <w:r w:rsidRPr="00EC4086">
        <w:rPr>
          <w:rFonts w:ascii="Times New Roman" w:hAnsi="Times New Roman" w:cs="Times New Roman"/>
          <w:sz w:val="28"/>
          <w:szCs w:val="28"/>
          <w:lang w:val="ru-RU"/>
        </w:rPr>
        <w:t xml:space="preserve">. </w:t>
      </w:r>
    </w:p>
    <w:p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lastRenderedPageBreak/>
        <w:t>В условиях высокой волатильности металлургического сектора, возможных периодов стагнации и неоднозначной дивидендной динамики эмитентов издержки фонда могут повышать вероятность того, что реальная (инфляционно скорректированная) доходность окажется низкой или отрицательной, что делает учет структуры расходов и их сопоставление с ожидаемой премией за риск существенным элементом обоснования инвестиционной стратегии.</w:t>
      </w:r>
    </w:p>
    <w:p w:rsidR="00EC4086" w:rsidRPr="00EC4086" w:rsidRDefault="00EC4086" w:rsidP="004605F7">
      <w:pPr>
        <w:pStyle w:val="2"/>
        <w:spacing w:before="0" w:after="0" w:line="360" w:lineRule="auto"/>
        <w:rPr>
          <w:bCs/>
          <w:lang w:val="ru-RU"/>
        </w:rPr>
      </w:pPr>
    </w:p>
    <w:p w:rsidR="005F2182" w:rsidRPr="00EC4086" w:rsidRDefault="005F2182" w:rsidP="004605F7">
      <w:pPr>
        <w:pStyle w:val="2"/>
        <w:spacing w:before="0" w:after="0" w:line="360" w:lineRule="auto"/>
        <w:rPr>
          <w:bCs/>
          <w:lang w:val="ru-RU"/>
        </w:rPr>
      </w:pPr>
      <w:bookmarkStart w:id="8" w:name="_Toc230233417"/>
      <w:r w:rsidRPr="00EC4086">
        <w:rPr>
          <w:bCs/>
          <w:lang w:val="ru-RU"/>
        </w:rPr>
        <w:t>2.2. Оценка инвестиционной привлекательности крупнейших объектов инвестирования ОПИФ РФИ «ВИМ-Металлургия»</w:t>
      </w:r>
      <w:bookmarkEnd w:id="8"/>
    </w:p>
    <w:p w:rsidR="005F2182" w:rsidRPr="00EC4086" w:rsidRDefault="005F2182" w:rsidP="004605F7">
      <w:pPr>
        <w:spacing w:line="360" w:lineRule="auto"/>
        <w:jc w:val="both"/>
        <w:rPr>
          <w:rFonts w:ascii="Times New Roman" w:hAnsi="Times New Roman" w:cs="Times New Roman"/>
          <w:sz w:val="28"/>
          <w:szCs w:val="28"/>
          <w:lang w:val="ru-RU"/>
        </w:rPr>
      </w:pP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Риск-профиль и потенциальная динамика стоимости чистых активов в значительной степени определяются фундаментальными характеристиками предприятий-эмитентов, которые формируют ядро рассматриваемого портфеля. В настоящем параграфе представлен развернутый финансовый анализ пяти компаний, обладающих наибольшим удельным весом в структуре активов фонда; анализ опирается на консолидированную отчетность, подготовленную по МСФО и РСБУ, за последние доступные отчетные периоды. Подобный подход позволяет соотнести наблюдаемую доходность и волатильность фонда с устойчивостью базовых активов, а также уточнить источники потенциальных уязвимостей в условиях меняющейся макроэкономической и отраслевой конъюнктуры</w:t>
      </w:r>
      <w:r w:rsidR="00A30BC7">
        <w:rPr>
          <w:rFonts w:ascii="Times New Roman" w:hAnsi="Times New Roman" w:cs="Times New Roman"/>
          <w:sz w:val="28"/>
          <w:szCs w:val="28"/>
          <w:lang w:val="ru-RU"/>
        </w:rPr>
        <w:t xml:space="preserve"> [11, с. 132</w:t>
      </w:r>
      <w:r w:rsidR="00A30BC7" w:rsidRPr="00A30BC7">
        <w:rPr>
          <w:rFonts w:ascii="Times New Roman" w:hAnsi="Times New Roman" w:cs="Times New Roman"/>
          <w:sz w:val="28"/>
          <w:szCs w:val="28"/>
          <w:lang w:val="ru-RU"/>
        </w:rPr>
        <w:t>]</w:t>
      </w:r>
      <w:r w:rsidRPr="00EC4086">
        <w:rPr>
          <w:rFonts w:ascii="Times New Roman" w:hAnsi="Times New Roman" w:cs="Times New Roman"/>
          <w:sz w:val="28"/>
          <w:szCs w:val="28"/>
          <w:lang w:val="ru-RU"/>
        </w:rPr>
        <w:t>.</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ПАО «Северсталь» представляет собой вертикально интегрированную металлургическую и горнодобывающую группу и традиционно рассматривается как один из системообразующих участников российской черной металлургии. В контексте портфеля фонда данная позиция может интерпретироваться как высокомаржинальный актив, ориентированный на </w:t>
      </w:r>
      <w:r w:rsidRPr="00EC4086">
        <w:rPr>
          <w:rFonts w:ascii="Times New Roman" w:hAnsi="Times New Roman" w:cs="Times New Roman"/>
          <w:sz w:val="28"/>
          <w:szCs w:val="28"/>
          <w:lang w:val="ru-RU"/>
        </w:rPr>
        <w:lastRenderedPageBreak/>
        <w:t>формирование устойчивого денежного потока за счет продуктовой линейки с относительно высокой добавленной стоимостью, а также за счет операционной эффективности, характерной для интегрированных производственных цепочек</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[33, с. 15]</w:t>
      </w:r>
      <w:r w:rsidRPr="00EC4086">
        <w:rPr>
          <w:rFonts w:ascii="Times New Roman" w:hAnsi="Times New Roman" w:cs="Times New Roman"/>
          <w:sz w:val="28"/>
          <w:szCs w:val="28"/>
          <w:lang w:val="ru-RU"/>
        </w:rPr>
        <w:t>.</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ликвидности и платежеспособности: Финансовое положение компании характеризуется высокой платежеспособностью и значительным запасом краткосрочной устойчивости. Валюта баланса демонстрирует стабильную восходящую динамику, что может отражать как расширение операционного масштаба, так и консервативный подход к формированию оборотного капитала. Коэффициент текущей ликвидности по итогам отчетных периодов устойчиво превышает ориентир 2,0, который в прикладном финансовом анализе часто используется как условный норматив</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22, с. 110]</w:t>
      </w:r>
      <w:r w:rsidRPr="00EC4086">
        <w:rPr>
          <w:rFonts w:ascii="Times New Roman" w:hAnsi="Times New Roman" w:cs="Times New Roman"/>
          <w:sz w:val="28"/>
          <w:szCs w:val="28"/>
          <w:lang w:val="ru-RU"/>
        </w:rPr>
        <w:t>. Коэффициент абсолютной ликвидности дополнительно фиксирует наличие существенного объема высоколиквидных средств; такой запас, по-видимому, связан, среди прочего, с пересмотром дивидендной политики на фоне санкционных ограничений и повышенной неопределенности внешней среды.</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рентабельности: Показатели эффективности использования капитала находятся на повышенных уровнях: ROA составляет порядка 19,5%, ROE превышает 31,5%</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[11, с. 156]</w:t>
      </w:r>
      <w:r w:rsidRPr="00EC4086">
        <w:rPr>
          <w:rFonts w:ascii="Times New Roman" w:hAnsi="Times New Roman" w:cs="Times New Roman"/>
          <w:sz w:val="28"/>
          <w:szCs w:val="28"/>
          <w:lang w:val="ru-RU"/>
        </w:rPr>
        <w:t>. Маржинальность по EBITDA устойчиво превосходит среднеотраслевые значения, что согласуется с гипотезой о контроле издержек, наличии масштабного эффекта и более благоприятной структуре продуктового портфеля. Вместе с тем для корректной интерпретации рентабельности следует учитывать цикличность металлургического рынка и возможное влияние ценовой конъюнктуры на конечные показатели.</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Оценка риска банкротства: Капитальная структура оценивается как устойчиво-консервативная: коэффициент автономии превышает 0,6, что </w:t>
      </w:r>
      <w:r w:rsidRPr="00EC4086">
        <w:rPr>
          <w:rFonts w:ascii="Times New Roman" w:hAnsi="Times New Roman" w:cs="Times New Roman"/>
          <w:sz w:val="28"/>
          <w:szCs w:val="28"/>
          <w:lang w:val="ru-RU"/>
        </w:rPr>
        <w:lastRenderedPageBreak/>
        <w:t>снижает чувствительность к шокам на кредитных рынках</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[22, с. 140]</w:t>
      </w:r>
      <w:r w:rsidRPr="00EC4086">
        <w:rPr>
          <w:rFonts w:ascii="Times New Roman" w:hAnsi="Times New Roman" w:cs="Times New Roman"/>
          <w:sz w:val="28"/>
          <w:szCs w:val="28"/>
          <w:lang w:val="ru-RU"/>
        </w:rPr>
        <w:t>. Показатель «Чистый долг / EBITDA» принимает отрицательное значение, поскольку объем денежных средств и их эквивалентов превышает совокупный долг. В рамках дискриминантного подхода модели Альтмана дают результаты, соответствующие крайне низкой вероятности финансовой несостоятельности. В рассматриваемой выборке данная компания выступает одним из наиболее устойчивых элементов портфеля, потенциально выполняя «защитную» функцию в периоды ухудшения рыночной конъюнктуры.</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ПАО «ММК» относится к крупнейшим российским производителям стали и исторически ориентировано на внутренний рынок, в том числе на строительный сектор, машиностроение и автомобильную промышленность</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[33, с. 17]</w:t>
      </w:r>
      <w:r w:rsidRPr="00EC4086">
        <w:rPr>
          <w:rFonts w:ascii="Times New Roman" w:hAnsi="Times New Roman" w:cs="Times New Roman"/>
          <w:sz w:val="28"/>
          <w:szCs w:val="28"/>
          <w:lang w:val="ru-RU"/>
        </w:rPr>
        <w:t>. Для портфеля фонда данный эмитент может рассматриваться как стабилизирующая позиция, чья чувствительность к рискам экспортных ограничений, по сравнению с экспортноориентированными компаниями, относительно ниже, хотя и не исключает косвенного влияния через внутренний спрос и ценовые ожидания.</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Анализ ликвидности и платежеспособности: Компания придерживается консервативного финансового профиля: коэффициент текущей ликвидности устойчиво удерживается выше 2,0. Генерация денежных потоков позволяет покрывать краткосрочные обязательства без выраженного напряжения, а наличие значимых денежных остатков снижает вероятность кассовых разрывов. Дополнительно следует отметить, что подобная </w:t>
      </w:r>
      <w:proofErr w:type="spellStart"/>
      <w:r w:rsidRPr="00EC4086">
        <w:rPr>
          <w:rFonts w:ascii="Times New Roman" w:hAnsi="Times New Roman" w:cs="Times New Roman"/>
          <w:sz w:val="28"/>
          <w:szCs w:val="28"/>
          <w:lang w:val="ru-RU"/>
        </w:rPr>
        <w:t>ликвидностная</w:t>
      </w:r>
      <w:proofErr w:type="spellEnd"/>
      <w:r w:rsidRPr="00EC4086">
        <w:rPr>
          <w:rFonts w:ascii="Times New Roman" w:hAnsi="Times New Roman" w:cs="Times New Roman"/>
          <w:sz w:val="28"/>
          <w:szCs w:val="28"/>
          <w:lang w:val="ru-RU"/>
        </w:rPr>
        <w:t xml:space="preserve"> позиция в капиталоемких отраслях обычно рассматривается как фактор устойчивости к временным сбоям в цепочках поставок и к колебаниям оборотного капитала</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22, с. 112]</w:t>
      </w:r>
      <w:r w:rsidRPr="00EC4086">
        <w:rPr>
          <w:rFonts w:ascii="Times New Roman" w:hAnsi="Times New Roman" w:cs="Times New Roman"/>
          <w:sz w:val="28"/>
          <w:szCs w:val="28"/>
          <w:lang w:val="ru-RU"/>
        </w:rPr>
        <w:t>.</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Анализ рентабельности: ROE восстановился до уровня около 18%, а маржа по EBITDA стабильно превышает 25%. Рост внутренних продаж, судя </w:t>
      </w:r>
      <w:r w:rsidRPr="00EC4086">
        <w:rPr>
          <w:rFonts w:ascii="Times New Roman" w:hAnsi="Times New Roman" w:cs="Times New Roman"/>
          <w:sz w:val="28"/>
          <w:szCs w:val="28"/>
          <w:lang w:val="ru-RU"/>
        </w:rPr>
        <w:lastRenderedPageBreak/>
        <w:t>по отчетной динамике, способен частично компенсировать снижение экспортной выручки, хотя степень такой компенсации зависит от ценовой эластичности внутреннего рынка и от инвестиционной активности ключевых потребляющих отраслей. В целом показатели отражают сохранение конкурентоспособности в условиях адаптации к внешним ограничениям</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[16, с. 82]</w:t>
      </w:r>
      <w:r w:rsidRPr="00EC4086">
        <w:rPr>
          <w:rFonts w:ascii="Times New Roman" w:hAnsi="Times New Roman" w:cs="Times New Roman"/>
          <w:sz w:val="28"/>
          <w:szCs w:val="28"/>
          <w:lang w:val="ru-RU"/>
        </w:rPr>
        <w:t>.</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Оценка риска банкротства: Доля собственного капитала в балансе остается высокой даже по отраслевым меркам, что повышает устойчивость в стресс-сценариях. Чистый долг сохраняет отрицательное значение, что указывает на низкую зависимость от заемного финансирования. Адаптивность компании к макроэкономическим шокам проявляется через способность перестраивать каналы сбыта и поддерживать приемлемые уровни маржинальности; при этом корректнее говорить о высокой инвестиционной привлекательности при прочих равных условиях, избегая трактовок, предполагающих безусловность такого вывода.</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ПАО «ГМК «Норильский никель» является одним из крупнейших мировых производителей никеля и палладия. В портфеле фонда данная позиция выполняет функцию отраслевой диверсификации, снижая концентрацию в сегменте черной металлургии, однако одновременно добавляет экспозицию к специфическим рискам рынка цветных металлов, включая ценовую волатильность и </w:t>
      </w:r>
      <w:proofErr w:type="spellStart"/>
      <w:r w:rsidRPr="00EC4086">
        <w:rPr>
          <w:rFonts w:ascii="Times New Roman" w:hAnsi="Times New Roman" w:cs="Times New Roman"/>
          <w:sz w:val="28"/>
          <w:szCs w:val="28"/>
          <w:lang w:val="ru-RU"/>
        </w:rPr>
        <w:t>логистико-санкционные</w:t>
      </w:r>
      <w:proofErr w:type="spellEnd"/>
      <w:r w:rsidRPr="00EC4086">
        <w:rPr>
          <w:rFonts w:ascii="Times New Roman" w:hAnsi="Times New Roman" w:cs="Times New Roman"/>
          <w:sz w:val="28"/>
          <w:szCs w:val="28"/>
          <w:lang w:val="ru-RU"/>
        </w:rPr>
        <w:t xml:space="preserve"> ограничения</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[30, с. 20]</w:t>
      </w:r>
      <w:r w:rsidRPr="00EC4086">
        <w:rPr>
          <w:rFonts w:ascii="Times New Roman" w:hAnsi="Times New Roman" w:cs="Times New Roman"/>
          <w:sz w:val="28"/>
          <w:szCs w:val="28"/>
          <w:lang w:val="ru-RU"/>
        </w:rPr>
        <w:t>.</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Анализ ликвидности и платежеспособности: На фоне сокращения свободных денежных потоков, обусловленного снижением мировых цен на корзину цветных металлов и перестройкой логистических цепочек, коэффициент текущей ликвидности снизился до 1,2–1,3. Такой уровень в целом может рассматриваться как приемлемый для непрерывной </w:t>
      </w:r>
      <w:r w:rsidRPr="00EC4086">
        <w:rPr>
          <w:rFonts w:ascii="Times New Roman" w:hAnsi="Times New Roman" w:cs="Times New Roman"/>
          <w:sz w:val="28"/>
          <w:szCs w:val="28"/>
          <w:lang w:val="ru-RU"/>
        </w:rPr>
        <w:lastRenderedPageBreak/>
        <w:t>операционной деятельности, однако запас финансовой прочности становится менее выраженным по сравнению с крупнейшими предприятиями черной металлургии. В данном контексте усиливается значимость доступа к рынкам капитала и качества управления оборотным капиталом.</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рентабельности: Показатели ROA и ROE продемонстрировали снижение под влиянием внешних шоков, что согласуется с ухудшением ценовой конъюнктуры и ростом издержек адаптации. При этом маржа по EBITDA остается на уровне около 48%, что по международным сопоставлениям является высоким значением и отражает структурную рентабельность бизнеса, связанную с ресурсной базой и позицией компании на мировом рынке. Вместе с тем сохранение высокой EBITDA-маржинальности не исключает давления на чистую прибыль при росте амортизационных отчислений и финансовых расходов</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[9, с. 320]</w:t>
      </w:r>
      <w:r w:rsidRPr="00EC4086">
        <w:rPr>
          <w:rFonts w:ascii="Times New Roman" w:hAnsi="Times New Roman" w:cs="Times New Roman"/>
          <w:sz w:val="28"/>
          <w:szCs w:val="28"/>
          <w:lang w:val="ru-RU"/>
        </w:rPr>
        <w:t>.</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Оценка риска банкротства: Долговая нагрузка увеличилась в связи с прохождением инвестиционного цикла и обновлением основных фондов. Соотношение «Чистый долг / EBITDA» выросло до 1,2x, что само по себе остается в рамках умеренных значений, но указывает на снижение финансовой свободы по сравнению с периодами сверхконсервативного баланса. Дискриминантные модели не сигнализируют о высокой вероятности несостоятельности, однако текущая фаза повышенных CAPEX объективно сокращает краткосрочную инвестиционную привлекательность для портфеля, ориентированного на устойчивую динамику стоимости чистых активов.</w:t>
      </w:r>
    </w:p>
    <w:p w:rsidR="00EC4086" w:rsidRPr="00EC4086" w:rsidRDefault="00EC4086" w:rsidP="00A30BC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МКПАО «ЭН+ ГРУП» является холдинговой структурой, объединяющей электрогенерирующие активы и контрольный пакет ОК «РУСАЛ». Присутствие данного эмитента в портфеле обеспечивает экспозицию одновременно к сегменту алюминиевой промышленности и к электроэнергетике, включая компоненты относительно «чистой» генерации, </w:t>
      </w:r>
      <w:r w:rsidRPr="00EC4086">
        <w:rPr>
          <w:rFonts w:ascii="Times New Roman" w:hAnsi="Times New Roman" w:cs="Times New Roman"/>
          <w:sz w:val="28"/>
          <w:szCs w:val="28"/>
          <w:lang w:val="ru-RU"/>
        </w:rPr>
        <w:lastRenderedPageBreak/>
        <w:t>что может быть интерпретировано как расширение отраслевого охвата фонда</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[33, с. 18]</w:t>
      </w:r>
      <w:r w:rsidRPr="00EC4086">
        <w:rPr>
          <w:rFonts w:ascii="Times New Roman" w:hAnsi="Times New Roman" w:cs="Times New Roman"/>
          <w:sz w:val="28"/>
          <w:szCs w:val="28"/>
          <w:lang w:val="ru-RU"/>
        </w:rPr>
        <w:t>.</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ликвидности и платежеспособности: Финансовые параметры холдинга испытывают заметное давление вследствие ухудшения условий в алюминиевом сегменте, включая снижение котировок на LME и действие экспортных пошлин. Коэффициент текущей ликвидности находится вблизи пороговых значений и оценивается примерно в диапазоне 1,05–1,1. Такая конфигурация означает, что краткосрочная устойчивость в большей степени зависит от регулярности поступления операционного денежного потока и от способности компании поддерживать условия рефинансирования, чем от наличия значимого ликвидного резерва.</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рентабельности: Финансовые результаты остаются под давлением, чистая прибыль существенно сократилась. ROE снизился до 3–4%, что заметно ниже ориентиров безрисковой доходности в Российской Федерации; в инвестиционном анализе это обычно интерпретируется как снижение компенсации инвестору за принятие риска. Дополнительным фактором выступает цикличность сырьевых рынков, которая усиливает неопределенность краткосрочных прогнозов, особенно при одновременном воздействии регуляторных и внешнеторговых ограничений.</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Оценка риска банкротства: Холдинг сохраняет повышенную долговую нагрузку, сформированную исторически. Показатель «Чистый долг / EBITDA» приблизился к 3,5x–4,0x, что в прикладных оценках часто относится к зоне повышенного риска, особенно в условиях сжатия маржи. Операционная прибыльность, по имеющимся данным, лишь с ограниченным запасом покрывает обслуживание долгового портфеля, что повышает чувствительность к росту процентных ставок, к колебаниям валютных курсов и к неблагоприятной динамике цен на алюминий. В результате присутствие </w:t>
      </w:r>
      <w:r w:rsidRPr="00EC4086">
        <w:rPr>
          <w:rFonts w:ascii="Times New Roman" w:hAnsi="Times New Roman" w:cs="Times New Roman"/>
          <w:sz w:val="28"/>
          <w:szCs w:val="28"/>
          <w:lang w:val="ru-RU"/>
        </w:rPr>
        <w:lastRenderedPageBreak/>
        <w:t>МКПАО «ЭН+ ГРУП» увеличивает восприимчивость портфеля к макроэкономическим шокам и снижает его агрегированную устойчивость.</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ПАО «Корпорация ВСМПО-АВИСМА» является ключевым российским производителем титановой продукции и одним из крупнейших игроков на мировом рынке. Для портфеля фонда данная компания формирует экспозицию к сегментам высокотехнологичного машиностроения, а также к цепочкам поставок, в которых востребованы материалы специального назначения; подобная экспозиция отличается от классической металлургической цикличности и может частично сглаживать отраслевую концентрацию</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[33, с. 19]</w:t>
      </w:r>
      <w:r w:rsidRPr="00EC4086">
        <w:rPr>
          <w:rFonts w:ascii="Times New Roman" w:hAnsi="Times New Roman" w:cs="Times New Roman"/>
          <w:sz w:val="28"/>
          <w:szCs w:val="28"/>
          <w:lang w:val="ru-RU"/>
        </w:rPr>
        <w:t>.</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ликвидности и платежеспособности: После прохождения логистических шоков корпорации удалось стабилизировать сбыт и восстановить предсказуемость операционных потоков. Ликвидность баланса оценивается как высокая: коэффициент текущей ликвидности превышает 2,8, что указывает на значительный запас по покрытию краткосрочных обязательств. Данная характеристика, как правило, рассматривается как фактор устойчивости в условиях неопределенности по внешним рынкам и по структуре заказов.</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рентабельности: Рост внутреннего спроса позволил поддерживать маржу по EBITDA выше 35%. ROA удерживается в диапазоне 12–15%, ROE превышает 20%, что согласуется с представлением об устойчивости бизнес-модели и о способности сохранять прибыльность при адаптации к изменению географии продаж. При этом корректная интерпретация требует учета возможных структурных сдвигов в спросе со стороны авиационной и машиностроительной отраслей, а также потенциальных ограничений на экспорт высокотехнологичной продукции</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[11, с. 90]</w:t>
      </w:r>
      <w:r w:rsidRPr="00EC4086">
        <w:rPr>
          <w:rFonts w:ascii="Times New Roman" w:hAnsi="Times New Roman" w:cs="Times New Roman"/>
          <w:sz w:val="28"/>
          <w:szCs w:val="28"/>
          <w:lang w:val="ru-RU"/>
        </w:rPr>
        <w:t>.</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lastRenderedPageBreak/>
        <w:t>Оценка риска банкротства: Критическая долговая нагрузка отсутствует: заемный капитал составляет менее 35% валюты баланса. Значения Z-счета Альтмана уверенно относят предприятие к группе финансово устойчивых компаний без выраженных признаков несостоятельности. В рамках портфеля данная позиция может рассматриваться как один из устойчивых компонентов, хотя ее риск-профиль в существенной степени определяется отраслевой спецификой и чувствительностью к внешним рынкам конечного потребления.</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Сводный вывод по разделу: Фундаментальный анализ пяти крупнейших предприятий, входящих в состав ОПИФ РФИ «ВИМ-Металлургия», подтверждает основную исследовательскую установку о том, что качество инвестиционного портфеля связано с финансовой устойчивостью и операционной эффективностью базовых эмитентов. Поскольку фонд характеризуется ограниченной диверсификацией, внутренние проблемы отдельных компаний с высокой долей в активах имеют тенденцию транслироваться в динамику стоимости чистых активов, усиливая как просадки, так и восстановительные движения, в зависимости от сценария</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[20, с. 110]</w:t>
      </w:r>
      <w:r w:rsidRPr="00EC4086">
        <w:rPr>
          <w:rFonts w:ascii="Times New Roman" w:hAnsi="Times New Roman" w:cs="Times New Roman"/>
          <w:sz w:val="28"/>
          <w:szCs w:val="28"/>
          <w:lang w:val="ru-RU"/>
        </w:rPr>
        <w:t>.</w:t>
      </w:r>
    </w:p>
    <w:p w:rsidR="00A30BC7"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Наиболее устойчивыми по совокупности показателей выглядят эмитенты черной металлургии (ПАО «Северсталь», ПАО «ММК»), а также ПАО «Корпорация ВСМПО-АВИСМА». Их профиль включает высокую рентабельность, существенные ликвидные резервы и, в ряде случаев, отрицательный чистый долг, что снижает кредитные риски и повышает устойчивость к краткосрочным шокам</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[13, с. 120]</w:t>
      </w:r>
      <w:r w:rsidRPr="00EC4086">
        <w:rPr>
          <w:rFonts w:ascii="Times New Roman" w:hAnsi="Times New Roman" w:cs="Times New Roman"/>
          <w:sz w:val="28"/>
          <w:szCs w:val="28"/>
          <w:lang w:val="ru-RU"/>
        </w:rPr>
        <w:t xml:space="preserve">. </w:t>
      </w:r>
    </w:p>
    <w:p w:rsidR="005F2182"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Одновременно дополнительные риски в структуру портфеля вносят компании, связанные с цветной металлургией и энергетикой (МКПАО «ЭН+ ГРУП», ПАО «ГМК «Норильский никель»): здесь наблюдаются признаки давления на ликвидность, рост долговой нагрузки либо прохождение </w:t>
      </w:r>
      <w:r w:rsidRPr="00EC4086">
        <w:rPr>
          <w:rFonts w:ascii="Times New Roman" w:hAnsi="Times New Roman" w:cs="Times New Roman"/>
          <w:sz w:val="28"/>
          <w:szCs w:val="28"/>
          <w:lang w:val="ru-RU"/>
        </w:rPr>
        <w:lastRenderedPageBreak/>
        <w:t>капиталоемких инвестиционных фаз. В результате портфель в текущем виде можно охарактеризовать как неоднородный по качеству: рядом с финансово устойчивыми активами присутствуют эмитенты с повышенной закредитованностью и сниженной рентабельностью, что формирует основания для обсуждения целесообразности тактической ребалансировки с учетом ограничений мандата фонда и допустимого уровня риска.</w:t>
      </w:r>
    </w:p>
    <w:p w:rsidR="004605F7" w:rsidRPr="005F2182" w:rsidRDefault="004605F7" w:rsidP="004605F7">
      <w:pPr>
        <w:spacing w:line="360" w:lineRule="auto"/>
        <w:ind w:firstLine="709"/>
        <w:jc w:val="both"/>
        <w:rPr>
          <w:rFonts w:ascii="Times New Roman" w:hAnsi="Times New Roman" w:cs="Times New Roman"/>
          <w:sz w:val="28"/>
          <w:szCs w:val="28"/>
          <w:lang w:val="ru-RU"/>
        </w:rPr>
      </w:pPr>
    </w:p>
    <w:p w:rsidR="005F2182" w:rsidRDefault="005F2182" w:rsidP="004605F7">
      <w:pPr>
        <w:pStyle w:val="2"/>
        <w:spacing w:before="0" w:after="0" w:line="360" w:lineRule="auto"/>
        <w:rPr>
          <w:lang w:val="ru-RU"/>
        </w:rPr>
      </w:pPr>
      <w:bookmarkStart w:id="9" w:name="_Toc230233418"/>
      <w:r w:rsidRPr="005F2182">
        <w:rPr>
          <w:lang w:val="ru-RU"/>
        </w:rPr>
        <w:t>2.3. Анализ показателей качества инвестиционного портфеля ОПИФ РФИ «ВИМ-Металлургия»</w:t>
      </w:r>
      <w:bookmarkEnd w:id="9"/>
    </w:p>
    <w:p w:rsidR="00EC4086" w:rsidRPr="00EC4086" w:rsidRDefault="00EC4086" w:rsidP="004605F7">
      <w:pPr>
        <w:spacing w:line="360" w:lineRule="auto"/>
        <w:rPr>
          <w:lang w:val="ru-RU"/>
        </w:rPr>
      </w:pPr>
    </w:p>
    <w:p w:rsidR="00205FD5"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Оценка качества инвестиционного портфеля ОПИФ РФИ «ВИМ-Металлургия» целесообразно проводить на основе специализированного математико-статистического инструментария, который позволяет сопоставлять фактически полученную фондом доходность с уровнем принимаемого совокупного риска, а также уточнять, в какой мере наблюдаемая доходность может быть объяснена особенностями структуры портфеля, отраслевой экспозицией и </w:t>
      </w:r>
      <w:proofErr w:type="spellStart"/>
      <w:r w:rsidRPr="00EC4086">
        <w:rPr>
          <w:rFonts w:ascii="Times New Roman" w:hAnsi="Times New Roman" w:cs="Times New Roman"/>
          <w:sz w:val="28"/>
          <w:szCs w:val="28"/>
          <w:lang w:val="ru-RU"/>
        </w:rPr>
        <w:t>общерыночной</w:t>
      </w:r>
      <w:proofErr w:type="spellEnd"/>
      <w:r w:rsidRPr="00EC4086">
        <w:rPr>
          <w:rFonts w:ascii="Times New Roman" w:hAnsi="Times New Roman" w:cs="Times New Roman"/>
          <w:sz w:val="28"/>
          <w:szCs w:val="28"/>
          <w:lang w:val="ru-RU"/>
        </w:rPr>
        <w:t xml:space="preserve"> конъюнктурой</w:t>
      </w:r>
      <w:r w:rsidR="00205FD5">
        <w:rPr>
          <w:rFonts w:ascii="Times New Roman" w:hAnsi="Times New Roman" w:cs="Times New Roman"/>
          <w:sz w:val="28"/>
          <w:szCs w:val="28"/>
          <w:lang w:val="ru-RU"/>
        </w:rPr>
        <w:t xml:space="preserve"> [2</w:t>
      </w:r>
      <w:r w:rsidR="00205FD5" w:rsidRPr="00205FD5">
        <w:rPr>
          <w:rFonts w:ascii="Times New Roman" w:hAnsi="Times New Roman" w:cs="Times New Roman"/>
          <w:sz w:val="28"/>
          <w:szCs w:val="28"/>
          <w:lang w:val="ru-RU"/>
        </w:rPr>
        <w:t>5, с. 156]</w:t>
      </w:r>
      <w:r w:rsidRPr="00EC4086">
        <w:rPr>
          <w:rFonts w:ascii="Times New Roman" w:hAnsi="Times New Roman" w:cs="Times New Roman"/>
          <w:sz w:val="28"/>
          <w:szCs w:val="28"/>
          <w:lang w:val="ru-RU"/>
        </w:rPr>
        <w:t xml:space="preserve">. </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В рамках такой постановки акцент переносится с номинальных показателей результативности на риск-скорректированную оценку, поскольку для </w:t>
      </w:r>
      <w:proofErr w:type="spellStart"/>
      <w:r w:rsidRPr="00EC4086">
        <w:rPr>
          <w:rFonts w:ascii="Times New Roman" w:hAnsi="Times New Roman" w:cs="Times New Roman"/>
          <w:sz w:val="28"/>
          <w:szCs w:val="28"/>
          <w:lang w:val="ru-RU"/>
        </w:rPr>
        <w:t>секторально</w:t>
      </w:r>
      <w:proofErr w:type="spellEnd"/>
      <w:r w:rsidRPr="00EC4086">
        <w:rPr>
          <w:rFonts w:ascii="Times New Roman" w:hAnsi="Times New Roman" w:cs="Times New Roman"/>
          <w:sz w:val="28"/>
          <w:szCs w:val="28"/>
          <w:lang w:val="ru-RU"/>
        </w:rPr>
        <w:t xml:space="preserve"> концентрированных стратегий характерно усиление уязвимости к цикличности товарных рынков и к изменениям условий финансирования компаний-эмитентов</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[24, с. 218]</w:t>
      </w:r>
      <w:r w:rsidRPr="00EC4086">
        <w:rPr>
          <w:rFonts w:ascii="Times New Roman" w:hAnsi="Times New Roman" w:cs="Times New Roman"/>
          <w:sz w:val="28"/>
          <w:szCs w:val="28"/>
          <w:lang w:val="ru-RU"/>
        </w:rPr>
        <w:t>.</w:t>
      </w:r>
    </w:p>
    <w:p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Коэффициенты доходности и риска. В качестве базового показателя совокупного риска фонда обоснованно рассматривается волатильность (</w:t>
      </w:r>
      <w:proofErr w:type="spellStart"/>
      <w:r w:rsidRPr="004605F7">
        <w:rPr>
          <w:rFonts w:ascii="Times New Roman" w:hAnsi="Times New Roman" w:cs="Times New Roman"/>
          <w:sz w:val="28"/>
          <w:szCs w:val="28"/>
          <w:lang w:val="ru-RU"/>
        </w:rPr>
        <w:t>Standard</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Deviation</w:t>
      </w:r>
      <w:proofErr w:type="spellEnd"/>
      <w:r w:rsidRPr="004605F7">
        <w:rPr>
          <w:rFonts w:ascii="Times New Roman" w:hAnsi="Times New Roman" w:cs="Times New Roman"/>
          <w:sz w:val="28"/>
          <w:szCs w:val="28"/>
          <w:lang w:val="ru-RU"/>
        </w:rPr>
        <w:t xml:space="preserve">), рассчитываемая через стандартное отклонение доходностей. Доступные исторические наблюдения позволяют заключить, что </w:t>
      </w:r>
      <w:r w:rsidRPr="004605F7">
        <w:rPr>
          <w:rFonts w:ascii="Times New Roman" w:hAnsi="Times New Roman" w:cs="Times New Roman"/>
          <w:sz w:val="28"/>
          <w:szCs w:val="28"/>
          <w:lang w:val="ru-RU"/>
        </w:rPr>
        <w:lastRenderedPageBreak/>
        <w:t xml:space="preserve">активы металлургического и сырьевого сегментов в целом демонстрируют повышенную дисперсию, которая усиливается в периоды смены фаз сырьевого цикла и при росте неопределенности внешнего спроса. </w:t>
      </w:r>
    </w:p>
    <w:p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Существенная концентрация портфеля в металлургическом секторе ограничивает действие межотраслевой диверсификации: колебания ценовых факторов, общие для эмитентов отрасли (например, динамика мировых цен на металлы, валютные курсы, логистические ограничения и изменения экспортных потоков), приводят к высокой синхронности доходностей, вследствие чего волатильность портфеля сглаживается в ограниченной степени</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[33, с. 14]</w:t>
      </w:r>
      <w:r w:rsidRPr="004605F7">
        <w:rPr>
          <w:rFonts w:ascii="Times New Roman" w:hAnsi="Times New Roman" w:cs="Times New Roman"/>
          <w:sz w:val="28"/>
          <w:szCs w:val="28"/>
          <w:lang w:val="ru-RU"/>
        </w:rPr>
        <w:t xml:space="preserve">. </w:t>
      </w:r>
    </w:p>
    <w:p w:rsidR="00EC4086" w:rsidRPr="004605F7"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Метрика максимальной просадки (</w:t>
      </w:r>
      <w:proofErr w:type="spellStart"/>
      <w:r w:rsidRPr="004605F7">
        <w:rPr>
          <w:rFonts w:ascii="Times New Roman" w:hAnsi="Times New Roman" w:cs="Times New Roman"/>
          <w:sz w:val="28"/>
          <w:szCs w:val="28"/>
          <w:lang w:val="ru-RU"/>
        </w:rPr>
        <w:t>Maximum</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Drawdown</w:t>
      </w:r>
      <w:proofErr w:type="spellEnd"/>
      <w:r w:rsidRPr="004605F7">
        <w:rPr>
          <w:rFonts w:ascii="Times New Roman" w:hAnsi="Times New Roman" w:cs="Times New Roman"/>
          <w:sz w:val="28"/>
          <w:szCs w:val="28"/>
          <w:lang w:val="ru-RU"/>
        </w:rPr>
        <w:t>) также характеризуется повышенными значениями</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[24, с. 230]</w:t>
      </w:r>
      <w:r w:rsidRPr="004605F7">
        <w:rPr>
          <w:rFonts w:ascii="Times New Roman" w:hAnsi="Times New Roman" w:cs="Times New Roman"/>
          <w:sz w:val="28"/>
          <w:szCs w:val="28"/>
          <w:lang w:val="ru-RU"/>
        </w:rPr>
        <w:t>. Данное обстоятельство согласуется с цикличностью сырьевых рынков: в фазы снижения мировых цен на металлы и ухудшения ожиданий по маржинальности компаний портфель фиксирует выраженные отрицательные переоценки СЧА, а отсутствие в структуре защитных инструментов или компенсирующих факторов (например, активов с иной чувствительностью к сырьевым ценам) не позволяет существенно ограничить глубину падения. В этом контексте максимальная просадка выступает не только как статистическая характеристика, но и как эмпирический индикатор уязвимости стратегии к неблагоприятным сценариям.</w:t>
      </w:r>
    </w:p>
    <w:p w:rsidR="00EC4086" w:rsidRPr="004605F7"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Коэффициенты эффективности (Шарп, </w:t>
      </w:r>
      <w:proofErr w:type="spellStart"/>
      <w:r w:rsidRPr="004605F7">
        <w:rPr>
          <w:rFonts w:ascii="Times New Roman" w:hAnsi="Times New Roman" w:cs="Times New Roman"/>
          <w:sz w:val="28"/>
          <w:szCs w:val="28"/>
          <w:lang w:val="ru-RU"/>
        </w:rPr>
        <w:t>Сортино</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Трейнор</w:t>
      </w:r>
      <w:proofErr w:type="spellEnd"/>
      <w:r w:rsidRPr="004605F7">
        <w:rPr>
          <w:rFonts w:ascii="Times New Roman" w:hAnsi="Times New Roman" w:cs="Times New Roman"/>
          <w:sz w:val="28"/>
          <w:szCs w:val="28"/>
          <w:lang w:val="ru-RU"/>
        </w:rPr>
        <w:t>). Указанная группа индикаторов предназначена для оценки премии, которую инвестор получает за принятие риска, и тем самым переводит обсуждение из плоскости «абсолютной доходности» в плоскость «компенсации за риск» с учетом альтернативных возможностей размещения капитала</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20, с. 112]</w:t>
      </w:r>
      <w:r w:rsidRPr="004605F7">
        <w:rPr>
          <w:rFonts w:ascii="Times New Roman" w:hAnsi="Times New Roman" w:cs="Times New Roman"/>
          <w:sz w:val="28"/>
          <w:szCs w:val="28"/>
          <w:lang w:val="ru-RU"/>
        </w:rPr>
        <w:t>.</w:t>
      </w:r>
    </w:p>
    <w:p w:rsidR="00EC4086" w:rsidRPr="004605F7" w:rsidRDefault="00EC4086" w:rsidP="004605F7">
      <w:pPr>
        <w:pStyle w:val="a5"/>
        <w:numPr>
          <w:ilvl w:val="0"/>
          <w:numId w:val="19"/>
        </w:numPr>
        <w:tabs>
          <w:tab w:val="left" w:pos="993"/>
        </w:tabs>
        <w:spacing w:line="360" w:lineRule="auto"/>
        <w:ind w:left="0" w:firstLine="709"/>
        <w:contextualSpacing w:val="0"/>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lastRenderedPageBreak/>
        <w:t>Коэффициент Шарпа (</w:t>
      </w:r>
      <w:proofErr w:type="spellStart"/>
      <w:r w:rsidRPr="004605F7">
        <w:rPr>
          <w:rFonts w:ascii="Times New Roman" w:hAnsi="Times New Roman" w:cs="Times New Roman"/>
          <w:sz w:val="28"/>
          <w:szCs w:val="28"/>
          <w:lang w:val="ru-RU"/>
        </w:rPr>
        <w:t>Sharpe</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ratio</w:t>
      </w:r>
      <w:proofErr w:type="spellEnd"/>
      <w:r w:rsidRPr="004605F7">
        <w:rPr>
          <w:rFonts w:ascii="Times New Roman" w:hAnsi="Times New Roman" w:cs="Times New Roman"/>
          <w:sz w:val="28"/>
          <w:szCs w:val="28"/>
          <w:lang w:val="ru-RU"/>
        </w:rPr>
        <w:t>). При условном принятии средней доходности базовых акти</w:t>
      </w:r>
      <w:r w:rsidR="00205FD5">
        <w:rPr>
          <w:rFonts w:ascii="Times New Roman" w:hAnsi="Times New Roman" w:cs="Times New Roman"/>
          <w:sz w:val="28"/>
          <w:szCs w:val="28"/>
          <w:lang w:val="ru-RU"/>
        </w:rPr>
        <w:t>вов портфеля на уровне $11-13%</w:t>
      </w:r>
      <w:r w:rsidRPr="004605F7">
        <w:rPr>
          <w:rFonts w:ascii="Times New Roman" w:hAnsi="Times New Roman" w:cs="Times New Roman"/>
          <w:sz w:val="28"/>
          <w:szCs w:val="28"/>
          <w:lang w:val="ru-RU"/>
        </w:rPr>
        <w:t xml:space="preserve"> и сопоставлении ее с безрисковой ставкой, отражаемой доходностью долгосрочных ОФЗ, расчетная величина коэффициента Шарпа для ОПИФ укладывается в интервал </w:t>
      </w:r>
      <m:oMath>
        <m:r>
          <w:rPr>
            <w:rFonts w:ascii="Cambria Math" w:hAnsi="Times New Roman" w:cs="Times New Roman"/>
            <w:sz w:val="28"/>
            <w:szCs w:val="28"/>
            <w:lang w:val="ru-RU"/>
          </w:rPr>
          <m:t xml:space="preserve">0 &lt; </m:t>
        </m:r>
        <m:sSub>
          <m:sSubPr>
            <m:ctrlPr>
              <w:rPr>
                <w:rFonts w:ascii="Cambria Math" w:hAnsi="Times New Roman" w:cs="Times New Roman"/>
                <w:i/>
                <w:sz w:val="28"/>
                <w:szCs w:val="28"/>
                <w:lang w:val="ru-RU"/>
              </w:rPr>
            </m:ctrlPr>
          </m:sSubPr>
          <m:e>
            <m:r>
              <w:rPr>
                <w:rFonts w:ascii="Cambria Math" w:hAnsi="Cambria Math" w:cs="Times New Roman"/>
                <w:sz w:val="28"/>
                <w:szCs w:val="28"/>
                <w:lang w:val="ru-RU"/>
              </w:rPr>
              <m:t>K</m:t>
            </m:r>
          </m:e>
          <m:sub>
            <m:d>
              <m:dPr>
                <m:begChr m:val="{"/>
                <m:endChr m:val="}"/>
                <m:ctrlPr>
                  <w:rPr>
                    <w:rFonts w:ascii="Cambria Math" w:hAnsi="Times New Roman" w:cs="Times New Roman"/>
                    <w:i/>
                    <w:sz w:val="28"/>
                    <w:szCs w:val="28"/>
                    <w:lang w:val="ru-RU"/>
                  </w:rPr>
                </m:ctrlPr>
              </m:dPr>
              <m:e>
                <m:r>
                  <w:rPr>
                    <w:rFonts w:ascii="Cambria Math" w:hAnsi="Cambria Math" w:cs="Times New Roman"/>
                    <w:sz w:val="28"/>
                    <w:szCs w:val="28"/>
                    <w:lang w:val="ru-RU"/>
                  </w:rPr>
                  <m:t>S</m:t>
                </m:r>
                <m:r>
                  <w:rPr>
                    <w:rFonts w:ascii="Times New Roman" w:hAnsi="Times New Roman" w:cs="Times New Roman"/>
                    <w:sz w:val="28"/>
                    <w:szCs w:val="28"/>
                    <w:lang w:val="ru-RU"/>
                  </w:rPr>
                  <m:t>h</m:t>
                </m:r>
                <m:r>
                  <w:rPr>
                    <w:rFonts w:ascii="Cambria Math" w:hAnsi="Cambria Math" w:cs="Times New Roman"/>
                    <w:sz w:val="28"/>
                    <w:szCs w:val="28"/>
                    <w:lang w:val="ru-RU"/>
                  </w:rPr>
                  <m:t>arpe</m:t>
                </m:r>
              </m:e>
            </m:d>
          </m:sub>
        </m:sSub>
        <m:r>
          <w:rPr>
            <w:rFonts w:ascii="Cambria Math" w:hAnsi="Times New Roman" w:cs="Times New Roman"/>
            <w:sz w:val="28"/>
            <w:szCs w:val="28"/>
            <w:lang w:val="ru-RU"/>
          </w:rPr>
          <m:t>&lt; 1</m:t>
        </m:r>
      </m:oMath>
      <w:r w:rsidRPr="004605F7">
        <w:rPr>
          <w:rFonts w:ascii="Times New Roman" w:hAnsi="Times New Roman" w:cs="Times New Roman"/>
          <w:sz w:val="28"/>
          <w:szCs w:val="28"/>
          <w:lang w:val="ru-RU"/>
        </w:rPr>
        <w:t>. В терминах академической интерпретации это означает, что портфель демонстрирует положительную доходность относительно безрисковой альтернативы, однако риск, принимаемый инвестором, оказывается значительным по сравнению с получаемой премией. Иными словами, наблюдаемая доходность не сопровождается пропорционально высокой компенсацией за волатильность, что типично для стратегий, чувствительных к циклическим отраслевым факторам</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[25, с. 156]</w:t>
      </w:r>
      <w:r w:rsidRPr="004605F7">
        <w:rPr>
          <w:rFonts w:ascii="Times New Roman" w:hAnsi="Times New Roman" w:cs="Times New Roman"/>
          <w:sz w:val="28"/>
          <w:szCs w:val="28"/>
          <w:lang w:val="ru-RU"/>
        </w:rPr>
        <w:t>.</w:t>
      </w:r>
    </w:p>
    <w:p w:rsidR="00EC4086" w:rsidRPr="004605F7" w:rsidRDefault="00EC4086" w:rsidP="004605F7">
      <w:pPr>
        <w:pStyle w:val="a5"/>
        <w:numPr>
          <w:ilvl w:val="0"/>
          <w:numId w:val="19"/>
        </w:numPr>
        <w:tabs>
          <w:tab w:val="left" w:pos="993"/>
        </w:tabs>
        <w:spacing w:line="360" w:lineRule="auto"/>
        <w:ind w:left="0" w:firstLine="709"/>
        <w:contextualSpacing w:val="0"/>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Коэффициент </w:t>
      </w:r>
      <w:proofErr w:type="spellStart"/>
      <w:r w:rsidRPr="004605F7">
        <w:rPr>
          <w:rFonts w:ascii="Times New Roman" w:hAnsi="Times New Roman" w:cs="Times New Roman"/>
          <w:sz w:val="28"/>
          <w:szCs w:val="28"/>
          <w:lang w:val="ru-RU"/>
        </w:rPr>
        <w:t>Сортино</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Sortino</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ratio</w:t>
      </w:r>
      <w:proofErr w:type="spellEnd"/>
      <w:r w:rsidRPr="004605F7">
        <w:rPr>
          <w:rFonts w:ascii="Times New Roman" w:hAnsi="Times New Roman" w:cs="Times New Roman"/>
          <w:sz w:val="28"/>
          <w:szCs w:val="28"/>
          <w:lang w:val="ru-RU"/>
        </w:rPr>
        <w:t>). Поскольку данный показатель учитывает преимущественно риск отрицательных отклонений (</w:t>
      </w:r>
      <w:proofErr w:type="spellStart"/>
      <w:r w:rsidRPr="004605F7">
        <w:rPr>
          <w:rFonts w:ascii="Times New Roman" w:hAnsi="Times New Roman" w:cs="Times New Roman"/>
          <w:sz w:val="28"/>
          <w:szCs w:val="28"/>
          <w:lang w:val="ru-RU"/>
        </w:rPr>
        <w:t>downside</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risk</w:t>
      </w:r>
      <w:proofErr w:type="spellEnd"/>
      <w:r w:rsidRPr="004605F7">
        <w:rPr>
          <w:rFonts w:ascii="Times New Roman" w:hAnsi="Times New Roman" w:cs="Times New Roman"/>
          <w:sz w:val="28"/>
          <w:szCs w:val="28"/>
          <w:lang w:val="ru-RU"/>
        </w:rPr>
        <w:t xml:space="preserve">), его использование позволяет уточнить, насколько «неблагоприятная» часть распределения доходностей влияет на итоговую риск-скорректированную оценку. Применительно к металлургическим активам значимые нисходящие движения котировок, обусловленные ухудшением сырьевой конъюнктуры, снижением спроса и изменением ожиданий по прибыли, указывают на повышенную вероятность эпизодов существенных потерь. В результате </w:t>
      </w:r>
      <w:proofErr w:type="spellStart"/>
      <w:r w:rsidRPr="004605F7">
        <w:rPr>
          <w:rFonts w:ascii="Times New Roman" w:hAnsi="Times New Roman" w:cs="Times New Roman"/>
          <w:sz w:val="28"/>
          <w:szCs w:val="28"/>
          <w:lang w:val="ru-RU"/>
        </w:rPr>
        <w:t>Sortino</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ratio</w:t>
      </w:r>
      <w:proofErr w:type="spellEnd"/>
      <w:r w:rsidRPr="004605F7">
        <w:rPr>
          <w:rFonts w:ascii="Times New Roman" w:hAnsi="Times New Roman" w:cs="Times New Roman"/>
          <w:sz w:val="28"/>
          <w:szCs w:val="28"/>
          <w:lang w:val="ru-RU"/>
        </w:rPr>
        <w:t xml:space="preserve"> подтверждает вывод о том, что основная проблематика риска связана не столько с симметричными колебаниями, сколько с выраженной подверженностью неблагоприятным сценариям</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25, с. 158]</w:t>
      </w:r>
      <w:r w:rsidRPr="004605F7">
        <w:rPr>
          <w:rFonts w:ascii="Times New Roman" w:hAnsi="Times New Roman" w:cs="Times New Roman"/>
          <w:sz w:val="28"/>
          <w:szCs w:val="28"/>
          <w:lang w:val="ru-RU"/>
        </w:rPr>
        <w:t>.</w:t>
      </w:r>
    </w:p>
    <w:p w:rsidR="00EC4086" w:rsidRPr="00205FD5" w:rsidRDefault="00EC4086" w:rsidP="00205FD5">
      <w:pPr>
        <w:pStyle w:val="a5"/>
        <w:numPr>
          <w:ilvl w:val="0"/>
          <w:numId w:val="19"/>
        </w:numPr>
        <w:tabs>
          <w:tab w:val="left" w:pos="993"/>
        </w:tabs>
        <w:spacing w:line="360" w:lineRule="auto"/>
        <w:ind w:left="0" w:firstLine="709"/>
        <w:contextualSpacing w:val="0"/>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Коэффициент </w:t>
      </w:r>
      <w:proofErr w:type="spellStart"/>
      <w:r w:rsidRPr="004605F7">
        <w:rPr>
          <w:rFonts w:ascii="Times New Roman" w:hAnsi="Times New Roman" w:cs="Times New Roman"/>
          <w:sz w:val="28"/>
          <w:szCs w:val="28"/>
          <w:lang w:val="ru-RU"/>
        </w:rPr>
        <w:t>Трейнора</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Treynor</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ratio</w:t>
      </w:r>
      <w:proofErr w:type="spellEnd"/>
      <w:r w:rsidRPr="004605F7">
        <w:rPr>
          <w:rFonts w:ascii="Times New Roman" w:hAnsi="Times New Roman" w:cs="Times New Roman"/>
          <w:sz w:val="28"/>
          <w:szCs w:val="28"/>
          <w:lang w:val="ru-RU"/>
        </w:rPr>
        <w:t xml:space="preserve">). Рассматривая доходность на единицу рыночного риска, данный индикатор позволяет оценить, какой вклад в результативность вносит систематическая компонента риска. Умеренные значения коэффициента </w:t>
      </w:r>
      <w:proofErr w:type="spellStart"/>
      <w:r w:rsidRPr="004605F7">
        <w:rPr>
          <w:rFonts w:ascii="Times New Roman" w:hAnsi="Times New Roman" w:cs="Times New Roman"/>
          <w:sz w:val="28"/>
          <w:szCs w:val="28"/>
          <w:lang w:val="ru-RU"/>
        </w:rPr>
        <w:t>Трейнора</w:t>
      </w:r>
      <w:proofErr w:type="spellEnd"/>
      <w:r w:rsidRPr="004605F7">
        <w:rPr>
          <w:rFonts w:ascii="Times New Roman" w:hAnsi="Times New Roman" w:cs="Times New Roman"/>
          <w:sz w:val="28"/>
          <w:szCs w:val="28"/>
          <w:lang w:val="ru-RU"/>
        </w:rPr>
        <w:t xml:space="preserve"> согласуются с предположением, что </w:t>
      </w:r>
      <w:r w:rsidRPr="004605F7">
        <w:rPr>
          <w:rFonts w:ascii="Times New Roman" w:hAnsi="Times New Roman" w:cs="Times New Roman"/>
          <w:sz w:val="28"/>
          <w:szCs w:val="28"/>
          <w:lang w:val="ru-RU"/>
        </w:rPr>
        <w:lastRenderedPageBreak/>
        <w:t>доходность фонда в значительной степени определяется общим движением рынка или сектора, а не устойчивым «избыточным» эффектом отбора активов. В прикладном смысле это приближает стратегию к отраслевой экспозиции, где ключевым источником результата выступает бета-эффект, а не специфическая компетенция активного управления.</w:t>
      </w:r>
    </w:p>
    <w:p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Метрики управления (Альфа Дженсена и Бета). Коэффициент Бета (</w:t>
      </w:r>
      <m:oMath>
        <m:r>
          <w:rPr>
            <w:rFonts w:ascii="Cambria Math" w:hAnsi="Cambria Math" w:cs="Times New Roman"/>
            <w:sz w:val="28"/>
            <w:szCs w:val="28"/>
            <w:lang w:val="ru-RU"/>
          </w:rPr>
          <m:t>beta</m:t>
        </m:r>
      </m:oMath>
      <w:r w:rsidRPr="004605F7">
        <w:rPr>
          <w:rFonts w:ascii="Times New Roman" w:hAnsi="Times New Roman" w:cs="Times New Roman"/>
          <w:sz w:val="28"/>
          <w:szCs w:val="28"/>
          <w:lang w:val="ru-RU"/>
        </w:rPr>
        <w:t xml:space="preserve">) используется для описания чувствительности портфеля к изменениям рыночного индекса и, следовательно, для выявления степени систематической зависимости результатов фонда от динамики бенчмарка. Для ключевых активов исторически наблюдаемый диапазон Бета составляет 0,86-1,06, вследствие чего совокупный </w:t>
      </w:r>
      <m:oMath>
        <m:r>
          <w:rPr>
            <w:rFonts w:ascii="Cambria Math" w:hAnsi="Cambria Math" w:cs="Times New Roman"/>
            <w:sz w:val="28"/>
            <w:szCs w:val="28"/>
            <w:lang w:val="ru-RU"/>
          </w:rPr>
          <m:t>be</m:t>
        </m:r>
      </m:oMath>
      <w:r w:rsidRPr="004605F7">
        <w:rPr>
          <w:rFonts w:ascii="Times New Roman" w:hAnsi="Times New Roman" w:cs="Times New Roman"/>
          <w:sz w:val="28"/>
          <w:szCs w:val="28"/>
          <w:lang w:val="ru-RU"/>
        </w:rPr>
        <w:t>-коэффициент фонда приближается к единице (</w:t>
      </w:r>
      <m:oMath>
        <m:r>
          <w:rPr>
            <w:rFonts w:ascii="Cambria Math" w:hAnsi="Times New Roman" w:cs="Times New Roman"/>
            <w:sz w:val="28"/>
            <w:szCs w:val="28"/>
            <w:lang w:val="ru-RU"/>
          </w:rPr>
          <m:t>β</m:t>
        </m:r>
        <m:r>
          <w:rPr>
            <w:rFonts w:ascii="Cambria Math" w:hAnsi="Times New Roman" w:cs="Times New Roman"/>
            <w:sz w:val="28"/>
            <w:szCs w:val="28"/>
            <w:lang w:val="ru-RU"/>
          </w:rPr>
          <m:t>*</m:t>
        </m:r>
        <m:r>
          <w:rPr>
            <w:rFonts w:ascii="Cambria Math" w:hAnsi="Times New Roman" w:cs="Times New Roman"/>
            <w:sz w:val="28"/>
            <w:szCs w:val="28"/>
            <w:lang w:val="ru-RU"/>
          </w:rPr>
          <m:t xml:space="preserve"> 1,0</m:t>
        </m:r>
      </m:oMath>
      <w:r w:rsidRPr="004605F7">
        <w:rPr>
          <w:rFonts w:ascii="Times New Roman" w:hAnsi="Times New Roman" w:cs="Times New Roman"/>
          <w:sz w:val="28"/>
          <w:szCs w:val="28"/>
          <w:lang w:val="ru-RU"/>
        </w:rPr>
        <w:t>). Такая конфигурация подразумевает, что портфель в среднем воспроизводит рыночные колебания и в ограниченной степени отклоняется от отраслевой динамики</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[20, с. 120]</w:t>
      </w:r>
      <w:r w:rsidRPr="004605F7">
        <w:rPr>
          <w:rFonts w:ascii="Times New Roman" w:hAnsi="Times New Roman" w:cs="Times New Roman"/>
          <w:sz w:val="28"/>
          <w:szCs w:val="28"/>
          <w:lang w:val="ru-RU"/>
        </w:rPr>
        <w:t xml:space="preserve">. </w:t>
      </w:r>
    </w:p>
    <w:p w:rsidR="00EC4086" w:rsidRPr="004605F7"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Метрика Альфа </w:t>
      </w:r>
      <w:proofErr w:type="spellStart"/>
      <w:r w:rsidRPr="004605F7">
        <w:rPr>
          <w:rFonts w:ascii="Times New Roman" w:hAnsi="Times New Roman" w:cs="Times New Roman"/>
          <w:sz w:val="28"/>
          <w:szCs w:val="28"/>
          <w:lang w:val="ru-RU"/>
        </w:rPr>
        <w:t>Дженсена</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Jensen’s</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Alpha</w:t>
      </w:r>
      <w:proofErr w:type="spellEnd"/>
      <w:r w:rsidRPr="004605F7">
        <w:rPr>
          <w:rFonts w:ascii="Times New Roman" w:hAnsi="Times New Roman" w:cs="Times New Roman"/>
          <w:sz w:val="28"/>
          <w:szCs w:val="28"/>
          <w:lang w:val="ru-RU"/>
        </w:rPr>
        <w:t xml:space="preserve">), ориентированная на оценку способности управляющего формировать результат сверх того, что объясняется систематическим риском, для данного фонда оказывается близкой к нулю с учетом комиссионных издержек. Это позволяет трактовать вклад активного управления как статистически и экономически ограниченный: дополнительные эффекты </w:t>
      </w:r>
      <w:proofErr w:type="spellStart"/>
      <w:r w:rsidRPr="004605F7">
        <w:rPr>
          <w:rFonts w:ascii="Times New Roman" w:hAnsi="Times New Roman" w:cs="Times New Roman"/>
          <w:sz w:val="28"/>
          <w:szCs w:val="28"/>
          <w:lang w:val="ru-RU"/>
        </w:rPr>
        <w:t>stock-picking</w:t>
      </w:r>
      <w:proofErr w:type="spellEnd"/>
      <w:r w:rsidRPr="004605F7">
        <w:rPr>
          <w:rFonts w:ascii="Times New Roman" w:hAnsi="Times New Roman" w:cs="Times New Roman"/>
          <w:sz w:val="28"/>
          <w:szCs w:val="28"/>
          <w:lang w:val="ru-RU"/>
        </w:rPr>
        <w:t xml:space="preserve"> не проявляются в виде устойчивой положительной альфы после учета затрат, сопровождающих управление</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[20, с. 135]</w:t>
      </w:r>
      <w:r w:rsidRPr="004605F7">
        <w:rPr>
          <w:rFonts w:ascii="Times New Roman" w:hAnsi="Times New Roman" w:cs="Times New Roman"/>
          <w:sz w:val="28"/>
          <w:szCs w:val="28"/>
          <w:lang w:val="ru-RU"/>
        </w:rPr>
        <w:t>.</w:t>
      </w:r>
    </w:p>
    <w:p w:rsidR="00EC4086" w:rsidRPr="004605F7"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Технические метрики. Ошибка слежения (</w:t>
      </w:r>
      <w:proofErr w:type="spellStart"/>
      <w:r w:rsidRPr="004605F7">
        <w:rPr>
          <w:rFonts w:ascii="Times New Roman" w:hAnsi="Times New Roman" w:cs="Times New Roman"/>
          <w:sz w:val="28"/>
          <w:szCs w:val="28"/>
          <w:lang w:val="ru-RU"/>
        </w:rPr>
        <w:t>Tracking</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Error</w:t>
      </w:r>
      <w:proofErr w:type="spellEnd"/>
      <w:r w:rsidRPr="004605F7">
        <w:rPr>
          <w:rFonts w:ascii="Times New Roman" w:hAnsi="Times New Roman" w:cs="Times New Roman"/>
          <w:sz w:val="28"/>
          <w:szCs w:val="28"/>
          <w:lang w:val="ru-RU"/>
        </w:rPr>
        <w:t>) для анализируемого фонда характеризуется низкими значениями, что эмпирически указывает на жесткую привязку структуры портфеля к отраслевому индексу и на ограниченную свободу отклонений в целях активной генерации альфы. Коэффициент детерминации (</w:t>
      </w:r>
      <m:oMath>
        <m:sSup>
          <m:sSupPr>
            <m:ctrlPr>
              <w:rPr>
                <w:rFonts w:ascii="Cambria Math" w:hAnsi="Times New Roman" w:cs="Times New Roman"/>
                <w:i/>
                <w:sz w:val="28"/>
                <w:szCs w:val="28"/>
                <w:lang w:val="ru-RU"/>
              </w:rPr>
            </m:ctrlPr>
          </m:sSupPr>
          <m:e>
            <m:r>
              <w:rPr>
                <w:rFonts w:ascii="Cambria Math" w:hAnsi="Cambria Math" w:cs="Times New Roman"/>
                <w:sz w:val="28"/>
                <w:szCs w:val="28"/>
                <w:lang w:val="ru-RU"/>
              </w:rPr>
              <m:t>R</m:t>
            </m:r>
          </m:e>
          <m:sup>
            <m:r>
              <w:rPr>
                <w:rFonts w:ascii="Cambria Math" w:hAnsi="Times New Roman" w:cs="Times New Roman"/>
                <w:sz w:val="28"/>
                <w:szCs w:val="28"/>
                <w:lang w:val="ru-RU"/>
              </w:rPr>
              <m:t>2</m:t>
            </m:r>
          </m:sup>
        </m:sSup>
      </m:oMath>
      <w:r w:rsidRPr="004605F7">
        <w:rPr>
          <w:rFonts w:ascii="Times New Roman" w:hAnsi="Times New Roman" w:cs="Times New Roman"/>
          <w:sz w:val="28"/>
          <w:szCs w:val="28"/>
          <w:lang w:val="ru-RU"/>
        </w:rPr>
        <w:t>) находи</w:t>
      </w:r>
      <w:r w:rsidR="004605F7">
        <w:rPr>
          <w:rFonts w:ascii="Times New Roman" w:hAnsi="Times New Roman" w:cs="Times New Roman"/>
          <w:sz w:val="28"/>
          <w:szCs w:val="28"/>
          <w:lang w:val="ru-RU"/>
        </w:rPr>
        <w:t xml:space="preserve">тся на </w:t>
      </w:r>
      <w:r w:rsidR="004605F7">
        <w:rPr>
          <w:rFonts w:ascii="Times New Roman" w:hAnsi="Times New Roman" w:cs="Times New Roman"/>
          <w:sz w:val="28"/>
          <w:szCs w:val="28"/>
          <w:lang w:val="ru-RU"/>
        </w:rPr>
        <w:lastRenderedPageBreak/>
        <w:t>высоком уровне (свыше 90%), что означает: более 90</w:t>
      </w:r>
      <w:r w:rsidRPr="004605F7">
        <w:rPr>
          <w:rFonts w:ascii="Times New Roman" w:hAnsi="Times New Roman" w:cs="Times New Roman"/>
          <w:sz w:val="28"/>
          <w:szCs w:val="28"/>
          <w:lang w:val="ru-RU"/>
        </w:rPr>
        <w:t>% вариации стоимости пая объясняется движениями металлургического сектора. Подобная комбинация низкого</w:t>
      </w:r>
      <w:r w:rsidR="004605F7">
        <w:rPr>
          <w:rFonts w:ascii="Times New Roman" w:hAnsi="Times New Roman" w:cs="Times New Roman"/>
          <w:sz w:val="28"/>
          <w:szCs w:val="28"/>
          <w:lang w:val="ru-RU"/>
        </w:rPr>
        <w:t xml:space="preserve"> </w:t>
      </w:r>
      <w:proofErr w:type="spellStart"/>
      <w:r w:rsidR="004605F7">
        <w:rPr>
          <w:rFonts w:ascii="Times New Roman" w:hAnsi="Times New Roman" w:cs="Times New Roman"/>
          <w:sz w:val="28"/>
          <w:szCs w:val="28"/>
          <w:lang w:val="ru-RU"/>
        </w:rPr>
        <w:t>Tracking</w:t>
      </w:r>
      <w:proofErr w:type="spellEnd"/>
      <w:r w:rsidR="004605F7">
        <w:rPr>
          <w:rFonts w:ascii="Times New Roman" w:hAnsi="Times New Roman" w:cs="Times New Roman"/>
          <w:sz w:val="28"/>
          <w:szCs w:val="28"/>
          <w:lang w:val="ru-RU"/>
        </w:rPr>
        <w:t xml:space="preserve"> </w:t>
      </w:r>
      <w:proofErr w:type="spellStart"/>
      <w:r w:rsidR="004605F7">
        <w:rPr>
          <w:rFonts w:ascii="Times New Roman" w:hAnsi="Times New Roman" w:cs="Times New Roman"/>
          <w:sz w:val="28"/>
          <w:szCs w:val="28"/>
          <w:lang w:val="ru-RU"/>
        </w:rPr>
        <w:t>Error</w:t>
      </w:r>
      <w:proofErr w:type="spellEnd"/>
      <w:r w:rsidR="004605F7">
        <w:rPr>
          <w:rFonts w:ascii="Times New Roman" w:hAnsi="Times New Roman" w:cs="Times New Roman"/>
          <w:sz w:val="28"/>
          <w:szCs w:val="28"/>
          <w:lang w:val="ru-RU"/>
        </w:rPr>
        <w:t xml:space="preserve"> и высокого R</w:t>
      </w:r>
      <w:r w:rsidR="004605F7" w:rsidRPr="004605F7">
        <w:rPr>
          <w:rFonts w:ascii="Times New Roman" w:hAnsi="Times New Roman" w:cs="Times New Roman"/>
          <w:sz w:val="28"/>
          <w:szCs w:val="28"/>
          <w:vertAlign w:val="superscript"/>
          <w:lang w:val="ru-RU"/>
        </w:rPr>
        <w:t>2</w:t>
      </w:r>
      <w:r w:rsidRPr="004605F7">
        <w:rPr>
          <w:rFonts w:ascii="Times New Roman" w:hAnsi="Times New Roman" w:cs="Times New Roman"/>
          <w:sz w:val="28"/>
          <w:szCs w:val="28"/>
          <w:lang w:val="ru-RU"/>
        </w:rPr>
        <w:t xml:space="preserve"> типична для </w:t>
      </w:r>
      <w:proofErr w:type="spellStart"/>
      <w:r w:rsidRPr="004605F7">
        <w:rPr>
          <w:rFonts w:ascii="Times New Roman" w:hAnsi="Times New Roman" w:cs="Times New Roman"/>
          <w:sz w:val="28"/>
          <w:szCs w:val="28"/>
          <w:lang w:val="ru-RU"/>
        </w:rPr>
        <w:t>квази</w:t>
      </w:r>
      <w:proofErr w:type="spellEnd"/>
      <w:r w:rsidRPr="004605F7">
        <w:rPr>
          <w:rFonts w:ascii="Times New Roman" w:hAnsi="Times New Roman" w:cs="Times New Roman"/>
          <w:sz w:val="28"/>
          <w:szCs w:val="28"/>
          <w:lang w:val="ru-RU"/>
        </w:rPr>
        <w:t xml:space="preserve">-пассивных или </w:t>
      </w:r>
      <w:proofErr w:type="spellStart"/>
      <w:r w:rsidRPr="004605F7">
        <w:rPr>
          <w:rFonts w:ascii="Times New Roman" w:hAnsi="Times New Roman" w:cs="Times New Roman"/>
          <w:sz w:val="28"/>
          <w:szCs w:val="28"/>
          <w:lang w:val="ru-RU"/>
        </w:rPr>
        <w:t>индексоподобных</w:t>
      </w:r>
      <w:proofErr w:type="spellEnd"/>
      <w:r w:rsidRPr="004605F7">
        <w:rPr>
          <w:rFonts w:ascii="Times New Roman" w:hAnsi="Times New Roman" w:cs="Times New Roman"/>
          <w:sz w:val="28"/>
          <w:szCs w:val="28"/>
          <w:lang w:val="ru-RU"/>
        </w:rPr>
        <w:t xml:space="preserve"> стратегий, где основная часть результата заранее задается секторной экспозицией, а не активными решениями по перераспределению риска между эмитентами</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22, с. 54]</w:t>
      </w:r>
      <w:r w:rsidRPr="004605F7">
        <w:rPr>
          <w:rFonts w:ascii="Times New Roman" w:hAnsi="Times New Roman" w:cs="Times New Roman"/>
          <w:sz w:val="28"/>
          <w:szCs w:val="28"/>
          <w:lang w:val="ru-RU"/>
        </w:rPr>
        <w:t>.</w:t>
      </w:r>
    </w:p>
    <w:p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Комплексная оценка финансово-экономического состояния и качества портфеля ОПИФ РФИ «ВИМ-Металлургия» в целом согласуется с выдвинутой исследовательской гипотезой. Расчет и интерпретация классических метрик (коэффициенты Шарпа, </w:t>
      </w:r>
      <w:proofErr w:type="spellStart"/>
      <w:r w:rsidRPr="004605F7">
        <w:rPr>
          <w:rFonts w:ascii="Times New Roman" w:hAnsi="Times New Roman" w:cs="Times New Roman"/>
          <w:sz w:val="28"/>
          <w:szCs w:val="28"/>
          <w:lang w:val="ru-RU"/>
        </w:rPr>
        <w:t>Трейнора</w:t>
      </w:r>
      <w:proofErr w:type="spellEnd"/>
      <w:r w:rsidRPr="004605F7">
        <w:rPr>
          <w:rFonts w:ascii="Times New Roman" w:hAnsi="Times New Roman" w:cs="Times New Roman"/>
          <w:sz w:val="28"/>
          <w:szCs w:val="28"/>
          <w:lang w:val="ru-RU"/>
        </w:rPr>
        <w:t>, Бета) позволяют описать преимущественно ретроспективную эффективность: фонд воспроизводит отраслевую и рыночную динамику, при этом риск-скорректированная премия за принимаемый специфический риск выглядит ограниченной</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[20, с. 110]</w:t>
      </w:r>
      <w:r w:rsidRPr="004605F7">
        <w:rPr>
          <w:rFonts w:ascii="Times New Roman" w:hAnsi="Times New Roman" w:cs="Times New Roman"/>
          <w:sz w:val="28"/>
          <w:szCs w:val="28"/>
          <w:lang w:val="ru-RU"/>
        </w:rPr>
        <w:t xml:space="preserve">. </w:t>
      </w:r>
    </w:p>
    <w:p w:rsidR="00EC4086" w:rsidRPr="004605F7"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В терминах портфельной теории это означает, что инвестор получает экспозицию к сектору с выраженной цикличностью, однако компенсация за концентрацию и высокую чувствительность к внешним шокам не выглядит достаточной при сопоставлении с альтернативами, имеющими более сбалансированный профиль риска.</w:t>
      </w:r>
    </w:p>
    <w:p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Проведенный фундаментальный анализ объектов инвестирования, в свою очередь, указывает на то, что внешне устойчивые рыночные траектории могут сочетаться с менее очевидными внутренними рисками эмитентов, включая долговую нагрузку, зависимость от экспортных рынков, колебания операционных маржин и уязвимость к регуляторным изменениям. </w:t>
      </w:r>
    </w:p>
    <w:p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В совокупности это подчеркивает важность интеграции классических портфельных метрик с процедурами фундаментальной диагностики: статистические показатели демонстрируют характер риска и степень </w:t>
      </w:r>
      <w:r w:rsidRPr="004605F7">
        <w:rPr>
          <w:rFonts w:ascii="Times New Roman" w:hAnsi="Times New Roman" w:cs="Times New Roman"/>
          <w:sz w:val="28"/>
          <w:szCs w:val="28"/>
          <w:lang w:val="ru-RU"/>
        </w:rPr>
        <w:lastRenderedPageBreak/>
        <w:t>«</w:t>
      </w:r>
      <w:proofErr w:type="spellStart"/>
      <w:r w:rsidRPr="004605F7">
        <w:rPr>
          <w:rFonts w:ascii="Times New Roman" w:hAnsi="Times New Roman" w:cs="Times New Roman"/>
          <w:sz w:val="28"/>
          <w:szCs w:val="28"/>
          <w:lang w:val="ru-RU"/>
        </w:rPr>
        <w:t>индексоподобности</w:t>
      </w:r>
      <w:proofErr w:type="spellEnd"/>
      <w:r w:rsidRPr="004605F7">
        <w:rPr>
          <w:rFonts w:ascii="Times New Roman" w:hAnsi="Times New Roman" w:cs="Times New Roman"/>
          <w:sz w:val="28"/>
          <w:szCs w:val="28"/>
          <w:lang w:val="ru-RU"/>
        </w:rPr>
        <w:t>» стратегии, тогда как фундаментальные данные позволяют уточнить природу возможных негативных сценариев на уровне отдельных компаний. В рамках такой связки становится более заметной избыточная концентрация портфеля и присутствие факторов, которые потенциально могут трансформироваться в угрозы для устойчивости ряда базовых эмитентов</w:t>
      </w:r>
      <w:r w:rsidR="00205FD5">
        <w:rPr>
          <w:rFonts w:ascii="Times New Roman" w:hAnsi="Times New Roman" w:cs="Times New Roman"/>
          <w:sz w:val="28"/>
          <w:szCs w:val="28"/>
          <w:lang w:val="ru-RU"/>
        </w:rPr>
        <w:t xml:space="preserve"> [11, с. 42</w:t>
      </w:r>
      <w:r w:rsidR="00205FD5" w:rsidRPr="00205FD5">
        <w:rPr>
          <w:rFonts w:ascii="Times New Roman" w:hAnsi="Times New Roman" w:cs="Times New Roman"/>
          <w:sz w:val="28"/>
          <w:szCs w:val="28"/>
          <w:lang w:val="ru-RU"/>
        </w:rPr>
        <w:t>]</w:t>
      </w:r>
      <w:r w:rsidRPr="004605F7">
        <w:rPr>
          <w:rFonts w:ascii="Times New Roman" w:hAnsi="Times New Roman" w:cs="Times New Roman"/>
          <w:sz w:val="28"/>
          <w:szCs w:val="28"/>
          <w:lang w:val="ru-RU"/>
        </w:rPr>
        <w:t xml:space="preserve">. </w:t>
      </w:r>
    </w:p>
    <w:p w:rsidR="00FE64C3"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Следовательно, формируется аргументированная необходимость ребалансировки, а также разработки практико-ориентированных рекомендаций, направленных на повышение качества риск-</w:t>
      </w:r>
      <w:proofErr w:type="spellStart"/>
      <w:r w:rsidRPr="004605F7">
        <w:rPr>
          <w:rFonts w:ascii="Times New Roman" w:hAnsi="Times New Roman" w:cs="Times New Roman"/>
          <w:sz w:val="28"/>
          <w:szCs w:val="28"/>
          <w:lang w:val="ru-RU"/>
        </w:rPr>
        <w:t>доходностного</w:t>
      </w:r>
      <w:proofErr w:type="spellEnd"/>
      <w:r w:rsidRPr="004605F7">
        <w:rPr>
          <w:rFonts w:ascii="Times New Roman" w:hAnsi="Times New Roman" w:cs="Times New Roman"/>
          <w:sz w:val="28"/>
          <w:szCs w:val="28"/>
          <w:lang w:val="ru-RU"/>
        </w:rPr>
        <w:t xml:space="preserve"> профиля, расширение диверсификации и снижение чувствительности к неблагоприятным фазам отраслевого цикла, что предполагается развить в последующей главе исследования.</w:t>
      </w:r>
      <w:r w:rsidR="00FE64C3">
        <w:rPr>
          <w:rFonts w:ascii="Times New Roman" w:hAnsi="Times New Roman" w:cs="Times New Roman"/>
          <w:sz w:val="28"/>
          <w:szCs w:val="28"/>
          <w:lang w:val="ru-RU"/>
        </w:rPr>
        <w:br w:type="page"/>
      </w:r>
    </w:p>
    <w:p w:rsidR="002C229C" w:rsidRPr="002C229C" w:rsidRDefault="002C229C" w:rsidP="00675B6A">
      <w:pPr>
        <w:pStyle w:val="1"/>
        <w:spacing w:before="0" w:after="0" w:line="360" w:lineRule="auto"/>
        <w:ind w:firstLine="709"/>
        <w:rPr>
          <w:lang w:val="ru-RU"/>
        </w:rPr>
      </w:pPr>
      <w:bookmarkStart w:id="10" w:name="_Toc230233419"/>
      <w:r w:rsidRPr="002C229C">
        <w:rPr>
          <w:lang w:val="ru-RU"/>
        </w:rPr>
        <w:lastRenderedPageBreak/>
        <w:t>Глава 3.</w:t>
      </w:r>
      <w:r w:rsidR="00A30C68">
        <w:rPr>
          <w:lang w:val="ru-RU"/>
        </w:rPr>
        <w:t xml:space="preserve"> Р</w:t>
      </w:r>
      <w:r w:rsidRPr="002C229C">
        <w:rPr>
          <w:lang w:val="ru-RU"/>
        </w:rPr>
        <w:t>азработка рекомендаций повышения качества инвестиционного портфеля ОПИФ РФИ «ВИМ-Металлургия»</w:t>
      </w:r>
      <w:bookmarkEnd w:id="10"/>
    </w:p>
    <w:p w:rsidR="002C229C" w:rsidRDefault="002C229C" w:rsidP="00675B6A">
      <w:pPr>
        <w:pStyle w:val="2"/>
        <w:spacing w:before="0" w:after="0" w:line="360" w:lineRule="auto"/>
        <w:ind w:firstLine="709"/>
        <w:rPr>
          <w:lang w:val="ru-RU"/>
        </w:rPr>
      </w:pPr>
      <w:bookmarkStart w:id="11" w:name="_Toc230233420"/>
      <w:r w:rsidRPr="002C229C">
        <w:rPr>
          <w:lang w:val="ru-RU"/>
        </w:rPr>
        <w:t>3.1. Рекомендации по повышению доходности портфеля</w:t>
      </w:r>
      <w:bookmarkEnd w:id="11"/>
    </w:p>
    <w:p w:rsidR="004605F7" w:rsidRPr="004605F7" w:rsidRDefault="004605F7" w:rsidP="004605F7">
      <w:pPr>
        <w:rPr>
          <w:lang w:val="ru-RU"/>
        </w:rPr>
      </w:pP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Основываясь на результатах комплексного фундаментального и финансового анализа, проведенного в аналитической части исследования, можно констатировать, что текущая структура инвестиционного портфеля ОПИФ РФИ «ВИМ-Металлургия» обладает рядом существенных дисбалансов, негативно влияющих на совокупную доходность и повышающих профиль риска. Несмотря на то, что ядром портфеля выступают финансово устойчивые корпорации черной металлургии (ПАО «Северсталь», ПАО «ММК»), портфель неоправданно отягощен активами с перманентно снижающейся маржинальностью и высоким уровнем финансового левериджа.</w:t>
      </w:r>
    </w:p>
    <w:p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Наиболее слабой позицией выступают ценные бумаги МКПАО «ЭН+ ГРУП», демонстрирующие опасный уровень долговой нагрузки. Показатель отношения чистого долга к EBITDA данного холдинга превышает предельные нормативные значения, что в условиях жесткой денежно-кредитной политики и высоких процентных ставок ведет к критическому сжатию чистой рентабельности</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25, с. 156]</w:t>
      </w:r>
      <w:r w:rsidRPr="002C229C">
        <w:rPr>
          <w:rFonts w:ascii="Times New Roman" w:hAnsi="Times New Roman" w:cs="Times New Roman"/>
          <w:color w:val="000000" w:themeColor="text1"/>
          <w:sz w:val="28"/>
          <w:szCs w:val="28"/>
          <w:lang w:val="ru-RU"/>
        </w:rPr>
        <w:t xml:space="preserve">. </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Аналогичным образом ПАО «ГМК «Норильский никель» в среднесрочной перспективе генерирует давление на доходность пая ввиду прохождения активной фазы капитальных затрат на фоне циклического падения мировых цен на корзину цветных металлов. Сохранение высокой концентрации капитала в данных активах экономически нецелесообразно. Для оптимизации финансовых результатов фонда существует строгая необходимость в тактической ребалансировке: сокращении доли или полном </w:t>
      </w:r>
      <w:r w:rsidRPr="002C229C">
        <w:rPr>
          <w:rFonts w:ascii="Times New Roman" w:hAnsi="Times New Roman" w:cs="Times New Roman"/>
          <w:color w:val="000000" w:themeColor="text1"/>
          <w:sz w:val="28"/>
          <w:szCs w:val="28"/>
          <w:lang w:val="ru-RU"/>
        </w:rPr>
        <w:lastRenderedPageBreak/>
        <w:t xml:space="preserve">исключении фундаментально слабых и </w:t>
      </w:r>
      <w:proofErr w:type="spellStart"/>
      <w:r w:rsidRPr="002C229C">
        <w:rPr>
          <w:rFonts w:ascii="Times New Roman" w:hAnsi="Times New Roman" w:cs="Times New Roman"/>
          <w:color w:val="000000" w:themeColor="text1"/>
          <w:sz w:val="28"/>
          <w:szCs w:val="28"/>
          <w:lang w:val="ru-RU"/>
        </w:rPr>
        <w:t>закредитованных</w:t>
      </w:r>
      <w:proofErr w:type="spellEnd"/>
      <w:r w:rsidRPr="002C229C">
        <w:rPr>
          <w:rFonts w:ascii="Times New Roman" w:hAnsi="Times New Roman" w:cs="Times New Roman"/>
          <w:color w:val="000000" w:themeColor="text1"/>
          <w:sz w:val="28"/>
          <w:szCs w:val="28"/>
          <w:lang w:val="ru-RU"/>
        </w:rPr>
        <w:t xml:space="preserve"> компаний</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[14, с. 180]</w:t>
      </w:r>
      <w:r w:rsidRPr="002C229C">
        <w:rPr>
          <w:rFonts w:ascii="Times New Roman" w:hAnsi="Times New Roman" w:cs="Times New Roman"/>
          <w:color w:val="000000" w:themeColor="text1"/>
          <w:sz w:val="28"/>
          <w:szCs w:val="28"/>
          <w:lang w:val="ru-RU"/>
        </w:rPr>
        <w:t>.</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В качестве эффективной меры по улучшению качества и доходности инвестиционного портфеля предлагается замещение высвободившегося капитала акциями компаний золотодобывающего сегмента. Для включения в структуру ОПИФ предлагаются бумаги абсолютного лидера отечественной отрасли ПАО «Полюс», а также перспективные акции растущих компаний второго эшелона — ПАО «ЮГК» (Южуралзолото) и ПАО «</w:t>
      </w:r>
      <w:proofErr w:type="spellStart"/>
      <w:r w:rsidRPr="002C229C">
        <w:rPr>
          <w:rFonts w:ascii="Times New Roman" w:hAnsi="Times New Roman" w:cs="Times New Roman"/>
          <w:color w:val="000000" w:themeColor="text1"/>
          <w:sz w:val="28"/>
          <w:szCs w:val="28"/>
          <w:lang w:val="ru-RU"/>
        </w:rPr>
        <w:t>Селигдар</w:t>
      </w:r>
      <w:proofErr w:type="spellEnd"/>
      <w:r w:rsidRPr="002C229C">
        <w:rPr>
          <w:rFonts w:ascii="Times New Roman" w:hAnsi="Times New Roman" w:cs="Times New Roman"/>
          <w:color w:val="000000" w:themeColor="text1"/>
          <w:sz w:val="28"/>
          <w:szCs w:val="28"/>
          <w:lang w:val="ru-RU"/>
        </w:rPr>
        <w:t>». Интеграция данных эмитентов позволит сохранить формальную принадлежность ПИФа к металлургическому и горнодобывающему сектору в строгом соответствии с инвестиционной декларацией фонда, однако при этом качественно изменит его внутреннюю структуру и профиль риска</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[11, с. 90]</w:t>
      </w:r>
      <w:r w:rsidRPr="002C229C">
        <w:rPr>
          <w:rFonts w:ascii="Times New Roman" w:hAnsi="Times New Roman" w:cs="Times New Roman"/>
          <w:color w:val="000000" w:themeColor="text1"/>
          <w:sz w:val="28"/>
          <w:szCs w:val="28"/>
          <w:lang w:val="ru-RU"/>
        </w:rPr>
        <w:t>.</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Аргументация выбора указанных предприятий базируется на результатах финансового анализа и макроэкономической специфике золотодобывающего бизнеса. Исторически и эмпирически доказано, что инвестирование в драгоценные металлы выступает мощным инструментом диверсификации. Корреляция между ценами на сырьевое золото и классическими фондовыми индексами или котировками промышленных металлов традиционно невысока. Ценным бумагам золотодобывающих компа</w:t>
      </w:r>
      <w:r w:rsidR="004605F7">
        <w:rPr>
          <w:rFonts w:ascii="Times New Roman" w:hAnsi="Times New Roman" w:cs="Times New Roman"/>
          <w:color w:val="000000" w:themeColor="text1"/>
          <w:sz w:val="28"/>
          <w:szCs w:val="28"/>
          <w:lang w:val="ru-RU"/>
        </w:rPr>
        <w:t xml:space="preserve">ний присущ низкий коэффициент </w:t>
      </w:r>
      <m:oMath>
        <m:r>
          <w:rPr>
            <w:rFonts w:ascii="Cambria Math" w:hAnsi="Cambria Math" w:cs="Times New Roman"/>
            <w:color w:val="000000" w:themeColor="text1"/>
            <w:sz w:val="28"/>
            <w:szCs w:val="28"/>
            <w:lang w:val="ru-RU"/>
          </w:rPr>
          <m:t>β</m:t>
        </m:r>
      </m:oMath>
      <w:r w:rsidRPr="002C229C">
        <w:rPr>
          <w:rFonts w:ascii="Times New Roman" w:hAnsi="Times New Roman" w:cs="Times New Roman"/>
          <w:color w:val="000000" w:themeColor="text1"/>
          <w:sz w:val="28"/>
          <w:szCs w:val="28"/>
          <w:lang w:val="ru-RU"/>
        </w:rPr>
        <w:t>, что означает их малую чувствительность к общерыночным экономическим шокам и подтверждает их статус надежного защитного актива. В условиях турбулентности фондовых рынков именно такие инструменты позволяют фондам избегать глубоких просадок стоимости чистых активов.</w:t>
      </w:r>
    </w:p>
    <w:p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Краткий фундаментальный анализ ПАО «Полюс» демонстрирует эталонную инвестиционную привлекательность: компания генерирует стабильный рост объемов добычи, а исторические темпы роста производства </w:t>
      </w:r>
      <w:r w:rsidRPr="002C229C">
        <w:rPr>
          <w:rFonts w:ascii="Times New Roman" w:hAnsi="Times New Roman" w:cs="Times New Roman"/>
          <w:color w:val="000000" w:themeColor="text1"/>
          <w:sz w:val="28"/>
          <w:szCs w:val="28"/>
          <w:lang w:val="ru-RU"/>
        </w:rPr>
        <w:lastRenderedPageBreak/>
        <w:t>превышали 31% в рамках пятилетних циклов. Рентабельность собственного капитала ПАО «Полюс» стабильно удерживается на выдающемся уровне около 24%, что обусловлено благоприятной конъюнктурой на рынке драгметаллов и беспрецедентно жестким контролем над операционными издержками (компания обладает одними из самых низких совокупных денежных затрат на унцию в мире)</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[20, с. 78]</w:t>
      </w:r>
      <w:r w:rsidRPr="002C229C">
        <w:rPr>
          <w:rFonts w:ascii="Times New Roman" w:hAnsi="Times New Roman" w:cs="Times New Roman"/>
          <w:color w:val="000000" w:themeColor="text1"/>
          <w:sz w:val="28"/>
          <w:szCs w:val="28"/>
          <w:lang w:val="ru-RU"/>
        </w:rPr>
        <w:t xml:space="preserve">. </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Уровень ликвидности ПАО «Полюс», ПАО «ЮГК» и ПАО «</w:t>
      </w:r>
      <w:proofErr w:type="spellStart"/>
      <w:r w:rsidRPr="002C229C">
        <w:rPr>
          <w:rFonts w:ascii="Times New Roman" w:hAnsi="Times New Roman" w:cs="Times New Roman"/>
          <w:color w:val="000000" w:themeColor="text1"/>
          <w:sz w:val="28"/>
          <w:szCs w:val="28"/>
          <w:lang w:val="ru-RU"/>
        </w:rPr>
        <w:t>Селигдар</w:t>
      </w:r>
      <w:proofErr w:type="spellEnd"/>
      <w:r w:rsidRPr="002C229C">
        <w:rPr>
          <w:rFonts w:ascii="Times New Roman" w:hAnsi="Times New Roman" w:cs="Times New Roman"/>
          <w:color w:val="000000" w:themeColor="text1"/>
          <w:sz w:val="28"/>
          <w:szCs w:val="28"/>
          <w:lang w:val="ru-RU"/>
        </w:rPr>
        <w:t xml:space="preserve">» оценивается как высокий благодаря непрерывной генерации свободного денежного потока от реализации золота. Риск банкротства данных предприятий, согласно классическим дискриминантным моделям Альтмана и </w:t>
      </w:r>
      <w:proofErr w:type="spellStart"/>
      <w:r w:rsidRPr="002C229C">
        <w:rPr>
          <w:rFonts w:ascii="Times New Roman" w:hAnsi="Times New Roman" w:cs="Times New Roman"/>
          <w:color w:val="000000" w:themeColor="text1"/>
          <w:sz w:val="28"/>
          <w:szCs w:val="28"/>
          <w:lang w:val="ru-RU"/>
        </w:rPr>
        <w:t>Таффлера</w:t>
      </w:r>
      <w:proofErr w:type="spellEnd"/>
      <w:r w:rsidRPr="002C229C">
        <w:rPr>
          <w:rFonts w:ascii="Times New Roman" w:hAnsi="Times New Roman" w:cs="Times New Roman"/>
          <w:color w:val="000000" w:themeColor="text1"/>
          <w:sz w:val="28"/>
          <w:szCs w:val="28"/>
          <w:lang w:val="ru-RU"/>
        </w:rPr>
        <w:t>, стремится к нулю. Дополнительным фактором привлекательности выступает активное освоение предприятиями новых месторождений, что гарантирует органический рост бизнеса в долгосрочной перспективе.</w:t>
      </w:r>
    </w:p>
    <w:p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Ожидаемый финансово-экономический эффект от реализации предложенного маневра носит комплексный синергетический характер. </w:t>
      </w:r>
    </w:p>
    <w:p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Во-первых, замена </w:t>
      </w:r>
      <w:proofErr w:type="spellStart"/>
      <w:r w:rsidRPr="002C229C">
        <w:rPr>
          <w:rFonts w:ascii="Times New Roman" w:hAnsi="Times New Roman" w:cs="Times New Roman"/>
          <w:color w:val="000000" w:themeColor="text1"/>
          <w:sz w:val="28"/>
          <w:szCs w:val="28"/>
          <w:lang w:val="ru-RU"/>
        </w:rPr>
        <w:t>закредитованных</w:t>
      </w:r>
      <w:proofErr w:type="spellEnd"/>
      <w:r w:rsidRPr="002C229C">
        <w:rPr>
          <w:rFonts w:ascii="Times New Roman" w:hAnsi="Times New Roman" w:cs="Times New Roman"/>
          <w:color w:val="000000" w:themeColor="text1"/>
          <w:sz w:val="28"/>
          <w:szCs w:val="28"/>
          <w:lang w:val="ru-RU"/>
        </w:rPr>
        <w:t xml:space="preserve"> активов на финансово устойчивых золотодобытчиков автоматически приведет к снижению средневзвешенной долговой нагрузки по всему инвестиционному портфелю фонда, повысив его совокупную автономность и платежеспособность. </w:t>
      </w:r>
    </w:p>
    <w:p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Во-вторых, высокая маржинальность золотодобывающего сектора напрямую транслируется в повышение интегрированного показателя рентабельности портфеля, что выступает фундаментальным драйвером долгосрочного роста стоимости чистых активов. </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В-третьих, включение защитных бумаг стабилизирует дисперсию фонда. В периоды циклических спадов мировых цен на сталь или алюминий, рост курсовой стоимости золота будет компенсировать убытки промышленных металлургов. Таким образом, активное управление </w:t>
      </w:r>
      <w:r w:rsidRPr="002C229C">
        <w:rPr>
          <w:rFonts w:ascii="Times New Roman" w:hAnsi="Times New Roman" w:cs="Times New Roman"/>
          <w:color w:val="000000" w:themeColor="text1"/>
          <w:sz w:val="28"/>
          <w:szCs w:val="28"/>
          <w:lang w:val="ru-RU"/>
        </w:rPr>
        <w:lastRenderedPageBreak/>
        <w:t>структурой и смещение фокуса в пользу драгоценных металлов позволит управляющему улучшить ключевые коэффициенты эффективности, преодолеть доходность бенчмарка и обеспечить пайщикам защиту капитала при сохранении высокой целевой доходности</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[24, с. 301]</w:t>
      </w:r>
      <w:r w:rsidRPr="002C229C">
        <w:rPr>
          <w:rFonts w:ascii="Times New Roman" w:hAnsi="Times New Roman" w:cs="Times New Roman"/>
          <w:color w:val="000000" w:themeColor="text1"/>
          <w:sz w:val="28"/>
          <w:szCs w:val="28"/>
          <w:lang w:val="ru-RU"/>
        </w:rPr>
        <w:t>.</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proofErr w:type="gramStart"/>
      <w:r w:rsidRPr="002C229C">
        <w:rPr>
          <w:rFonts w:ascii="Times New Roman" w:hAnsi="Times New Roman" w:cs="Times New Roman"/>
          <w:color w:val="000000" w:themeColor="text1"/>
          <w:sz w:val="28"/>
          <w:szCs w:val="28"/>
          <w:lang w:val="ru-RU"/>
        </w:rPr>
        <w:t>Для всесторонней и объективной оценки эффективности</w:t>
      </w:r>
      <w:proofErr w:type="gramEnd"/>
      <w:r w:rsidRPr="002C229C">
        <w:rPr>
          <w:rFonts w:ascii="Times New Roman" w:hAnsi="Times New Roman" w:cs="Times New Roman"/>
          <w:color w:val="000000" w:themeColor="text1"/>
          <w:sz w:val="28"/>
          <w:szCs w:val="28"/>
          <w:lang w:val="ru-RU"/>
        </w:rPr>
        <w:t xml:space="preserve"> предложенной ребалансировки инвестиционного портфеля необходимо применение методов сценарного моделирования и стресс-тестирования. В современной финансовой науке сценарный анализ выступает обязательным инструментом стратегического планирования, позволяющим оценить потенциальное поведение активов при различных вариантах изменения ключевых макроэкономических параметров: динамики мировых цен на сырье, уровня инфляции, ключевой ставки Центрального банка и валютных курсов</w:t>
      </w:r>
      <w:r w:rsidR="00675B6A">
        <w:rPr>
          <w:rFonts w:ascii="Times New Roman" w:hAnsi="Times New Roman" w:cs="Times New Roman"/>
          <w:color w:val="000000" w:themeColor="text1"/>
          <w:sz w:val="28"/>
          <w:szCs w:val="28"/>
          <w:lang w:val="ru-RU"/>
        </w:rPr>
        <w:t xml:space="preserve"> [7, с. 112</w:t>
      </w:r>
      <w:r w:rsidR="00675B6A" w:rsidRPr="00675B6A">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 В данном блоке проведено концептуальное моделирование обновленного портфеля, в котором ядро из предприятий черной и цветной металлургии диверсифицировано акциями золотодобывающего сегмента и смежных отраслей, в условиях трех вероятных макроэкономических сценариев</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[25, с. 120]</w:t>
      </w:r>
      <w:r w:rsidRPr="002C229C">
        <w:rPr>
          <w:rFonts w:ascii="Times New Roman" w:hAnsi="Times New Roman" w:cs="Times New Roman"/>
          <w:color w:val="000000" w:themeColor="text1"/>
          <w:sz w:val="28"/>
          <w:szCs w:val="28"/>
          <w:lang w:val="ru-RU"/>
        </w:rPr>
        <w:t>.</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Пессимистичный сценарий (Стресс-тест). Данный сценарий предполагает резкое ухудшение глобальной экономической конъюнктуры, наступление глубокой мировой рецессии, существенное замедление темпов промышленного производства в странах Азиатско-Тихоокеанского региона и, как следствие, обвальное падение мировых цен на сталь, железную руду и цветные металлы. В подобных стрессовых условиях оригинальный, узкоотраслевой состав ОПИФ РФИ «ВИМ-Металлургия» неизбежно продемонстрировал бы критическую максимальную просадку, поскольку все акции внутри фонда имеют положительную корреляцию и обесцениваются синхронно.</w:t>
      </w:r>
    </w:p>
    <w:p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lastRenderedPageBreak/>
        <w:t xml:space="preserve">Однако оптимизированный портфель обладает встроенным структурным механизмом защиты. Включение в состав активов крупнейших золотодобывающих компаний радикально меняет профиль риска. Золото исторически выполняет функцию </w:t>
      </w:r>
      <w:proofErr w:type="spellStart"/>
      <w:r w:rsidRPr="002C229C">
        <w:rPr>
          <w:rFonts w:ascii="Times New Roman" w:hAnsi="Times New Roman" w:cs="Times New Roman"/>
          <w:color w:val="000000" w:themeColor="text1"/>
          <w:sz w:val="28"/>
          <w:szCs w:val="28"/>
          <w:lang w:val="ru-RU"/>
        </w:rPr>
        <w:t>контрцикличного</w:t>
      </w:r>
      <w:proofErr w:type="spellEnd"/>
      <w:r w:rsidRPr="002C229C">
        <w:rPr>
          <w:rFonts w:ascii="Times New Roman" w:hAnsi="Times New Roman" w:cs="Times New Roman"/>
          <w:color w:val="000000" w:themeColor="text1"/>
          <w:sz w:val="28"/>
          <w:szCs w:val="28"/>
          <w:lang w:val="ru-RU"/>
        </w:rPr>
        <w:t xml:space="preserve"> актива. В периоды глобальных рецессий, всплесков геополитической напряженности и падения фондовых рынков капитал институциональных и частных инвесторов массово перетекает в драгоценные металлы, что стимулирует экспоненциальный рост их котировок</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[11, с. 156]</w:t>
      </w:r>
      <w:r w:rsidRPr="002C229C">
        <w:rPr>
          <w:rFonts w:ascii="Times New Roman" w:hAnsi="Times New Roman" w:cs="Times New Roman"/>
          <w:color w:val="000000" w:themeColor="text1"/>
          <w:sz w:val="28"/>
          <w:szCs w:val="28"/>
          <w:lang w:val="ru-RU"/>
        </w:rPr>
        <w:t xml:space="preserve">. </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Соответственно, рост курсовой стоимости акций золотодобытчиков математически компенсирует убытки от отрицательной переоценки промышленных металлургических активов. Благодаря этому эффекту обратной корреляции просадка оптимизированного портфеля будет существенно меньше, чем у бенчмарка, и останется в рамках допустимого риск-лимита, защищая сбережения пайщиков от невосполнимых потерь.</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Базовый сценарий. Данный вариант развития макроэкономической ситуации характеризуется длительной стагнацией на глобальных сырьевых рынках, сохранением умеренно-высокого уровня инфляционного давления и поддержанием жесткой денежно-кредитной политики с высокими процентными ставками со стороны регулятора. В условиях дорогого заемного капитала компании с высокой долговой нагрузкой сталкиваются с критическим снижением чистой прибыли из-за опережающего роста процентных расходов на обслуживание корпоративного долга.</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 противовес этому оптимизированный инвестиционный портфель сформирован исключительно из фундаментально устойчивых предприятий. Компании черной металлургии, такие как ПАО «Северсталь» и ПАО «ММК», обладают значительными запасами аккумулированной ликвидности и отрицательным чистым долгом. Данная структура баланса делает их </w:t>
      </w:r>
      <w:r w:rsidRPr="002C229C">
        <w:rPr>
          <w:rFonts w:ascii="Times New Roman" w:hAnsi="Times New Roman" w:cs="Times New Roman"/>
          <w:color w:val="000000" w:themeColor="text1"/>
          <w:sz w:val="28"/>
          <w:szCs w:val="28"/>
          <w:lang w:val="ru-RU"/>
        </w:rPr>
        <w:lastRenderedPageBreak/>
        <w:t>невосприимчивыми к высоким ставкам кредитования, а размещение свободных денежных средств на депозитах приносит им дополнительный процентный доход. Совместно с производителями минеральных удобрений, спрос на продукцию которых неэластичен и стабилен независимо от фазы промышленного цикла, данные предприятия способны генерировать мощный свободный денежный поток. Это обеспечит портфелю стабильные и высокие дивидендные выплаты, совокупный размер которых гарантированно превысит текущий уровень инфляции, обеспечивая вкладчикам фонда положительную реальную доходность даже при отсутствии ярко выраженного рыночного роста котировок</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[30, с. 22]</w:t>
      </w:r>
      <w:r w:rsidRPr="002C229C">
        <w:rPr>
          <w:rFonts w:ascii="Times New Roman" w:hAnsi="Times New Roman" w:cs="Times New Roman"/>
          <w:color w:val="000000" w:themeColor="text1"/>
          <w:sz w:val="28"/>
          <w:szCs w:val="28"/>
          <w:lang w:val="ru-RU"/>
        </w:rPr>
        <w:t>.</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Оптимистичный сценарий. Сценарий экономического роста базируется на предпосылках зарождения нового сырьевого </w:t>
      </w:r>
      <w:proofErr w:type="spellStart"/>
      <w:r w:rsidRPr="002C229C">
        <w:rPr>
          <w:rFonts w:ascii="Times New Roman" w:hAnsi="Times New Roman" w:cs="Times New Roman"/>
          <w:color w:val="000000" w:themeColor="text1"/>
          <w:sz w:val="28"/>
          <w:szCs w:val="28"/>
          <w:lang w:val="ru-RU"/>
        </w:rPr>
        <w:t>суперцикла</w:t>
      </w:r>
      <w:proofErr w:type="spellEnd"/>
      <w:r w:rsidRPr="002C229C">
        <w:rPr>
          <w:rFonts w:ascii="Times New Roman" w:hAnsi="Times New Roman" w:cs="Times New Roman"/>
          <w:color w:val="000000" w:themeColor="text1"/>
          <w:sz w:val="28"/>
          <w:szCs w:val="28"/>
          <w:lang w:val="ru-RU"/>
        </w:rPr>
        <w:t xml:space="preserve">, масштабного восстановления глобальных логистических цепочек, оживления мировой промышленности и умеренного ослабления курса национальной валюты. Ослабление рубля традиционно выступает мощным катализатором роста для </w:t>
      </w:r>
      <w:proofErr w:type="spellStart"/>
      <w:r w:rsidRPr="002C229C">
        <w:rPr>
          <w:rFonts w:ascii="Times New Roman" w:hAnsi="Times New Roman" w:cs="Times New Roman"/>
          <w:color w:val="000000" w:themeColor="text1"/>
          <w:sz w:val="28"/>
          <w:szCs w:val="28"/>
          <w:lang w:val="ru-RU"/>
        </w:rPr>
        <w:t>экспортно</w:t>
      </w:r>
      <w:proofErr w:type="spellEnd"/>
      <w:r w:rsidRPr="002C229C">
        <w:rPr>
          <w:rFonts w:ascii="Times New Roman" w:hAnsi="Times New Roman" w:cs="Times New Roman"/>
          <w:color w:val="000000" w:themeColor="text1"/>
          <w:sz w:val="28"/>
          <w:szCs w:val="28"/>
          <w:lang w:val="ru-RU"/>
        </w:rPr>
        <w:t xml:space="preserve"> ориентированной российской экономики, кратно увеличивая рублевую выручку корпораций и разгоняя их </w:t>
      </w:r>
      <w:proofErr w:type="spellStart"/>
      <w:r w:rsidRPr="002C229C">
        <w:rPr>
          <w:rFonts w:ascii="Times New Roman" w:hAnsi="Times New Roman" w:cs="Times New Roman"/>
          <w:color w:val="000000" w:themeColor="text1"/>
          <w:sz w:val="28"/>
          <w:szCs w:val="28"/>
          <w:lang w:val="ru-RU"/>
        </w:rPr>
        <w:t>маржинальность</w:t>
      </w:r>
      <w:proofErr w:type="spellEnd"/>
      <w:r w:rsidR="0094314F">
        <w:rPr>
          <w:rFonts w:ascii="Times New Roman" w:hAnsi="Times New Roman" w:cs="Times New Roman"/>
          <w:color w:val="000000" w:themeColor="text1"/>
          <w:sz w:val="28"/>
          <w:szCs w:val="28"/>
          <w:lang w:val="ru-RU"/>
        </w:rPr>
        <w:t xml:space="preserve"> [20, с. 110</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 данной фазе экономического цикла оптимизированный портфель в полной мере реализует свой огромный потенциал доходности. Базовые активы черной, цветной металлургии и химической промышленности обеспечат максимизацию чистой прибыли. Интегрированная конфигурация портфеля позволит ему продемонстрировать высокую чувствительность к растущему рынку, абсорбируя весь восходящий тренд Индекса </w:t>
      </w:r>
      <w:proofErr w:type="spellStart"/>
      <w:r w:rsidRPr="002C229C">
        <w:rPr>
          <w:rFonts w:ascii="Times New Roman" w:hAnsi="Times New Roman" w:cs="Times New Roman"/>
          <w:color w:val="000000" w:themeColor="text1"/>
          <w:sz w:val="28"/>
          <w:szCs w:val="28"/>
          <w:lang w:val="ru-RU"/>
        </w:rPr>
        <w:t>МосБиржи</w:t>
      </w:r>
      <w:proofErr w:type="spellEnd"/>
      <w:r w:rsidRPr="002C229C">
        <w:rPr>
          <w:rFonts w:ascii="Times New Roman" w:hAnsi="Times New Roman" w:cs="Times New Roman"/>
          <w:color w:val="000000" w:themeColor="text1"/>
          <w:sz w:val="28"/>
          <w:szCs w:val="28"/>
          <w:lang w:val="ru-RU"/>
        </w:rPr>
        <w:t xml:space="preserve">. При этом за счет предварительного отсева фундаментально слабых эмитентов и грамотного выбора наиболее рентабельных лидеров рынка, управляющий фондом сможет сгенерировать высокую избыточную доходность (Альфу </w:t>
      </w:r>
      <w:proofErr w:type="spellStart"/>
      <w:r w:rsidRPr="002C229C">
        <w:rPr>
          <w:rFonts w:ascii="Times New Roman" w:hAnsi="Times New Roman" w:cs="Times New Roman"/>
          <w:color w:val="000000" w:themeColor="text1"/>
          <w:sz w:val="28"/>
          <w:szCs w:val="28"/>
          <w:lang w:val="ru-RU"/>
        </w:rPr>
        <w:t>Дженсена</w:t>
      </w:r>
      <w:proofErr w:type="spellEnd"/>
      <w:r w:rsidRPr="002C229C">
        <w:rPr>
          <w:rFonts w:ascii="Times New Roman" w:hAnsi="Times New Roman" w:cs="Times New Roman"/>
          <w:color w:val="000000" w:themeColor="text1"/>
          <w:sz w:val="28"/>
          <w:szCs w:val="28"/>
          <w:lang w:val="ru-RU"/>
        </w:rPr>
        <w:t>, \</w:t>
      </w:r>
      <w:proofErr w:type="spellStart"/>
      <w:r w:rsidRPr="002C229C">
        <w:rPr>
          <w:rFonts w:ascii="Times New Roman" w:hAnsi="Times New Roman" w:cs="Times New Roman"/>
          <w:color w:val="000000" w:themeColor="text1"/>
          <w:sz w:val="28"/>
          <w:szCs w:val="28"/>
          <w:lang w:val="ru-RU"/>
        </w:rPr>
        <w:t>alpha</w:t>
      </w:r>
      <w:proofErr w:type="spellEnd"/>
      <w:r w:rsidRPr="002C229C">
        <w:rPr>
          <w:rFonts w:ascii="Times New Roman" w:hAnsi="Times New Roman" w:cs="Times New Roman"/>
          <w:color w:val="000000" w:themeColor="text1"/>
          <w:sz w:val="28"/>
          <w:szCs w:val="28"/>
          <w:lang w:val="ru-RU"/>
        </w:rPr>
        <w:t xml:space="preserve">), существенно обогнав пассивный отраслевой бенчмарк по </w:t>
      </w:r>
      <w:r w:rsidRPr="002C229C">
        <w:rPr>
          <w:rFonts w:ascii="Times New Roman" w:hAnsi="Times New Roman" w:cs="Times New Roman"/>
          <w:color w:val="000000" w:themeColor="text1"/>
          <w:sz w:val="28"/>
          <w:szCs w:val="28"/>
          <w:lang w:val="ru-RU"/>
        </w:rPr>
        <w:lastRenderedPageBreak/>
        <w:t>показателям чистой доходности за вычетом инфраструктурных комиссий</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13, с. 120]</w:t>
      </w:r>
      <w:r w:rsidRPr="002C229C">
        <w:rPr>
          <w:rFonts w:ascii="Times New Roman" w:hAnsi="Times New Roman" w:cs="Times New Roman"/>
          <w:color w:val="000000" w:themeColor="text1"/>
          <w:sz w:val="28"/>
          <w:szCs w:val="28"/>
          <w:lang w:val="ru-RU"/>
        </w:rPr>
        <w:t>.</w:t>
      </w:r>
    </w:p>
    <w:p w:rsid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Резюмируя проведенное сценарное моделирование, можно с уверенностью утверждать, что предложенная оптимизация трансформирует уязвимый отраслевой фонд в стратегически сбалансированный инвестиционный инструмент институционального уровня. Сокращение концентрации в одном сегменте и внедрение защитных активов делают обновленный портфель устойчивым к любым макроэкономическим шокам. Интегрированная структура позволяет фонду эффективно минимизировать убытки в фазах рецессии, защищать капитал от инфляционного обесценения за счет дивидендных потоков в периоды стагнации и генерировать избыточную альфа-доходность на этапах экономического подъема, эмпирически подтверждая целесообразность активного фундаментального управления капиталом.</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p>
    <w:p w:rsidR="002C229C" w:rsidRDefault="002C229C" w:rsidP="004605F7">
      <w:pPr>
        <w:pStyle w:val="2"/>
        <w:spacing w:before="0" w:after="0" w:line="360" w:lineRule="auto"/>
        <w:rPr>
          <w:lang w:val="ru-RU"/>
        </w:rPr>
      </w:pPr>
      <w:bookmarkStart w:id="12" w:name="_Toc230233421"/>
      <w:r w:rsidRPr="002C229C">
        <w:rPr>
          <w:lang w:val="ru-RU"/>
        </w:rPr>
        <w:t>3.2. Рекомендации по диверсификации портфеля</w:t>
      </w:r>
      <w:bookmarkEnd w:id="12"/>
    </w:p>
    <w:p w:rsidR="002C229C" w:rsidRPr="002C229C" w:rsidRDefault="002C229C" w:rsidP="004605F7">
      <w:pPr>
        <w:spacing w:line="360" w:lineRule="auto"/>
        <w:jc w:val="both"/>
        <w:rPr>
          <w:rFonts w:ascii="Times New Roman" w:hAnsi="Times New Roman" w:cs="Times New Roman"/>
          <w:color w:val="000000" w:themeColor="text1"/>
          <w:sz w:val="28"/>
          <w:szCs w:val="28"/>
          <w:lang w:val="ru-RU"/>
        </w:rPr>
      </w:pP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Обоснование диверсификации. Как было убедительно доказано в ходе оценки отраслевой структуры ОПИФ РФИ «ВИМ-Металлургия», текущая аллокация активов фонда носит экстремально концентрированный характер: более 93% капитала сосредоточено в ценных бумагах компаний узкого сегмента. С позиций современной портфельной теории Гарри </w:t>
      </w:r>
      <w:proofErr w:type="spellStart"/>
      <w:r w:rsidRPr="002C229C">
        <w:rPr>
          <w:rFonts w:ascii="Times New Roman" w:hAnsi="Times New Roman" w:cs="Times New Roman"/>
          <w:color w:val="000000" w:themeColor="text1"/>
          <w:sz w:val="28"/>
          <w:szCs w:val="28"/>
          <w:lang w:val="ru-RU"/>
        </w:rPr>
        <w:t>Марковица</w:t>
      </w:r>
      <w:proofErr w:type="spellEnd"/>
      <w:r w:rsidRPr="002C229C">
        <w:rPr>
          <w:rFonts w:ascii="Times New Roman" w:hAnsi="Times New Roman" w:cs="Times New Roman"/>
          <w:color w:val="000000" w:themeColor="text1"/>
          <w:sz w:val="28"/>
          <w:szCs w:val="28"/>
          <w:lang w:val="ru-RU"/>
        </w:rPr>
        <w:t xml:space="preserve"> и Уильяма Шарпа подобная структура нарушает базовые принципы управления капиталом</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[36; 37].</w:t>
      </w:r>
      <w:r w:rsidRPr="002C229C">
        <w:rPr>
          <w:rFonts w:ascii="Times New Roman" w:hAnsi="Times New Roman" w:cs="Times New Roman"/>
          <w:color w:val="000000" w:themeColor="text1"/>
          <w:sz w:val="28"/>
          <w:szCs w:val="28"/>
          <w:lang w:val="ru-RU"/>
        </w:rPr>
        <w:t>. Отсутствие диверсификации генерирует избыточную дисперсию и ставит стоимость чистых активов в жесткую зависимость от фаз единого глобального сырьевого цикла</w:t>
      </w:r>
      <w:r w:rsidR="0094314F">
        <w:rPr>
          <w:rFonts w:ascii="Times New Roman" w:hAnsi="Times New Roman" w:cs="Times New Roman"/>
          <w:color w:val="000000" w:themeColor="text1"/>
          <w:sz w:val="28"/>
          <w:szCs w:val="28"/>
          <w:lang w:val="ru-RU"/>
        </w:rPr>
        <w:t xml:space="preserve"> [25, с. 120</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lastRenderedPageBreak/>
        <w:t xml:space="preserve">Высокая положительная ковариация между доходностями акций металлургических корпораций означает, что при наступлении неблагоприятной рыночной конъюнктуры портфель полностью лишен стабилизирующих механизмов. Это неизбежно выражается в глубоких просадках капитала пайщиков. Для фундаментального повышения качества инвестиционного портфеля и радикального улучшения показателей риск-скорректированной доходности критически необходимо снижение </w:t>
      </w:r>
      <w:proofErr w:type="spellStart"/>
      <w:r w:rsidRPr="002C229C">
        <w:rPr>
          <w:rFonts w:ascii="Times New Roman" w:hAnsi="Times New Roman" w:cs="Times New Roman"/>
          <w:color w:val="000000" w:themeColor="text1"/>
          <w:sz w:val="28"/>
          <w:szCs w:val="28"/>
          <w:lang w:val="ru-RU"/>
        </w:rPr>
        <w:t>внутрипортфельной</w:t>
      </w:r>
      <w:proofErr w:type="spellEnd"/>
      <w:r w:rsidRPr="002C229C">
        <w:rPr>
          <w:rFonts w:ascii="Times New Roman" w:hAnsi="Times New Roman" w:cs="Times New Roman"/>
          <w:color w:val="000000" w:themeColor="text1"/>
          <w:sz w:val="28"/>
          <w:szCs w:val="28"/>
          <w:lang w:val="ru-RU"/>
        </w:rPr>
        <w:t xml:space="preserve"> корреляции активов</w:t>
      </w:r>
      <w:r w:rsidR="0094314F">
        <w:rPr>
          <w:rFonts w:ascii="Times New Roman" w:hAnsi="Times New Roman" w:cs="Times New Roman"/>
          <w:color w:val="000000" w:themeColor="text1"/>
          <w:sz w:val="28"/>
          <w:szCs w:val="28"/>
          <w:lang w:val="ru-RU"/>
        </w:rPr>
        <w:t xml:space="preserve"> [20, с. 65</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 Оптимальным решением, позволяющим сохранить индустриальный профиль ПИФа, но купировать системные риски, выступает расширение мандата фонда и включение в состав портфеля первоклассных инвестиционных инструментов из смежных секторов экономики.</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В целях преодоления концентрационного риска и расширения инвестиционного горизонта предлагается интегрировать в структуру портфеля ценные бумаги крупнейших отечественных эмитентов из смежных отраслей: химической промышленности, транспортной логистики и электроэнергетики. Исторически данные сектора обладают умеренной корреляцией с общим промышленным производством, однако фазы их экономического роста детерминируются совершенно иными факторами ценообразования. В качестве оптимальных объектов для системной ребалансировки портфеля предлагаются публичные акционерные общества ПАО «ФосАгро», ПАО «Совкомфлот» и ПАО «Интер РАО».</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Аргументация выбора предложенных компаний строго обоснована их исключительной финансовой устойчивостью, подтвержденной методами фундаментального анализа, и их критической ролью в структурной трансформации национальной экономики</w:t>
      </w:r>
      <w:r w:rsidR="0094314F">
        <w:rPr>
          <w:rFonts w:ascii="Times New Roman" w:hAnsi="Times New Roman" w:cs="Times New Roman"/>
          <w:color w:val="000000" w:themeColor="text1"/>
          <w:sz w:val="28"/>
          <w:szCs w:val="28"/>
          <w:lang w:val="ru-RU"/>
        </w:rPr>
        <w:t xml:space="preserve"> [11, с. 132</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w:t>
      </w:r>
    </w:p>
    <w:p w:rsidR="002C229C" w:rsidRPr="002C229C" w:rsidRDefault="002C229C" w:rsidP="004605F7">
      <w:pPr>
        <w:numPr>
          <w:ilvl w:val="0"/>
          <w:numId w:val="21"/>
        </w:numPr>
        <w:tabs>
          <w:tab w:val="clear" w:pos="720"/>
          <w:tab w:val="num" w:pos="993"/>
        </w:tabs>
        <w:spacing w:line="360" w:lineRule="auto"/>
        <w:ind w:left="0"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lastRenderedPageBreak/>
        <w:t xml:space="preserve">ПАО «ФосАгро» (химическая промышленность). Компания обладает неоспоримым статусом глобального лидера по производству высококачественных фосфорных удобрений с уникальной, экологически чистой ресурсной базой. Фундаментальный анализ подтверждает ее ведущие позиции по показателям рентабельности активов и операционной маржинальности. Динамика финансовых результатов ПАО «ФосАгро» зависит от глобального сельскохозяйственного </w:t>
      </w:r>
      <w:proofErr w:type="spellStart"/>
      <w:r w:rsidRPr="002C229C">
        <w:rPr>
          <w:rFonts w:ascii="Times New Roman" w:hAnsi="Times New Roman" w:cs="Times New Roman"/>
          <w:color w:val="000000" w:themeColor="text1"/>
          <w:sz w:val="28"/>
          <w:szCs w:val="28"/>
          <w:lang w:val="ru-RU"/>
        </w:rPr>
        <w:t>суперцикла</w:t>
      </w:r>
      <w:proofErr w:type="spellEnd"/>
      <w:r w:rsidRPr="002C229C">
        <w:rPr>
          <w:rFonts w:ascii="Times New Roman" w:hAnsi="Times New Roman" w:cs="Times New Roman"/>
          <w:color w:val="000000" w:themeColor="text1"/>
          <w:sz w:val="28"/>
          <w:szCs w:val="28"/>
          <w:lang w:val="ru-RU"/>
        </w:rPr>
        <w:t>, спроса на продовольствие и цен на газ на мировых биржах. Эти факторы практически не коррелируют с ценами на промышленные металлы. Включение данного эмитента обеспечит портфель солидными дивидендными потоками и выступит идеальным хеджем против стагнации в классической металлургии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[28, с. 30]</w:t>
      </w:r>
      <w:r w:rsidRPr="002C229C">
        <w:rPr>
          <w:rFonts w:ascii="Times New Roman" w:hAnsi="Times New Roman" w:cs="Times New Roman"/>
          <w:color w:val="000000" w:themeColor="text1"/>
          <w:sz w:val="28"/>
          <w:szCs w:val="28"/>
          <w:lang w:val="ru-RU"/>
        </w:rPr>
        <w:t>.</w:t>
      </w:r>
    </w:p>
    <w:p w:rsidR="002C229C" w:rsidRPr="002C229C" w:rsidRDefault="002C229C" w:rsidP="004605F7">
      <w:pPr>
        <w:numPr>
          <w:ilvl w:val="0"/>
          <w:numId w:val="21"/>
        </w:numPr>
        <w:tabs>
          <w:tab w:val="clear" w:pos="720"/>
          <w:tab w:val="num" w:pos="993"/>
        </w:tabs>
        <w:spacing w:line="360" w:lineRule="auto"/>
        <w:ind w:left="0"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ПАО «Совкомфлот» (транспортная логистика). В условиях беспрецедентного нарушения традиционных цепей поставок и масштабного перераспределения экспортных российских грузопотоков на рынки Глобального Юга и Востока, морская логистика выступает главным бенефициаром происходящей структурной перестройки. Транспортировка энергоносителей и сырья по долгосрочным контрактам, а также активное освоение Северного морского пути гарантируют компании стабильный, прогнозируемый денежный поток. Эмитент обладает высокой финансовой автономностью, а инвестирование в инфраструктурную логистику позволяет фонду извлекать прибыль из физических объемов экспорта сырья вне зависимости от локальных провалов спотовых цен на сами биржевые металлы</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[22, с. 105]</w:t>
      </w:r>
      <w:r w:rsidRPr="002C229C">
        <w:rPr>
          <w:rFonts w:ascii="Times New Roman" w:hAnsi="Times New Roman" w:cs="Times New Roman"/>
          <w:color w:val="000000" w:themeColor="text1"/>
          <w:sz w:val="28"/>
          <w:szCs w:val="28"/>
          <w:lang w:val="ru-RU"/>
        </w:rPr>
        <w:t>.</w:t>
      </w:r>
    </w:p>
    <w:p w:rsidR="002C229C" w:rsidRPr="002C229C" w:rsidRDefault="002C229C" w:rsidP="004605F7">
      <w:pPr>
        <w:numPr>
          <w:ilvl w:val="0"/>
          <w:numId w:val="21"/>
        </w:numPr>
        <w:tabs>
          <w:tab w:val="clear" w:pos="720"/>
          <w:tab w:val="num" w:pos="993"/>
        </w:tabs>
        <w:spacing w:line="360" w:lineRule="auto"/>
        <w:ind w:left="0"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ПАО «Интер РАО» (электроэнергетика). Энергетический сектор традиционно генерирует </w:t>
      </w:r>
      <w:proofErr w:type="spellStart"/>
      <w:r w:rsidRPr="002C229C">
        <w:rPr>
          <w:rFonts w:ascii="Times New Roman" w:hAnsi="Times New Roman" w:cs="Times New Roman"/>
          <w:color w:val="000000" w:themeColor="text1"/>
          <w:sz w:val="28"/>
          <w:szCs w:val="28"/>
          <w:lang w:val="ru-RU"/>
        </w:rPr>
        <w:t>высокопрогнозируемые</w:t>
      </w:r>
      <w:proofErr w:type="spellEnd"/>
      <w:r w:rsidRPr="002C229C">
        <w:rPr>
          <w:rFonts w:ascii="Times New Roman" w:hAnsi="Times New Roman" w:cs="Times New Roman"/>
          <w:color w:val="000000" w:themeColor="text1"/>
          <w:sz w:val="28"/>
          <w:szCs w:val="28"/>
          <w:lang w:val="ru-RU"/>
        </w:rPr>
        <w:t xml:space="preserve">, защищенные от внешних шоков внутренние финансовые потоки. Будучи надежным и крупнейшим </w:t>
      </w:r>
      <w:r w:rsidRPr="002C229C">
        <w:rPr>
          <w:rFonts w:ascii="Times New Roman" w:hAnsi="Times New Roman" w:cs="Times New Roman"/>
          <w:color w:val="000000" w:themeColor="text1"/>
          <w:sz w:val="28"/>
          <w:szCs w:val="28"/>
          <w:lang w:val="ru-RU"/>
        </w:rPr>
        <w:lastRenderedPageBreak/>
        <w:t xml:space="preserve">поставщиком электроэнергии для энергоемких промышленных мощностей страны, компания характеризуется колоссальным запасом финансовой прочности, огромной денежной подушкой на балансе, полным отсутствием критической долговой нагрузки и высочайшей способностью покрытия обязательств. Акции энергетического сектора исторически выполняют на фондовом рынке роль </w:t>
      </w:r>
      <w:proofErr w:type="spellStart"/>
      <w:r w:rsidRPr="002C229C">
        <w:rPr>
          <w:rFonts w:ascii="Times New Roman" w:hAnsi="Times New Roman" w:cs="Times New Roman"/>
          <w:color w:val="000000" w:themeColor="text1"/>
          <w:sz w:val="28"/>
          <w:szCs w:val="28"/>
          <w:lang w:val="ru-RU"/>
        </w:rPr>
        <w:t>квазиоблигаций</w:t>
      </w:r>
      <w:proofErr w:type="spellEnd"/>
      <w:r w:rsidRPr="002C229C">
        <w:rPr>
          <w:rFonts w:ascii="Times New Roman" w:hAnsi="Times New Roman" w:cs="Times New Roman"/>
          <w:color w:val="000000" w:themeColor="text1"/>
          <w:sz w:val="28"/>
          <w:szCs w:val="28"/>
          <w:lang w:val="ru-RU"/>
        </w:rPr>
        <w:t xml:space="preserve"> и защитных активов, эффективно сглаживая ценовые колебания агрессивных циклических инструментов внутри портфеля</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[19, с. 413]</w:t>
      </w:r>
      <w:r w:rsidRPr="002C229C">
        <w:rPr>
          <w:rFonts w:ascii="Times New Roman" w:hAnsi="Times New Roman" w:cs="Times New Roman"/>
          <w:color w:val="000000" w:themeColor="text1"/>
          <w:sz w:val="28"/>
          <w:szCs w:val="28"/>
          <w:lang w:val="ru-RU"/>
        </w:rPr>
        <w:t>.</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Практическая имплементация предложенных мер приведет к ярко выраженному синергетическому эффекту. Замещение части </w:t>
      </w:r>
      <w:proofErr w:type="spellStart"/>
      <w:r w:rsidRPr="002C229C">
        <w:rPr>
          <w:rFonts w:ascii="Times New Roman" w:hAnsi="Times New Roman" w:cs="Times New Roman"/>
          <w:color w:val="000000" w:themeColor="text1"/>
          <w:sz w:val="28"/>
          <w:szCs w:val="28"/>
          <w:lang w:val="ru-RU"/>
        </w:rPr>
        <w:t>высоковолатильных</w:t>
      </w:r>
      <w:proofErr w:type="spellEnd"/>
      <w:r w:rsidRPr="002C229C">
        <w:rPr>
          <w:rFonts w:ascii="Times New Roman" w:hAnsi="Times New Roman" w:cs="Times New Roman"/>
          <w:color w:val="000000" w:themeColor="text1"/>
          <w:sz w:val="28"/>
          <w:szCs w:val="28"/>
          <w:lang w:val="ru-RU"/>
        </w:rPr>
        <w:t xml:space="preserve"> металлургических активов стабильными бумагами химической промышленности, морской логистики и энергетики позволит кардинально уменьшить амплитуду колебаний стоимости пая. В результате такой тактической и стратегической ребалансировки ожидается существенный рост риск-скорректированной доходности, что выведет анализируемый фонд на принципиально новый уровень качества корпоративного управления инвестициями.</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Современная теория портфельного инвестирования базируется на строгом математическом моделировании оптимального соотношения ожидаемой доходности и совокупного риска. Главная концептуальная задача управляющего портфелем в рамках данной теории заключается в поиске эффективного фронта </w:t>
      </w:r>
      <w:proofErr w:type="spellStart"/>
      <w:r w:rsidRPr="002C229C">
        <w:rPr>
          <w:rFonts w:ascii="Times New Roman" w:hAnsi="Times New Roman" w:cs="Times New Roman"/>
          <w:color w:val="000000" w:themeColor="text1"/>
          <w:sz w:val="28"/>
          <w:szCs w:val="28"/>
          <w:lang w:val="ru-RU"/>
        </w:rPr>
        <w:t>Марковица</w:t>
      </w:r>
      <w:proofErr w:type="spellEnd"/>
      <w:r w:rsidRPr="002C229C">
        <w:rPr>
          <w:rFonts w:ascii="Times New Roman" w:hAnsi="Times New Roman" w:cs="Times New Roman"/>
          <w:color w:val="000000" w:themeColor="text1"/>
          <w:sz w:val="28"/>
          <w:szCs w:val="28"/>
          <w:lang w:val="ru-RU"/>
        </w:rPr>
        <w:t xml:space="preserve"> — геометрического места точек в многомерном пространстве параметров, которые соответствуют портфелям, обеспечивающим абсолютный максимум ожидаемой доходности при жестко заданном уровне риска, либо абсолютный минимум риска при целевой требуемой доходности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[20, с. 15]</w:t>
      </w:r>
      <w:r w:rsidRPr="002C229C">
        <w:rPr>
          <w:rFonts w:ascii="Times New Roman" w:hAnsi="Times New Roman" w:cs="Times New Roman"/>
          <w:color w:val="000000" w:themeColor="text1"/>
          <w:sz w:val="28"/>
          <w:szCs w:val="28"/>
          <w:lang w:val="ru-RU"/>
        </w:rPr>
        <w:t>.</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lastRenderedPageBreak/>
        <w:t>С математической точки зрения ожидаемая доходность инвестиционного портфеля вычисляется как линейная комбинация — средневзвешенная величина математических ожиданий доходностей всех входящих в него финансовых инструментов. Данная зависимость формализуется следующим уравнением</w:t>
      </w:r>
      <w:r w:rsidR="00B67275">
        <w:rPr>
          <w:rFonts w:ascii="Times New Roman" w:hAnsi="Times New Roman" w:cs="Times New Roman"/>
          <w:color w:val="000000" w:themeColor="text1"/>
          <w:sz w:val="28"/>
          <w:szCs w:val="28"/>
          <w:lang w:val="ru-RU"/>
        </w:rPr>
        <w:t xml:space="preserve"> (10)</w:t>
      </w:r>
      <w:r w:rsidRPr="002C229C">
        <w:rPr>
          <w:rFonts w:ascii="Times New Roman" w:hAnsi="Times New Roman" w:cs="Times New Roman"/>
          <w:color w:val="000000" w:themeColor="text1"/>
          <w:sz w:val="28"/>
          <w:szCs w:val="28"/>
          <w:lang w:val="ru-RU"/>
        </w:rPr>
        <w:t>:</w:t>
      </w:r>
    </w:p>
    <w:p w:rsidR="002C229C" w:rsidRPr="002C229C" w:rsidRDefault="00B67275" w:rsidP="002C229C">
      <w:pPr>
        <w:spacing w:line="360" w:lineRule="auto"/>
        <w:ind w:firstLine="709"/>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                                       </w:t>
      </w:r>
      <m:oMath>
        <m:r>
          <w:rPr>
            <w:rFonts w:ascii="Cambria Math" w:hAnsi="Cambria Math" w:cs="Times New Roman"/>
            <w:color w:val="000000" w:themeColor="text1"/>
            <w:sz w:val="28"/>
            <w:szCs w:val="28"/>
            <w:lang w:val="ru-RU"/>
          </w:rPr>
          <m:t>E</m:t>
        </m:r>
        <m:d>
          <m:dPr>
            <m:ctrlPr>
              <w:rPr>
                <w:rFonts w:ascii="Cambria Math" w:hAnsi="Cambria Math" w:cs="Times New Roman"/>
                <w:i/>
                <w:color w:val="000000" w:themeColor="text1"/>
                <w:sz w:val="28"/>
                <w:szCs w:val="28"/>
                <w:lang w:val="ru-RU"/>
              </w:rPr>
            </m:ctrlPr>
          </m:dPr>
          <m:e>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p</m:t>
                </m:r>
              </m:sub>
            </m:sSub>
          </m:e>
        </m:d>
        <m:r>
          <w:rPr>
            <w:rFonts w:ascii="Cambria Math" w:hAnsi="Cambria Math" w:cs="Times New Roman"/>
            <w:color w:val="000000" w:themeColor="text1"/>
            <w:sz w:val="28"/>
            <w:szCs w:val="28"/>
            <w:lang w:val="ru-RU"/>
          </w:rPr>
          <m:t xml:space="preserve">= </m:t>
        </m:r>
        <m:nary>
          <m:naryPr>
            <m:chr m:val="∑"/>
            <m:supHide m:val="1"/>
            <m:ctrlPr>
              <w:rPr>
                <w:rFonts w:ascii="Cambria Math" w:hAnsi="Cambria Math" w:cs="Times New Roman"/>
                <w:i/>
                <w:color w:val="000000" w:themeColor="text1"/>
                <w:sz w:val="28"/>
                <w:szCs w:val="28"/>
                <w:lang w:val="ru-RU"/>
              </w:rPr>
            </m:ctrlPr>
          </m:naryPr>
          <m:sub>
            <m:sSubSup>
              <m:sSubSupPr>
                <m:ctrlPr>
                  <w:rPr>
                    <w:rFonts w:ascii="Cambria Math" w:hAnsi="Cambria Math" w:cs="Times New Roman"/>
                    <w:i/>
                    <w:color w:val="000000" w:themeColor="text1"/>
                    <w:sz w:val="28"/>
                    <w:szCs w:val="28"/>
                    <w:lang w:val="ru-RU"/>
                  </w:rPr>
                </m:ctrlPr>
              </m:sSubSupPr>
              <m:e>
                <m:d>
                  <m:dPr>
                    <m:begChr m:val="{"/>
                    <m:endChr m:val="}"/>
                    <m:ctrlPr>
                      <w:rPr>
                        <w:rFonts w:ascii="Cambria Math" w:hAnsi="Cambria Math" w:cs="Times New Roman"/>
                        <w:i/>
                        <w:color w:val="000000" w:themeColor="text1"/>
                        <w:sz w:val="28"/>
                        <w:szCs w:val="28"/>
                        <w:lang w:val="ru-RU"/>
                      </w:rPr>
                    </m:ctrlPr>
                  </m:dPr>
                  <m:e>
                    <m:r>
                      <w:rPr>
                        <w:rFonts w:ascii="Cambria Math" w:hAnsi="Cambria Math" w:cs="Times New Roman"/>
                        <w:color w:val="000000" w:themeColor="text1"/>
                        <w:sz w:val="28"/>
                        <w:szCs w:val="28"/>
                        <w:lang w:val="ru-RU"/>
                      </w:rPr>
                      <m:t>i=1</m:t>
                    </m:r>
                  </m:e>
                </m:d>
              </m:e>
              <m:sub>
                <m:r>
                  <w:rPr>
                    <w:rFonts w:ascii="Cambria Math" w:hAnsi="Cambria Math" w:cs="Times New Roman"/>
                    <w:color w:val="000000" w:themeColor="text1"/>
                    <w:sz w:val="28"/>
                    <w:szCs w:val="28"/>
                    <w:lang w:val="ru-RU"/>
                  </w:rPr>
                  <m:t>i</m:t>
                </m:r>
              </m:sub>
              <m:sup>
                <m:d>
                  <m:dPr>
                    <m:begChr m:val="{"/>
                    <m:endChr m:val="}"/>
                    <m:ctrlPr>
                      <w:rPr>
                        <w:rFonts w:ascii="Cambria Math" w:hAnsi="Cambria Math" w:cs="Times New Roman"/>
                        <w:i/>
                        <w:color w:val="000000" w:themeColor="text1"/>
                        <w:sz w:val="28"/>
                        <w:szCs w:val="28"/>
                        <w:lang w:val="ru-RU"/>
                      </w:rPr>
                    </m:ctrlPr>
                  </m:dPr>
                  <m:e>
                    <m:r>
                      <w:rPr>
                        <w:rFonts w:ascii="Cambria Math" w:hAnsi="Cambria Math" w:cs="Times New Roman"/>
                        <w:color w:val="000000" w:themeColor="text1"/>
                        <w:sz w:val="28"/>
                        <w:szCs w:val="28"/>
                        <w:lang w:val="ru-RU"/>
                      </w:rPr>
                      <m:t>n</m:t>
                    </m:r>
                  </m:e>
                </m:d>
                <m:r>
                  <w:rPr>
                    <w:rFonts w:ascii="Cambria Math" w:hAnsi="Cambria Math" w:cs="Times New Roman"/>
                    <w:color w:val="000000" w:themeColor="text1"/>
                    <w:sz w:val="28"/>
                    <w:szCs w:val="28"/>
                    <w:lang w:val="ru-RU"/>
                  </w:rPr>
                  <m:t>w</m:t>
                </m:r>
              </m:sup>
            </m:sSubSup>
            <m:r>
              <w:rPr>
                <w:rFonts w:ascii="Cambria Math" w:hAnsi="Cambria Math" w:cs="Times New Roman"/>
                <w:color w:val="000000" w:themeColor="text1"/>
                <w:sz w:val="28"/>
                <w:szCs w:val="28"/>
                <w:lang w:val="ru-RU"/>
              </w:rPr>
              <m:t>E</m:t>
            </m:r>
            <m:d>
              <m:dPr>
                <m:ctrlPr>
                  <w:rPr>
                    <w:rFonts w:ascii="Cambria Math" w:hAnsi="Cambria Math" w:cs="Times New Roman"/>
                    <w:i/>
                    <w:color w:val="000000" w:themeColor="text1"/>
                    <w:sz w:val="28"/>
                    <w:szCs w:val="28"/>
                    <w:lang w:val="ru-RU"/>
                  </w:rPr>
                </m:ctrlPr>
              </m:dPr>
              <m:e>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i</m:t>
                    </m:r>
                  </m:sub>
                </m:sSub>
              </m:e>
            </m:d>
          </m:sub>
          <m:sup/>
          <m:e/>
        </m:nary>
      </m:oMath>
      <w:r>
        <w:rPr>
          <w:rFonts w:ascii="Times New Roman" w:hAnsi="Times New Roman" w:cs="Times New Roman"/>
          <w:color w:val="000000" w:themeColor="text1"/>
          <w:sz w:val="28"/>
          <w:szCs w:val="28"/>
          <w:lang w:val="ru-RU"/>
        </w:rPr>
        <w:t>,                                 (10)</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где:</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p</m:t>
                </m:r>
              </m:sub>
            </m:sSub>
          </m:e>
        </m:d>
      </m:oMath>
      <w:r w:rsidRPr="00B67275">
        <w:rPr>
          <w:rFonts w:ascii="Times New Roman" w:hAnsi="Times New Roman" w:cs="Times New Roman"/>
          <w:color w:val="000000" w:themeColor="text1"/>
          <w:sz w:val="28"/>
          <w:szCs w:val="28"/>
          <w:lang w:val="ru-RU"/>
        </w:rPr>
        <w:t xml:space="preserve"> — ожидаемая доходность инвестиционного портфеля;</w:t>
      </w:r>
    </w:p>
    <w:p w:rsidR="002C229C" w:rsidRPr="00B67275" w:rsidRDefault="00097DFD"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w</m:t>
            </m:r>
          </m:e>
          <m:sub>
            <m:r>
              <w:rPr>
                <w:rFonts w:ascii="Cambria Math" w:hAnsi="Cambria Math" w:cs="Times New Roman"/>
                <w:color w:val="000000" w:themeColor="text1"/>
                <w:sz w:val="28"/>
                <w:szCs w:val="28"/>
                <w:lang w:val="ru-RU"/>
              </w:rPr>
              <m:t>i</m:t>
            </m:r>
          </m:sub>
        </m:sSub>
      </m:oMath>
      <w:r w:rsidR="002C229C" w:rsidRPr="00B67275">
        <w:rPr>
          <w:rFonts w:ascii="Times New Roman" w:hAnsi="Times New Roman" w:cs="Times New Roman"/>
          <w:color w:val="000000" w:themeColor="text1"/>
          <w:sz w:val="28"/>
          <w:szCs w:val="28"/>
          <w:lang w:val="ru-RU"/>
        </w:rPr>
        <w:t xml:space="preserve"> — удельный вес $i$-го актива в структуре портфеля;</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i</m:t>
                </m:r>
              </m:sub>
            </m:sSub>
          </m:e>
        </m:d>
      </m:oMath>
      <w:r w:rsidRPr="00B67275">
        <w:rPr>
          <w:rFonts w:ascii="Times New Roman" w:hAnsi="Times New Roman" w:cs="Times New Roman"/>
          <w:color w:val="000000" w:themeColor="text1"/>
          <w:sz w:val="28"/>
          <w:szCs w:val="28"/>
          <w:lang w:val="ru-RU"/>
        </w:rPr>
        <w:t xml:space="preserve"> — ожидаемая (прогнозируемая) доходность $i$-го актива;</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n</m:t>
        </m:r>
      </m:oMath>
      <w:r w:rsidRPr="00B67275">
        <w:rPr>
          <w:rFonts w:ascii="Times New Roman" w:hAnsi="Times New Roman" w:cs="Times New Roman"/>
          <w:color w:val="000000" w:themeColor="text1"/>
          <w:sz w:val="28"/>
          <w:szCs w:val="28"/>
          <w:lang w:val="ru-RU"/>
        </w:rPr>
        <w:t xml:space="preserve"> — общее количество активов в портфеле.</w:t>
      </w:r>
    </w:p>
    <w:p w:rsidR="0094314F"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Однако фундаментальным прорывом классической портфельной теории является строгое математическое доказательство того, что совокупный риск портфеля не равен простой средневзвешенной величине индивидуальных рисков составляющих его активов</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[25, с. 156]</w:t>
      </w:r>
      <w:r w:rsidRPr="00B67275">
        <w:rPr>
          <w:rFonts w:ascii="Times New Roman" w:hAnsi="Times New Roman" w:cs="Times New Roman"/>
          <w:color w:val="000000" w:themeColor="text1"/>
          <w:sz w:val="28"/>
          <w:szCs w:val="28"/>
          <w:lang w:val="ru-RU"/>
        </w:rPr>
        <w:t xml:space="preserve">. </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 xml:space="preserve">Риск инвестиционного портфеля, </w:t>
      </w:r>
      <w:proofErr w:type="spellStart"/>
      <w:r w:rsidRPr="00B67275">
        <w:rPr>
          <w:rFonts w:ascii="Times New Roman" w:hAnsi="Times New Roman" w:cs="Times New Roman"/>
          <w:color w:val="000000" w:themeColor="text1"/>
          <w:sz w:val="28"/>
          <w:szCs w:val="28"/>
          <w:lang w:val="ru-RU"/>
        </w:rPr>
        <w:t>квантифицируемый</w:t>
      </w:r>
      <w:proofErr w:type="spellEnd"/>
      <w:r w:rsidRPr="00B67275">
        <w:rPr>
          <w:rFonts w:ascii="Times New Roman" w:hAnsi="Times New Roman" w:cs="Times New Roman"/>
          <w:color w:val="000000" w:themeColor="text1"/>
          <w:sz w:val="28"/>
          <w:szCs w:val="28"/>
          <w:lang w:val="ru-RU"/>
        </w:rPr>
        <w:t xml:space="preserve"> как дисперсия (</w:t>
      </w:r>
      <m:oMath>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up>
            <m:r>
              <w:rPr>
                <w:rFonts w:ascii="Cambria Math" w:hAnsi="Cambria Math" w:cs="Times New Roman"/>
                <w:color w:val="000000" w:themeColor="text1"/>
                <w:sz w:val="28"/>
                <w:szCs w:val="28"/>
                <w:lang w:val="ru-RU"/>
              </w:rPr>
              <m:t>2</m:t>
            </m:r>
          </m:sup>
        </m:sSubSup>
        <m:r>
          <w:rPr>
            <w:rFonts w:ascii="Cambria Math" w:hAnsi="Cambria Math" w:cs="Times New Roman"/>
            <w:color w:val="000000" w:themeColor="text1"/>
            <w:sz w:val="28"/>
            <w:szCs w:val="28"/>
            <w:lang w:val="ru-RU"/>
          </w:rPr>
          <m:t xml:space="preserve">) </m:t>
        </m:r>
      </m:oMath>
      <w:r w:rsidRPr="00B67275">
        <w:rPr>
          <w:rFonts w:ascii="Times New Roman" w:hAnsi="Times New Roman" w:cs="Times New Roman"/>
          <w:color w:val="000000" w:themeColor="text1"/>
          <w:sz w:val="28"/>
          <w:szCs w:val="28"/>
          <w:lang w:val="ru-RU"/>
        </w:rPr>
        <w:t>или стандартное отклонение (</w:t>
      </w:r>
      <m:oMath>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en-US"/>
              </w:rPr>
              <m:t>p</m:t>
            </m:r>
          </m:sub>
        </m:sSub>
      </m:oMath>
      <w:r w:rsidRPr="00B67275">
        <w:rPr>
          <w:rFonts w:ascii="Times New Roman" w:hAnsi="Times New Roman" w:cs="Times New Roman"/>
          <w:color w:val="000000" w:themeColor="text1"/>
          <w:sz w:val="28"/>
          <w:szCs w:val="28"/>
          <w:lang w:val="ru-RU"/>
        </w:rPr>
        <w:t>), всецело и нелинейно зависит от степени статистической взаимосвязи между доходностями активов. Математически дисперсия портфеля выражается развернутой формулой</w:t>
      </w:r>
      <w:r w:rsidR="00B67275" w:rsidRPr="00B67275">
        <w:rPr>
          <w:rFonts w:ascii="Times New Roman" w:hAnsi="Times New Roman" w:cs="Times New Roman"/>
          <w:color w:val="000000" w:themeColor="text1"/>
          <w:sz w:val="28"/>
          <w:szCs w:val="28"/>
          <w:lang w:val="ru-RU"/>
        </w:rPr>
        <w:t xml:space="preserve"> (11)</w:t>
      </w:r>
      <w:r w:rsidRPr="00B67275">
        <w:rPr>
          <w:rFonts w:ascii="Times New Roman" w:hAnsi="Times New Roman" w:cs="Times New Roman"/>
          <w:color w:val="000000" w:themeColor="text1"/>
          <w:sz w:val="28"/>
          <w:szCs w:val="28"/>
          <w:lang w:val="ru-RU"/>
        </w:rPr>
        <w:t>:</w:t>
      </w:r>
    </w:p>
    <w:p w:rsidR="002C229C" w:rsidRPr="00B67275" w:rsidRDefault="00B67275" w:rsidP="002C229C">
      <w:pPr>
        <w:spacing w:line="360" w:lineRule="auto"/>
        <w:ind w:firstLine="709"/>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                  </w:t>
      </w:r>
      <m:oMath>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lang w:val="ru-RU"/>
              </w:rPr>
              <m:t xml:space="preserve"> σ</m:t>
            </m:r>
          </m:e>
          <m:sub>
            <m:r>
              <w:rPr>
                <w:rFonts w:ascii="Cambria Math" w:hAnsi="Cambria Math" w:cs="Times New Roman"/>
                <w:color w:val="000000" w:themeColor="text1"/>
                <w:sz w:val="28"/>
                <w:szCs w:val="28"/>
                <w:lang w:val="ru-RU"/>
              </w:rPr>
              <m:t>p</m:t>
            </m:r>
          </m:sub>
          <m:sup>
            <m:r>
              <w:rPr>
                <w:rFonts w:ascii="Cambria Math" w:hAnsi="Cambria Math" w:cs="Times New Roman"/>
                <w:color w:val="000000" w:themeColor="text1"/>
                <w:sz w:val="28"/>
                <w:szCs w:val="28"/>
                <w:lang w:val="ru-RU"/>
              </w:rPr>
              <m:t>2</m:t>
            </m:r>
          </m:sup>
        </m:sSubSup>
        <m:r>
          <w:rPr>
            <w:rFonts w:ascii="Cambria Math" w:hAnsi="Cambria Math" w:cs="Times New Roman"/>
            <w:color w:val="000000" w:themeColor="text1"/>
            <w:sz w:val="28"/>
            <w:szCs w:val="28"/>
            <w:lang w:val="ru-RU"/>
          </w:rPr>
          <m:t xml:space="preserve">= </m:t>
        </m:r>
        <m:nary>
          <m:naryPr>
            <m:chr m:val="∑"/>
            <m:ctrlPr>
              <w:rPr>
                <w:rFonts w:ascii="Cambria Math" w:hAnsi="Cambria Math" w:cs="Times New Roman"/>
                <w:i/>
                <w:color w:val="000000" w:themeColor="text1"/>
                <w:sz w:val="28"/>
                <w:szCs w:val="28"/>
                <w:lang w:val="ru-RU"/>
              </w:rPr>
            </m:ctrlPr>
          </m:naryPr>
          <m:sub>
            <m:d>
              <m:dPr>
                <m:begChr m:val="{"/>
                <m:endChr m:val="}"/>
                <m:ctrlPr>
                  <w:rPr>
                    <w:rFonts w:ascii="Cambria Math" w:hAnsi="Cambria Math" w:cs="Times New Roman"/>
                    <w:i/>
                    <w:color w:val="000000" w:themeColor="text1"/>
                    <w:sz w:val="28"/>
                    <w:szCs w:val="28"/>
                    <w:lang w:val="ru-RU"/>
                  </w:rPr>
                </m:ctrlPr>
              </m:dPr>
              <m:e>
                <m:r>
                  <w:rPr>
                    <w:rFonts w:ascii="Cambria Math" w:hAnsi="Cambria Math" w:cs="Times New Roman"/>
                    <w:color w:val="000000" w:themeColor="text1"/>
                    <w:sz w:val="28"/>
                    <w:szCs w:val="28"/>
                    <w:lang w:val="ru-RU"/>
                  </w:rPr>
                  <m:t>i=1</m:t>
                </m:r>
              </m:e>
            </m:d>
          </m:sub>
          <m:sup>
            <m:d>
              <m:dPr>
                <m:begChr m:val="{"/>
                <m:endChr m:val="}"/>
                <m:ctrlPr>
                  <w:rPr>
                    <w:rFonts w:ascii="Cambria Math" w:hAnsi="Cambria Math" w:cs="Times New Roman"/>
                    <w:i/>
                    <w:color w:val="000000" w:themeColor="text1"/>
                    <w:sz w:val="28"/>
                    <w:szCs w:val="28"/>
                    <w:lang w:val="ru-RU"/>
                  </w:rPr>
                </m:ctrlPr>
              </m:dPr>
              <m:e>
                <m:r>
                  <w:rPr>
                    <w:rFonts w:ascii="Cambria Math" w:hAnsi="Cambria Math" w:cs="Times New Roman"/>
                    <w:color w:val="000000" w:themeColor="text1"/>
                    <w:sz w:val="28"/>
                    <w:szCs w:val="28"/>
                    <w:lang w:val="ru-RU"/>
                  </w:rPr>
                  <m:t>n</m:t>
                </m:r>
              </m:e>
            </m:d>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lang w:val="ru-RU"/>
                  </w:rPr>
                  <m:t>w</m:t>
                </m:r>
              </m:e>
              <m:sub>
                <m:r>
                  <w:rPr>
                    <w:rFonts w:ascii="Cambria Math" w:hAnsi="Cambria Math" w:cs="Times New Roman"/>
                    <w:color w:val="000000" w:themeColor="text1"/>
                    <w:sz w:val="28"/>
                    <w:szCs w:val="28"/>
                    <w:lang w:val="ru-RU"/>
                  </w:rPr>
                  <m:t>i</m:t>
                </m:r>
              </m:sub>
              <m:sup>
                <m:r>
                  <w:rPr>
                    <w:rFonts w:ascii="Cambria Math" w:hAnsi="Cambria Math" w:cs="Times New Roman"/>
                    <w:color w:val="000000" w:themeColor="text1"/>
                    <w:sz w:val="28"/>
                    <w:szCs w:val="28"/>
                    <w:lang w:val="ru-RU"/>
                  </w:rPr>
                  <m:t>2</m:t>
                </m:r>
              </m:sup>
            </m:sSubSup>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i</m:t>
                </m:r>
              </m:sub>
              <m:sup>
                <m:r>
                  <w:rPr>
                    <w:rFonts w:ascii="Cambria Math" w:hAnsi="Cambria Math" w:cs="Times New Roman"/>
                    <w:color w:val="000000" w:themeColor="text1"/>
                    <w:sz w:val="28"/>
                    <w:szCs w:val="28"/>
                    <w:lang w:val="ru-RU"/>
                  </w:rPr>
                  <m:t>2</m:t>
                </m:r>
              </m:sup>
            </m:sSubSup>
          </m:sup>
          <m:e/>
        </m:nary>
        <m:r>
          <w:rPr>
            <w:rFonts w:ascii="Cambria Math" w:hAnsi="Cambria Math" w:cs="Times New Roman"/>
            <w:color w:val="000000" w:themeColor="text1"/>
            <w:sz w:val="28"/>
            <w:szCs w:val="28"/>
            <w:lang w:val="ru-RU"/>
          </w:rPr>
          <m:t xml:space="preserve">+ </m:t>
        </m:r>
        <m:nary>
          <m:naryPr>
            <m:chr m:val="∑"/>
            <m:ctrlPr>
              <w:rPr>
                <w:rFonts w:ascii="Cambria Math" w:hAnsi="Cambria Math" w:cs="Times New Roman"/>
                <w:i/>
                <w:color w:val="000000" w:themeColor="text1"/>
                <w:sz w:val="28"/>
                <w:szCs w:val="28"/>
                <w:lang w:val="ru-RU"/>
              </w:rPr>
            </m:ctrlPr>
          </m:naryPr>
          <m:sub>
            <m:d>
              <m:dPr>
                <m:begChr m:val="{"/>
                <m:endChr m:val="}"/>
                <m:ctrlPr>
                  <w:rPr>
                    <w:rFonts w:ascii="Cambria Math" w:hAnsi="Cambria Math" w:cs="Times New Roman"/>
                    <w:i/>
                    <w:color w:val="000000" w:themeColor="text1"/>
                    <w:sz w:val="28"/>
                    <w:szCs w:val="28"/>
                    <w:lang w:val="ru-RU"/>
                  </w:rPr>
                </m:ctrlPr>
              </m:dPr>
              <m:e>
                <m:r>
                  <w:rPr>
                    <w:rFonts w:ascii="Cambria Math" w:hAnsi="Cambria Math" w:cs="Times New Roman"/>
                    <w:color w:val="000000" w:themeColor="text1"/>
                    <w:sz w:val="28"/>
                    <w:szCs w:val="28"/>
                    <w:lang w:val="ru-RU"/>
                  </w:rPr>
                  <m:t>i=1</m:t>
                </m:r>
              </m:e>
            </m:d>
          </m:sub>
          <m:sup>
            <m:d>
              <m:dPr>
                <m:begChr m:val="{"/>
                <m:endChr m:val="}"/>
                <m:ctrlPr>
                  <w:rPr>
                    <w:rFonts w:ascii="Cambria Math" w:hAnsi="Cambria Math" w:cs="Times New Roman"/>
                    <w:i/>
                    <w:color w:val="000000" w:themeColor="text1"/>
                    <w:sz w:val="28"/>
                    <w:szCs w:val="28"/>
                    <w:lang w:val="ru-RU"/>
                  </w:rPr>
                </m:ctrlPr>
              </m:dPr>
              <m:e>
                <m:r>
                  <w:rPr>
                    <w:rFonts w:ascii="Cambria Math" w:hAnsi="Cambria Math" w:cs="Times New Roman"/>
                    <w:color w:val="000000" w:themeColor="text1"/>
                    <w:sz w:val="28"/>
                    <w:szCs w:val="28"/>
                    <w:lang w:val="ru-RU"/>
                  </w:rPr>
                  <m:t>n</m:t>
                </m:r>
              </m:e>
            </m:d>
            <m:nary>
              <m:naryPr>
                <m:chr m:val="∑"/>
                <m:supHide m:val="1"/>
                <m:ctrlPr>
                  <w:rPr>
                    <w:rFonts w:ascii="Cambria Math" w:hAnsi="Cambria Math" w:cs="Times New Roman"/>
                    <w:i/>
                    <w:color w:val="000000" w:themeColor="text1"/>
                    <w:sz w:val="28"/>
                    <w:szCs w:val="28"/>
                    <w:lang w:val="ru-RU"/>
                  </w:rPr>
                </m:ctrlPr>
              </m:naryPr>
              <m:sub>
                <m:sSubSup>
                  <m:sSubSupPr>
                    <m:ctrlPr>
                      <w:rPr>
                        <w:rFonts w:ascii="Cambria Math" w:hAnsi="Cambria Math" w:cs="Times New Roman"/>
                        <w:i/>
                        <w:color w:val="000000" w:themeColor="text1"/>
                        <w:sz w:val="28"/>
                        <w:szCs w:val="28"/>
                        <w:lang w:val="ru-RU"/>
                      </w:rPr>
                    </m:ctrlPr>
                  </m:sSubSupPr>
                  <m:e>
                    <m:d>
                      <m:dPr>
                        <m:begChr m:val="{"/>
                        <m:endChr m:val="}"/>
                        <m:ctrlPr>
                          <w:rPr>
                            <w:rFonts w:ascii="Cambria Math" w:hAnsi="Cambria Math" w:cs="Times New Roman"/>
                            <w:i/>
                            <w:color w:val="000000" w:themeColor="text1"/>
                            <w:sz w:val="28"/>
                            <w:szCs w:val="28"/>
                            <w:lang w:val="ru-RU"/>
                          </w:rPr>
                        </m:ctrlPr>
                      </m:dPr>
                      <m:e>
                        <m:r>
                          <w:rPr>
                            <w:rFonts w:ascii="Cambria Math" w:hAnsi="Cambria Math" w:cs="Times New Roman"/>
                            <w:color w:val="000000" w:themeColor="text1"/>
                            <w:sz w:val="28"/>
                            <w:szCs w:val="28"/>
                            <w:lang w:val="ru-RU"/>
                          </w:rPr>
                          <m:t>j=1, j ≠i</m:t>
                        </m:r>
                      </m:e>
                    </m:d>
                  </m:e>
                  <m:sub>
                    <m:r>
                      <w:rPr>
                        <w:rFonts w:ascii="Cambria Math" w:hAnsi="Cambria Math" w:cs="Times New Roman"/>
                        <w:color w:val="000000" w:themeColor="text1"/>
                        <w:sz w:val="28"/>
                        <w:szCs w:val="28"/>
                        <w:lang w:val="ru-RU"/>
                      </w:rPr>
                      <m:t>i</m:t>
                    </m:r>
                  </m:sub>
                  <m:sup>
                    <m:d>
                      <m:dPr>
                        <m:begChr m:val="{"/>
                        <m:endChr m:val="}"/>
                        <m:ctrlPr>
                          <w:rPr>
                            <w:rFonts w:ascii="Cambria Math" w:hAnsi="Cambria Math" w:cs="Times New Roman"/>
                            <w:i/>
                            <w:color w:val="000000" w:themeColor="text1"/>
                            <w:sz w:val="28"/>
                            <w:szCs w:val="28"/>
                            <w:lang w:val="ru-RU"/>
                          </w:rPr>
                        </m:ctrlPr>
                      </m:dPr>
                      <m:e>
                        <m:r>
                          <w:rPr>
                            <w:rFonts w:ascii="Cambria Math" w:hAnsi="Cambria Math" w:cs="Times New Roman"/>
                            <w:color w:val="000000" w:themeColor="text1"/>
                            <w:sz w:val="28"/>
                            <w:szCs w:val="28"/>
                            <w:lang w:val="ru-RU"/>
                          </w:rPr>
                          <m:t>n</m:t>
                        </m:r>
                      </m:e>
                    </m:d>
                    <m:r>
                      <w:rPr>
                        <w:rFonts w:ascii="Cambria Math" w:hAnsi="Cambria Math" w:cs="Times New Roman"/>
                        <w:color w:val="000000" w:themeColor="text1"/>
                        <w:sz w:val="28"/>
                        <w:szCs w:val="28"/>
                        <w:lang w:val="ru-RU"/>
                      </w:rPr>
                      <m:t>w</m:t>
                    </m:r>
                  </m:sup>
                </m:sSubSup>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w</m:t>
                    </m:r>
                  </m:e>
                  <m:sub>
                    <m:r>
                      <w:rPr>
                        <w:rFonts w:ascii="Cambria Math" w:hAnsi="Cambria Math" w:cs="Times New Roman"/>
                        <w:color w:val="000000" w:themeColor="text1"/>
                        <w:sz w:val="28"/>
                        <w:szCs w:val="28"/>
                        <w:lang w:val="ru-RU"/>
                      </w:rPr>
                      <m:t>j</m:t>
                    </m:r>
                  </m:sub>
                </m:sSub>
              </m:sub>
              <m:sup/>
              <m:e>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i</m:t>
                    </m:r>
                  </m:sub>
                </m:sSub>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j</m:t>
                    </m:r>
                  </m:sub>
                </m:sSub>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ρ</m:t>
                    </m:r>
                  </m:e>
                  <m:sub>
                    <m:d>
                      <m:dPr>
                        <m:begChr m:val="{"/>
                        <m:endChr m:val="}"/>
                        <m:ctrlPr>
                          <w:rPr>
                            <w:rFonts w:ascii="Cambria Math" w:hAnsi="Cambria Math" w:cs="Times New Roman"/>
                            <w:i/>
                            <w:color w:val="000000" w:themeColor="text1"/>
                            <w:sz w:val="28"/>
                            <w:szCs w:val="28"/>
                            <w:lang w:val="ru-RU"/>
                          </w:rPr>
                        </m:ctrlPr>
                      </m:dPr>
                      <m:e>
                        <m:r>
                          <w:rPr>
                            <w:rFonts w:ascii="Cambria Math" w:hAnsi="Cambria Math" w:cs="Times New Roman"/>
                            <w:color w:val="000000" w:themeColor="text1"/>
                            <w:sz w:val="28"/>
                            <w:szCs w:val="28"/>
                            <w:lang w:val="ru-RU"/>
                          </w:rPr>
                          <m:t>ij</m:t>
                        </m:r>
                      </m:e>
                    </m:d>
                  </m:sub>
                </m:sSub>
              </m:e>
            </m:nary>
          </m:sup>
          <m:e/>
        </m:nary>
      </m:oMath>
      <w:r>
        <w:rPr>
          <w:rFonts w:ascii="Times New Roman" w:hAnsi="Times New Roman" w:cs="Times New Roman"/>
          <w:color w:val="000000" w:themeColor="text1"/>
          <w:sz w:val="28"/>
          <w:szCs w:val="28"/>
          <w:lang w:val="ru-RU"/>
        </w:rPr>
        <w:t>,                 (11)</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где:</w:t>
      </w:r>
    </w:p>
    <w:p w:rsidR="002C229C" w:rsidRPr="00B67275" w:rsidRDefault="00097DFD" w:rsidP="00B67275">
      <w:pPr>
        <w:spacing w:line="360" w:lineRule="auto"/>
        <w:ind w:firstLine="709"/>
        <w:jc w:val="both"/>
        <w:rPr>
          <w:rFonts w:ascii="Times New Roman" w:hAnsi="Times New Roman" w:cs="Times New Roman"/>
          <w:color w:val="000000" w:themeColor="text1"/>
          <w:sz w:val="28"/>
          <w:szCs w:val="28"/>
          <w:lang w:val="ru-RU"/>
        </w:rPr>
      </w:pPr>
      <m:oMath>
        <m:sSubSup>
          <m:sSubSupPr>
            <m:ctrlPr>
              <w:rPr>
                <w:rFonts w:ascii="Cambria Math" w:hAnsi="Times New Roman"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up>
            <m:r>
              <w:rPr>
                <w:rFonts w:ascii="Cambria Math" w:hAnsi="Times New Roman" w:cs="Times New Roman"/>
                <w:color w:val="000000" w:themeColor="text1"/>
                <w:sz w:val="28"/>
                <w:szCs w:val="28"/>
                <w:lang w:val="ru-RU"/>
              </w:rPr>
              <m:t>2</m:t>
            </m:r>
          </m:sup>
        </m:sSubSup>
      </m:oMath>
      <w:r w:rsidR="002C229C" w:rsidRPr="00B67275">
        <w:rPr>
          <w:rFonts w:ascii="Times New Roman" w:hAnsi="Times New Roman" w:cs="Times New Roman"/>
          <w:color w:val="000000" w:themeColor="text1"/>
          <w:sz w:val="28"/>
          <w:szCs w:val="28"/>
          <w:lang w:val="ru-RU"/>
        </w:rPr>
        <w:t xml:space="preserve"> — дисперсия доходности инвестиционного портфеля;</w:t>
      </w:r>
    </w:p>
    <w:p w:rsidR="002C229C" w:rsidRPr="00B67275" w:rsidRDefault="00097DFD" w:rsidP="00B67275">
      <w:pPr>
        <w:spacing w:line="360" w:lineRule="auto"/>
        <w:ind w:firstLine="709"/>
        <w:jc w:val="both"/>
        <w:rPr>
          <w:rFonts w:ascii="Times New Roman" w:hAnsi="Times New Roman" w:cs="Times New Roman"/>
          <w:color w:val="000000" w:themeColor="text1"/>
          <w:sz w:val="28"/>
          <w:szCs w:val="28"/>
          <w:lang w:val="ru-RU"/>
        </w:rPr>
      </w:pPr>
      <m:oMath>
        <m:sSubSup>
          <m:sSubSupPr>
            <m:ctrlPr>
              <w:rPr>
                <w:rFonts w:ascii="Cambria Math" w:hAnsi="Times New Roman"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i</m:t>
            </m:r>
          </m:sub>
          <m:sup>
            <m:r>
              <w:rPr>
                <w:rFonts w:ascii="Cambria Math" w:hAnsi="Times New Roman" w:cs="Times New Roman"/>
                <w:color w:val="000000" w:themeColor="text1"/>
                <w:sz w:val="28"/>
                <w:szCs w:val="28"/>
                <w:lang w:val="ru-RU"/>
              </w:rPr>
              <m:t>2</m:t>
            </m:r>
          </m:sup>
        </m:sSubSup>
      </m:oMath>
      <w:r w:rsidR="002C229C" w:rsidRPr="00B67275">
        <w:rPr>
          <w:rFonts w:ascii="Times New Roman" w:hAnsi="Times New Roman" w:cs="Times New Roman"/>
          <w:color w:val="000000" w:themeColor="text1"/>
          <w:sz w:val="28"/>
          <w:szCs w:val="28"/>
          <w:lang w:val="ru-RU"/>
        </w:rPr>
        <w:t xml:space="preserve"> — д</w:t>
      </w:r>
      <w:r w:rsidR="00B67275">
        <w:rPr>
          <w:rFonts w:ascii="Times New Roman" w:hAnsi="Times New Roman" w:cs="Times New Roman"/>
          <w:color w:val="000000" w:themeColor="text1"/>
          <w:sz w:val="28"/>
          <w:szCs w:val="28"/>
          <w:lang w:val="ru-RU"/>
        </w:rPr>
        <w:t>исперсия доходности отдельного i</w:t>
      </w:r>
      <w:r w:rsidR="002C229C" w:rsidRPr="00B67275">
        <w:rPr>
          <w:rFonts w:ascii="Times New Roman" w:hAnsi="Times New Roman" w:cs="Times New Roman"/>
          <w:color w:val="000000" w:themeColor="text1"/>
          <w:sz w:val="28"/>
          <w:szCs w:val="28"/>
          <w:lang w:val="ru-RU"/>
        </w:rPr>
        <w:t>-го актива;</w:t>
      </w:r>
    </w:p>
    <w:p w:rsidR="002C229C" w:rsidRPr="00B67275" w:rsidRDefault="00097DFD"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i</m:t>
            </m:r>
          </m:sub>
        </m:sSub>
        <m:r>
          <w:rPr>
            <w:rFonts w:ascii="Cambria Math" w:hAnsi="Times New Roman" w:cs="Times New Roman"/>
            <w:color w:val="000000" w:themeColor="text1"/>
            <w:sz w:val="28"/>
            <w:szCs w:val="28"/>
            <w:lang w:val="ru-RU"/>
          </w:rPr>
          <m:t xml:space="preserve">, </m:t>
        </m:r>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j</m:t>
            </m:r>
          </m:sub>
        </m:sSub>
      </m:oMath>
      <w:r w:rsidR="002C229C" w:rsidRPr="00B67275">
        <w:rPr>
          <w:rFonts w:ascii="Times New Roman" w:hAnsi="Times New Roman" w:cs="Times New Roman"/>
          <w:color w:val="000000" w:themeColor="text1"/>
          <w:sz w:val="28"/>
          <w:szCs w:val="28"/>
          <w:lang w:val="ru-RU"/>
        </w:rPr>
        <w:t xml:space="preserve"> </w:t>
      </w:r>
      <w:r w:rsidR="00B67275">
        <w:rPr>
          <w:rFonts w:ascii="Times New Roman" w:hAnsi="Times New Roman" w:cs="Times New Roman"/>
          <w:color w:val="000000" w:themeColor="text1"/>
          <w:sz w:val="28"/>
          <w:szCs w:val="28"/>
          <w:lang w:val="ru-RU"/>
        </w:rPr>
        <w:t>— стандартные отклонения i-го и j</w:t>
      </w:r>
      <w:r w:rsidR="002C229C" w:rsidRPr="00B67275">
        <w:rPr>
          <w:rFonts w:ascii="Times New Roman" w:hAnsi="Times New Roman" w:cs="Times New Roman"/>
          <w:color w:val="000000" w:themeColor="text1"/>
          <w:sz w:val="28"/>
          <w:szCs w:val="28"/>
          <w:lang w:val="ru-RU"/>
        </w:rPr>
        <w:t>-го активов;</w:t>
      </w:r>
    </w:p>
    <w:p w:rsidR="002C229C" w:rsidRPr="00B67275" w:rsidRDefault="00097DFD"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ρ</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ij</m:t>
                </m:r>
              </m:e>
            </m:d>
          </m:sub>
        </m:sSub>
      </m:oMath>
      <w:r w:rsidR="002C229C" w:rsidRPr="00B67275">
        <w:rPr>
          <w:rFonts w:ascii="Times New Roman" w:hAnsi="Times New Roman" w:cs="Times New Roman"/>
          <w:color w:val="000000" w:themeColor="text1"/>
          <w:sz w:val="28"/>
          <w:szCs w:val="28"/>
          <w:lang w:val="ru-RU"/>
        </w:rPr>
        <w:t xml:space="preserve"> — коэффициент корреляции Пирсона между доходностями активов</w:t>
      </w:r>
      <m:oMath>
        <m:r>
          <w:rPr>
            <w:rFonts w:ascii="Cambria Math" w:hAnsi="Times New Roman" w:cs="Times New Roman"/>
            <w:color w:val="000000" w:themeColor="text1"/>
            <w:sz w:val="28"/>
            <w:szCs w:val="28"/>
            <w:lang w:val="ru-RU"/>
          </w:rPr>
          <m:t xml:space="preserve"> </m:t>
        </m:r>
        <m:r>
          <w:rPr>
            <w:rFonts w:ascii="Cambria Math" w:hAnsi="Cambria Math" w:cs="Times New Roman"/>
            <w:color w:val="000000" w:themeColor="text1"/>
            <w:sz w:val="28"/>
            <w:szCs w:val="28"/>
            <w:lang w:val="ru-RU"/>
          </w:rPr>
          <m:t>i</m:t>
        </m:r>
      </m:oMath>
      <w:r w:rsidR="002C229C" w:rsidRPr="00B67275">
        <w:rPr>
          <w:rFonts w:ascii="Times New Roman" w:hAnsi="Times New Roman" w:cs="Times New Roman"/>
          <w:color w:val="000000" w:themeColor="text1"/>
          <w:sz w:val="28"/>
          <w:szCs w:val="28"/>
          <w:lang w:val="ru-RU"/>
        </w:rPr>
        <w:t xml:space="preserve"> и </w:t>
      </w:r>
      <m:oMath>
        <m:r>
          <w:rPr>
            <w:rFonts w:ascii="Cambria Math" w:hAnsi="Cambria Math" w:cs="Times New Roman"/>
            <w:color w:val="000000" w:themeColor="text1"/>
            <w:sz w:val="28"/>
            <w:szCs w:val="28"/>
            <w:lang w:val="ru-RU"/>
          </w:rPr>
          <m:t>j</m:t>
        </m:r>
      </m:oMath>
      <w:r w:rsidR="002C229C" w:rsidRPr="00B67275">
        <w:rPr>
          <w:rFonts w:ascii="Times New Roman" w:hAnsi="Times New Roman" w:cs="Times New Roman"/>
          <w:color w:val="000000" w:themeColor="text1"/>
          <w:sz w:val="28"/>
          <w:szCs w:val="28"/>
          <w:lang w:val="ru-RU"/>
        </w:rPr>
        <w:t>.</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 xml:space="preserve">Второе слагаемое данного уравнения, представляющее собой сумму ковариаций всех пар активов, играет критическую роль в процессе оптимизации. В исходном состоянии инвестиционный портфель ОПИФ РФИ «ВИМ-Металлургия» является жестко концентрированным. С точки зрения математической статистики это означает, что значения коэффициента корреляции </w:t>
      </w:r>
      <m:oMath>
        <m:d>
          <m:dPr>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r</m:t>
            </m:r>
            <m:r>
              <w:rPr>
                <w:rFonts w:ascii="Times New Roman" w:hAnsi="Times New Roman" w:cs="Times New Roman"/>
                <w:color w:val="000000" w:themeColor="text1"/>
                <w:sz w:val="28"/>
                <w:szCs w:val="28"/>
                <w:lang w:val="ru-RU"/>
              </w:rPr>
              <m:t>h</m:t>
            </m:r>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o</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ij</m:t>
                    </m:r>
                  </m:e>
                </m:d>
              </m:sub>
            </m:sSub>
          </m:e>
        </m:d>
      </m:oMath>
      <w:r w:rsidRPr="00B67275">
        <w:rPr>
          <w:rFonts w:ascii="Times New Roman" w:hAnsi="Times New Roman" w:cs="Times New Roman"/>
          <w:color w:val="000000" w:themeColor="text1"/>
          <w:sz w:val="28"/>
          <w:szCs w:val="28"/>
          <w:lang w:val="ru-RU"/>
        </w:rPr>
        <w:t>между активами фонда асимптотически стремятся к единице, поскольку предприятия одной узкой отрасли синхронно реагируют на фазы единого макроэкономического цикла. При значениях корреляции, близких к единице, эффект снижения риска за счет распределения капитала полностью обнуляется, а общая волатильность портфеля остается избыточно высокой, делая инвестиции неоправданно рискованными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[24, с. 781]</w:t>
      </w:r>
      <w:r w:rsidRPr="00B67275">
        <w:rPr>
          <w:rFonts w:ascii="Times New Roman" w:hAnsi="Times New Roman" w:cs="Times New Roman"/>
          <w:color w:val="000000" w:themeColor="text1"/>
          <w:sz w:val="28"/>
          <w:szCs w:val="28"/>
          <w:lang w:val="ru-RU"/>
        </w:rPr>
        <w:t>.</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Глубинный экономический и математический смысл предложенной в данной главе ребалансировки заключается в целенаправленном внедрении в портфель активов, обладающих математически доказанной слабой, нулевой или отрицательной корреляцией с базовым ядром черной и цветной металлургии. Введение акций золотодобывающего сегмента и производителей минеральных удобрений радикально трансформирует ковариационную матрицу портфеля. Поскольку рынки драгоценных металлов и агрохимии зависят от автономных глобальных циклов, коэффициент корреляции между новыми активами и металлургическими гигантами существенно снижается. Согласно приведенному выше уравнению дисперсии, снижение корреляционной зависимости ведет к резкому и масштабному уменьшению второго слагаемого. Это позволяет нелинейно</w:t>
      </w:r>
      <w:r w:rsidRPr="002C229C">
        <w:rPr>
          <w:rFonts w:ascii="Times New Roman" w:hAnsi="Times New Roman" w:cs="Times New Roman"/>
          <w:color w:val="000000" w:themeColor="text1"/>
          <w:sz w:val="28"/>
          <w:szCs w:val="28"/>
          <w:lang w:val="ru-RU"/>
        </w:rPr>
        <w:t xml:space="preserve"> </w:t>
      </w:r>
      <w:r w:rsidRPr="00B67275">
        <w:rPr>
          <w:rFonts w:ascii="Times New Roman" w:hAnsi="Times New Roman" w:cs="Times New Roman"/>
          <w:color w:val="000000" w:themeColor="text1"/>
          <w:sz w:val="28"/>
          <w:szCs w:val="28"/>
          <w:lang w:val="ru-RU"/>
        </w:rPr>
        <w:t xml:space="preserve">снизить общее стандартное </w:t>
      </w:r>
      <w:r w:rsidRPr="00B67275">
        <w:rPr>
          <w:rFonts w:ascii="Times New Roman" w:hAnsi="Times New Roman" w:cs="Times New Roman"/>
          <w:color w:val="000000" w:themeColor="text1"/>
          <w:sz w:val="28"/>
          <w:szCs w:val="28"/>
          <w:lang w:val="ru-RU"/>
        </w:rPr>
        <w:lastRenderedPageBreak/>
        <w:t>отклонение портфеля, нивелируя значительную долю несистематического риска без потери доходности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[13, с. 115]</w:t>
      </w:r>
      <w:r w:rsidRPr="00B67275">
        <w:rPr>
          <w:rFonts w:ascii="Times New Roman" w:hAnsi="Times New Roman" w:cs="Times New Roman"/>
          <w:color w:val="000000" w:themeColor="text1"/>
          <w:sz w:val="28"/>
          <w:szCs w:val="28"/>
          <w:lang w:val="ru-RU"/>
        </w:rPr>
        <w:t>.</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 xml:space="preserve">Моделирование итоговых результатов ребалансировки базируется на алгоритме перераспределения удельных весов. В оптимизированной модели вес </w:t>
      </w:r>
      <w:proofErr w:type="spellStart"/>
      <w:r w:rsidRPr="00B67275">
        <w:rPr>
          <w:rFonts w:ascii="Times New Roman" w:hAnsi="Times New Roman" w:cs="Times New Roman"/>
          <w:color w:val="000000" w:themeColor="text1"/>
          <w:sz w:val="28"/>
          <w:szCs w:val="28"/>
          <w:lang w:val="ru-RU"/>
        </w:rPr>
        <w:t>высокорисковых</w:t>
      </w:r>
      <w:proofErr w:type="spellEnd"/>
      <w:r w:rsidRPr="00B67275">
        <w:rPr>
          <w:rFonts w:ascii="Times New Roman" w:hAnsi="Times New Roman" w:cs="Times New Roman"/>
          <w:color w:val="000000" w:themeColor="text1"/>
          <w:sz w:val="28"/>
          <w:szCs w:val="28"/>
          <w:lang w:val="ru-RU"/>
        </w:rPr>
        <w:t xml:space="preserve"> и </w:t>
      </w:r>
      <w:proofErr w:type="spellStart"/>
      <w:r w:rsidRPr="00B67275">
        <w:rPr>
          <w:rFonts w:ascii="Times New Roman" w:hAnsi="Times New Roman" w:cs="Times New Roman"/>
          <w:color w:val="000000" w:themeColor="text1"/>
          <w:sz w:val="28"/>
          <w:szCs w:val="28"/>
          <w:lang w:val="ru-RU"/>
        </w:rPr>
        <w:t>закредитованных</w:t>
      </w:r>
      <w:proofErr w:type="spellEnd"/>
      <w:r w:rsidRPr="00B67275">
        <w:rPr>
          <w:rFonts w:ascii="Times New Roman" w:hAnsi="Times New Roman" w:cs="Times New Roman"/>
          <w:color w:val="000000" w:themeColor="text1"/>
          <w:sz w:val="28"/>
          <w:szCs w:val="28"/>
          <w:lang w:val="ru-RU"/>
        </w:rPr>
        <w:t xml:space="preserve"> аутсайдеров директивно снижается. Высвобожденный капитал </w:t>
      </w:r>
      <w:proofErr w:type="spellStart"/>
      <w:r w:rsidRPr="00B67275">
        <w:rPr>
          <w:rFonts w:ascii="Times New Roman" w:hAnsi="Times New Roman" w:cs="Times New Roman"/>
          <w:color w:val="000000" w:themeColor="text1"/>
          <w:sz w:val="28"/>
          <w:szCs w:val="28"/>
          <w:lang w:val="ru-RU"/>
        </w:rPr>
        <w:t>аллоцируется</w:t>
      </w:r>
      <w:proofErr w:type="spellEnd"/>
      <w:r w:rsidRPr="00B67275">
        <w:rPr>
          <w:rFonts w:ascii="Times New Roman" w:hAnsi="Times New Roman" w:cs="Times New Roman"/>
          <w:color w:val="000000" w:themeColor="text1"/>
          <w:sz w:val="28"/>
          <w:szCs w:val="28"/>
          <w:lang w:val="ru-RU"/>
        </w:rPr>
        <w:t xml:space="preserve"> в бумаги фундаментально сильных эмитентов. Поскольку эти компании характеризуются высокой рентабельностью и стабильной генерацией свободного денежного потока, математическое ожидание их доходности стабильно превосходит показатели исключаемых корпораций. Таким образом, в уравнении ожидаемой доходности портфеля происходит математическое замещение неэффективных элементов на высокодоходные, что сохраняет или увеличивает совокупную доходность всей системы.</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Итоговым интегральным индикатором, безоговорочно и математически доказывающим эффективность предложенной структурной ребалансировки, выступает коэффициент Шарпа, оценивающий премию за риск на единицу совокупной волатильности:</w:t>
      </w:r>
    </w:p>
    <w:p w:rsidR="002C229C" w:rsidRPr="00B67275" w:rsidRDefault="00B67275" w:rsidP="00B67275">
      <w:pPr>
        <w:spacing w:line="360" w:lineRule="auto"/>
        <w:ind w:firstLine="709"/>
        <w:jc w:val="both"/>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                          </w:t>
      </w: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K</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S</m:t>
                </m:r>
                <m:r>
                  <w:rPr>
                    <w:rFonts w:ascii="Times New Roman" w:hAnsi="Times New Roman" w:cs="Times New Roman"/>
                    <w:color w:val="000000" w:themeColor="text1"/>
                    <w:sz w:val="28"/>
                    <w:szCs w:val="28"/>
                    <w:lang w:val="ru-RU"/>
                  </w:rPr>
                  <m:t>h</m:t>
                </m:r>
                <m:r>
                  <w:rPr>
                    <w:rFonts w:ascii="Cambria Math" w:hAnsi="Cambria Math" w:cs="Times New Roman"/>
                    <w:color w:val="000000" w:themeColor="text1"/>
                    <w:sz w:val="28"/>
                    <w:szCs w:val="28"/>
                    <w:lang w:val="ru-RU"/>
                  </w:rPr>
                  <m:t>arpe</m:t>
                </m:r>
              </m:e>
            </m:d>
          </m:sub>
        </m:sSub>
        <m:r>
          <w:rPr>
            <w:rFonts w:ascii="Cambria Math" w:hAnsi="Times New Roman" w:cs="Times New Roman"/>
            <w:color w:val="000000" w:themeColor="text1"/>
            <w:sz w:val="28"/>
            <w:szCs w:val="28"/>
            <w:lang w:val="ru-RU"/>
          </w:rPr>
          <m:t>= \</m:t>
        </m:r>
        <m:r>
          <w:rPr>
            <w:rFonts w:ascii="Cambria Math" w:hAnsi="Cambria Math" w:cs="Times New Roman"/>
            <w:color w:val="000000" w:themeColor="text1"/>
            <w:sz w:val="28"/>
            <w:szCs w:val="28"/>
            <w:lang w:val="ru-RU"/>
          </w:rPr>
          <m:t>frac</m:t>
        </m:r>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p</m:t>
                    </m:r>
                  </m:sub>
                </m:sSub>
              </m:e>
            </m:d>
            <m:r>
              <w:rPr>
                <w:rFonts w:ascii="Times New Roman" w:hAnsi="Times New Roman" w:cs="Times New Roman"/>
                <w:color w:val="000000" w:themeColor="text1"/>
                <w:sz w:val="28"/>
                <w:szCs w:val="28"/>
                <w:lang w:val="ru-RU"/>
              </w:rPr>
              <m:t>-</m:t>
            </m:r>
            <m:r>
              <w:rPr>
                <w:rFonts w:ascii="Cambria Math" w:hAnsi="Times New Roman" w:cs="Times New Roman"/>
                <w:color w:val="000000" w:themeColor="text1"/>
                <w:sz w:val="28"/>
                <w:szCs w:val="28"/>
                <w:lang w:val="ru-RU"/>
              </w:rPr>
              <m:t xml:space="preserve"> </m:t>
            </m:r>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f</m:t>
                </m:r>
              </m:sub>
            </m:sSub>
          </m:e>
        </m:d>
        <m:d>
          <m:dPr>
            <m:begChr m:val="{"/>
            <m:endChr m:val="}"/>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Sub>
          </m:e>
        </m:d>
      </m:oMath>
      <w:r>
        <w:rPr>
          <w:rFonts w:ascii="Times New Roman" w:hAnsi="Times New Roman" w:cs="Times New Roman"/>
          <w:color w:val="000000" w:themeColor="text1"/>
          <w:sz w:val="28"/>
          <w:szCs w:val="28"/>
          <w:lang w:val="ru-RU"/>
        </w:rPr>
        <w:t>,                             (12)</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где:</w:t>
      </w:r>
    </w:p>
    <w:p w:rsidR="002C229C" w:rsidRPr="00B67275" w:rsidRDefault="00097DFD"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K</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S</m:t>
                </m:r>
                <m:r>
                  <w:rPr>
                    <w:rFonts w:ascii="Times New Roman" w:hAnsi="Times New Roman" w:cs="Times New Roman"/>
                    <w:color w:val="000000" w:themeColor="text1"/>
                    <w:sz w:val="28"/>
                    <w:szCs w:val="28"/>
                    <w:lang w:val="ru-RU"/>
                  </w:rPr>
                  <m:t>h</m:t>
                </m:r>
                <m:r>
                  <w:rPr>
                    <w:rFonts w:ascii="Cambria Math" w:hAnsi="Cambria Math" w:cs="Times New Roman"/>
                    <w:color w:val="000000" w:themeColor="text1"/>
                    <w:sz w:val="28"/>
                    <w:szCs w:val="28"/>
                    <w:lang w:val="ru-RU"/>
                  </w:rPr>
                  <m:t>arpe</m:t>
                </m:r>
              </m:e>
            </m:d>
          </m:sub>
        </m:sSub>
      </m:oMath>
      <w:r w:rsidR="002C229C" w:rsidRPr="00B67275">
        <w:rPr>
          <w:rFonts w:ascii="Times New Roman" w:hAnsi="Times New Roman" w:cs="Times New Roman"/>
          <w:color w:val="000000" w:themeColor="text1"/>
          <w:sz w:val="28"/>
          <w:szCs w:val="28"/>
          <w:lang w:val="ru-RU"/>
        </w:rPr>
        <w:t xml:space="preserve"> — коэффициент Шарпа;</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p</m:t>
                </m:r>
              </m:sub>
            </m:sSub>
          </m:e>
        </m:d>
      </m:oMath>
      <w:r w:rsidRPr="00B67275">
        <w:rPr>
          <w:rFonts w:ascii="Times New Roman" w:hAnsi="Times New Roman" w:cs="Times New Roman"/>
          <w:color w:val="000000" w:themeColor="text1"/>
          <w:sz w:val="28"/>
          <w:szCs w:val="28"/>
          <w:lang w:val="ru-RU"/>
        </w:rPr>
        <w:t xml:space="preserve"> — ожидаемая доходность портфеля;</w:t>
      </w:r>
    </w:p>
    <w:p w:rsidR="002C229C" w:rsidRPr="00B67275" w:rsidRDefault="00097DFD"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f</m:t>
            </m:r>
          </m:sub>
        </m:sSub>
      </m:oMath>
      <w:r w:rsidR="002C229C" w:rsidRPr="00B67275">
        <w:rPr>
          <w:rFonts w:ascii="Times New Roman" w:hAnsi="Times New Roman" w:cs="Times New Roman"/>
          <w:color w:val="000000" w:themeColor="text1"/>
          <w:sz w:val="28"/>
          <w:szCs w:val="28"/>
          <w:lang w:val="ru-RU"/>
        </w:rPr>
        <w:t xml:space="preserve"> — доходность безрискового актива;</w:t>
      </w:r>
    </w:p>
    <w:p w:rsidR="002C229C" w:rsidRPr="00B67275" w:rsidRDefault="00097DFD"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Sub>
      </m:oMath>
      <w:r w:rsidR="002C229C" w:rsidRPr="00B67275">
        <w:rPr>
          <w:rFonts w:ascii="Times New Roman" w:hAnsi="Times New Roman" w:cs="Times New Roman"/>
          <w:color w:val="000000" w:themeColor="text1"/>
          <w:sz w:val="28"/>
          <w:szCs w:val="28"/>
          <w:lang w:val="ru-RU"/>
        </w:rPr>
        <w:t xml:space="preserve"> — стандартное отклонение портфеля.</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 xml:space="preserve">В оптимизированном портфеле инициируется одновременное математическое улучшение обоих ключевых параметров данной дроби. За счет исключения обремененных долгами активов и добавления </w:t>
      </w:r>
      <w:r w:rsidRPr="00B67275">
        <w:rPr>
          <w:rFonts w:ascii="Times New Roman" w:hAnsi="Times New Roman" w:cs="Times New Roman"/>
          <w:color w:val="000000" w:themeColor="text1"/>
          <w:sz w:val="28"/>
          <w:szCs w:val="28"/>
          <w:lang w:val="ru-RU"/>
        </w:rPr>
        <w:lastRenderedPageBreak/>
        <w:t>высокомаржинальных компаний из смежных секторов увеличивается числитель уравнения — ожидаемая премия за риск. Параллельно с этим, благодаря интеграции инструментов с низкой ковариацией, резко уменьшается знаменатель уравнения — стандартное отклонение. С позиции математического анализа, одновременный рост числителя и уменьшение знаменателя приводят к взрывному, мультипликативному росту итогового значения целевой функции</w:t>
      </w:r>
      <w:r w:rsidR="0094314F">
        <w:rPr>
          <w:rFonts w:ascii="Times New Roman" w:hAnsi="Times New Roman" w:cs="Times New Roman"/>
          <w:color w:val="000000" w:themeColor="text1"/>
          <w:sz w:val="28"/>
          <w:szCs w:val="28"/>
          <w:lang w:val="ru-RU"/>
        </w:rPr>
        <w:t xml:space="preserve"> [25, с. 158</w:t>
      </w:r>
      <w:r w:rsidR="0094314F" w:rsidRPr="0094314F">
        <w:rPr>
          <w:rFonts w:ascii="Times New Roman" w:hAnsi="Times New Roman" w:cs="Times New Roman"/>
          <w:color w:val="000000" w:themeColor="text1"/>
          <w:sz w:val="28"/>
          <w:szCs w:val="28"/>
          <w:lang w:val="ru-RU"/>
        </w:rPr>
        <w:t>]</w:t>
      </w:r>
      <w:r w:rsidRPr="00B67275">
        <w:rPr>
          <w:rFonts w:ascii="Times New Roman" w:hAnsi="Times New Roman" w:cs="Times New Roman"/>
          <w:color w:val="000000" w:themeColor="text1"/>
          <w:sz w:val="28"/>
          <w:szCs w:val="28"/>
          <w:lang w:val="ru-RU"/>
        </w:rPr>
        <w:t>.</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 xml:space="preserve">Исходя из представленных расчетов, строго математически доказано, что оптимизированный портфель будет обладать коэффициентами качества, многократно превышающими исторические метрики исходного узкоотраслевого фонда. На классическом графике «риск-доходность» данная ребалансировка сдвинет координаты фонда строго вверх (в зону более высокой доходности) и влево (в зону меньшего риска), тем самым приблизив инвестиционный портфель к истинному эффективному фронту </w:t>
      </w:r>
      <w:proofErr w:type="spellStart"/>
      <w:r w:rsidRPr="00B67275">
        <w:rPr>
          <w:rFonts w:ascii="Times New Roman" w:hAnsi="Times New Roman" w:cs="Times New Roman"/>
          <w:color w:val="000000" w:themeColor="text1"/>
          <w:sz w:val="28"/>
          <w:szCs w:val="28"/>
          <w:lang w:val="ru-RU"/>
        </w:rPr>
        <w:t>Марковица</w:t>
      </w:r>
      <w:proofErr w:type="spellEnd"/>
      <w:r w:rsidRPr="00B67275">
        <w:rPr>
          <w:rFonts w:ascii="Times New Roman" w:hAnsi="Times New Roman" w:cs="Times New Roman"/>
          <w:color w:val="000000" w:themeColor="text1"/>
          <w:sz w:val="28"/>
          <w:szCs w:val="28"/>
          <w:lang w:val="ru-RU"/>
        </w:rPr>
        <w:t xml:space="preserve"> и обеспечив инвесторам максимальную экономическую компенсацию за принимаемый риск в условиях современной макроэкономической турбулентности.</w:t>
      </w:r>
    </w:p>
    <w:p w:rsidR="00793D47" w:rsidRPr="00B67275" w:rsidRDefault="00793D47" w:rsidP="00B67275">
      <w:pPr>
        <w:spacing w:line="360" w:lineRule="auto"/>
        <w:jc w:val="both"/>
        <w:rPr>
          <w:rFonts w:ascii="Times New Roman" w:hAnsi="Times New Roman" w:cs="Times New Roman"/>
          <w:b/>
          <w:color w:val="000000" w:themeColor="text1"/>
          <w:sz w:val="28"/>
          <w:szCs w:val="40"/>
          <w:lang w:val="ru-RU"/>
        </w:rPr>
      </w:pPr>
      <w:r w:rsidRPr="00B67275">
        <w:rPr>
          <w:rFonts w:ascii="Times New Roman" w:hAnsi="Times New Roman" w:cs="Times New Roman"/>
          <w:lang w:val="ru-RU"/>
        </w:rPr>
        <w:br w:type="page"/>
      </w:r>
    </w:p>
    <w:p w:rsidR="0007704C" w:rsidRDefault="0007704C" w:rsidP="00B67275">
      <w:pPr>
        <w:pStyle w:val="1"/>
        <w:spacing w:before="0" w:after="0" w:line="360" w:lineRule="auto"/>
        <w:rPr>
          <w:lang w:val="ru-RU"/>
        </w:rPr>
      </w:pPr>
      <w:bookmarkStart w:id="13" w:name="_Toc230233422"/>
      <w:r w:rsidRPr="0007704C">
        <w:rPr>
          <w:lang w:val="ru-RU"/>
        </w:rPr>
        <w:lastRenderedPageBreak/>
        <w:t>Заключение</w:t>
      </w:r>
      <w:bookmarkEnd w:id="13"/>
    </w:p>
    <w:p w:rsidR="0007704C" w:rsidRPr="0007704C" w:rsidRDefault="0007704C" w:rsidP="00B67275">
      <w:pPr>
        <w:spacing w:line="360" w:lineRule="auto"/>
        <w:ind w:firstLine="709"/>
        <w:jc w:val="both"/>
        <w:rPr>
          <w:rFonts w:ascii="Times New Roman" w:hAnsi="Times New Roman" w:cs="Times New Roman"/>
          <w:sz w:val="28"/>
          <w:szCs w:val="28"/>
          <w:lang w:val="ru-RU"/>
        </w:rPr>
      </w:pPr>
    </w:p>
    <w:p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Настоящая выпускная квалификационная работа была посвящена комплексному исследованию теоретических, методологических и практических аспектов оценки и повышения качества инвестиционного портфеля на примере отраслевого фонда ОПИФ РФИ «ВИМ-Металлургия». В ходе выполнения исследования были решены все поставленные задачи, а полученные результаты позволили сформировать объективную картину эффективности управления активами на современном фондовом рынке.</w:t>
      </w:r>
    </w:p>
    <w:p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 xml:space="preserve">Подводя итоги первой главы, следует констатировать, что проведенное теоретическое исследование убедительно доказало методологическую ограниченность применения исключительно классических финансовых метрик для оценки качества инвестиционного портфеля. Традиционный подход, базирующийся на инструментах математической статистики (стандартном отклонении, бета-коэффициенте, коэффициентах Шарпа, </w:t>
      </w:r>
      <w:proofErr w:type="spellStart"/>
      <w:r w:rsidRPr="0007704C">
        <w:rPr>
          <w:rFonts w:ascii="Times New Roman" w:hAnsi="Times New Roman" w:cs="Times New Roman"/>
          <w:sz w:val="28"/>
          <w:szCs w:val="28"/>
          <w:lang w:val="ru-RU"/>
        </w:rPr>
        <w:t>Сортино</w:t>
      </w:r>
      <w:proofErr w:type="spellEnd"/>
      <w:r w:rsidRPr="0007704C">
        <w:rPr>
          <w:rFonts w:ascii="Times New Roman" w:hAnsi="Times New Roman" w:cs="Times New Roman"/>
          <w:sz w:val="28"/>
          <w:szCs w:val="28"/>
          <w:lang w:val="ru-RU"/>
        </w:rPr>
        <w:t xml:space="preserve">, </w:t>
      </w:r>
      <w:proofErr w:type="spellStart"/>
      <w:r w:rsidRPr="0007704C">
        <w:rPr>
          <w:rFonts w:ascii="Times New Roman" w:hAnsi="Times New Roman" w:cs="Times New Roman"/>
          <w:sz w:val="28"/>
          <w:szCs w:val="28"/>
          <w:lang w:val="ru-RU"/>
        </w:rPr>
        <w:t>Трейнора</w:t>
      </w:r>
      <w:proofErr w:type="spellEnd"/>
      <w:r w:rsidRPr="0007704C">
        <w:rPr>
          <w:rFonts w:ascii="Times New Roman" w:hAnsi="Times New Roman" w:cs="Times New Roman"/>
          <w:sz w:val="28"/>
          <w:szCs w:val="28"/>
          <w:lang w:val="ru-RU"/>
        </w:rPr>
        <w:t>), носит сугубо ретроспективный характер. Данные показатели отражают лишь историческую волатильность ценовых котировок, но не способны предсказать будущие изменения стоимости активов в условиях смены макроэкономических циклов. Была теоретически обоснована и доказана острая необходимость применения фундаментального и финансового анализа (оценки показателей ликвидности, рентабельности активов и капитала, деловой активности, а также моделей прогнозирования риска банкротства) для достоверной оценки реального инвестиционного качества самих объектов инвестирования — предприятий-эмитентов.</w:t>
      </w:r>
    </w:p>
    <w:p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 xml:space="preserve">Во второй главе работы результаты данного интегрированного подхода были применены для оценки реального качества инвестиционного портфеля ОПИФ РФИ «ВИМ-Металлургия». Анализ показал, что рассматриваемый </w:t>
      </w:r>
      <w:r w:rsidRPr="0007704C">
        <w:rPr>
          <w:rFonts w:ascii="Times New Roman" w:hAnsi="Times New Roman" w:cs="Times New Roman"/>
          <w:sz w:val="28"/>
          <w:szCs w:val="28"/>
          <w:lang w:val="ru-RU"/>
        </w:rPr>
        <w:lastRenderedPageBreak/>
        <w:t xml:space="preserve">фонд является экстремально концентрированным: более 93% активов жестко </w:t>
      </w:r>
      <w:proofErr w:type="spellStart"/>
      <w:r w:rsidRPr="0007704C">
        <w:rPr>
          <w:rFonts w:ascii="Times New Roman" w:hAnsi="Times New Roman" w:cs="Times New Roman"/>
          <w:sz w:val="28"/>
          <w:szCs w:val="28"/>
          <w:lang w:val="ru-RU"/>
        </w:rPr>
        <w:t>аллоцировано</w:t>
      </w:r>
      <w:proofErr w:type="spellEnd"/>
      <w:r w:rsidRPr="0007704C">
        <w:rPr>
          <w:rFonts w:ascii="Times New Roman" w:hAnsi="Times New Roman" w:cs="Times New Roman"/>
          <w:sz w:val="28"/>
          <w:szCs w:val="28"/>
          <w:lang w:val="ru-RU"/>
        </w:rPr>
        <w:t xml:space="preserve"> в одном секторе — «Сырье и материалы». Подобная узкоотраслевая структура блокирует эффекты межотраслевой диверсификации, генерирует избыточную дисперсию и ставит стоимость чистых активов в критическую зависимость от колебаний глобального сырьевого рынка. Детальный фундаментальный анализ пяти крупнейших базовых активов фонда </w:t>
      </w:r>
      <w:r w:rsidR="002C229C" w:rsidRPr="0007704C">
        <w:rPr>
          <w:rFonts w:ascii="Times New Roman" w:hAnsi="Times New Roman" w:cs="Times New Roman"/>
          <w:sz w:val="28"/>
          <w:szCs w:val="28"/>
          <w:lang w:val="ru-RU"/>
        </w:rPr>
        <w:t>продемонстрировал</w:t>
      </w:r>
      <w:r w:rsidRPr="0007704C">
        <w:rPr>
          <w:rFonts w:ascii="Times New Roman" w:hAnsi="Times New Roman" w:cs="Times New Roman"/>
          <w:sz w:val="28"/>
          <w:szCs w:val="28"/>
          <w:lang w:val="ru-RU"/>
        </w:rPr>
        <w:t xml:space="preserve"> их глубокую структурную неоднородность. Было выявлено, что сверхнадежные активы с отрицательной долговой нагрузкой, выдающимися показателями рентабельности и безупречной ликвидностью (ПАО «Северсталь», ПАО «ММК», ПАО «Корпорация ВСМПО-АВИСМА») в структуре фонда соседствуют с компаниями, испытывающими серьезное долговое давление, дефицит свободных денежных потоков и циклическое снижение рентабельности (МКПАО «ЭН+ ГРУП», ПАО «ГМК «Норильский никель»). Наличие подобных фундаментально ослабленных активов существенно ухудшает общие риск-метрики портфеля.</w:t>
      </w:r>
    </w:p>
    <w:p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На основе выявленных структурных дисбалансов, в третьей главе были разработаны научно обоснованные практические рекомендации, направленные на повышение доходности и снижение совокупных рисков портфеля. В качестве первоочередной меры предложена тактическая ребалансировка: замена высокорисковых и обремененных долгами активов на ценные бумаги предприятий золотодобывающего сектора (ПАО «Полюс», ПАО «ЮГК» или ПАО «</w:t>
      </w:r>
      <w:proofErr w:type="spellStart"/>
      <w:r w:rsidRPr="0007704C">
        <w:rPr>
          <w:rFonts w:ascii="Times New Roman" w:hAnsi="Times New Roman" w:cs="Times New Roman"/>
          <w:sz w:val="28"/>
          <w:szCs w:val="28"/>
          <w:lang w:val="ru-RU"/>
        </w:rPr>
        <w:t>Селигдар</w:t>
      </w:r>
      <w:proofErr w:type="spellEnd"/>
      <w:r w:rsidRPr="0007704C">
        <w:rPr>
          <w:rFonts w:ascii="Times New Roman" w:hAnsi="Times New Roman" w:cs="Times New Roman"/>
          <w:sz w:val="28"/>
          <w:szCs w:val="28"/>
          <w:lang w:val="ru-RU"/>
        </w:rPr>
        <w:t xml:space="preserve">»). Золотодобыча в текущих макроэкономических условиях выступает мощным «защитным» активом с исторически высокой маржинальностью, способным стабилизировать доходность фонда при волатильности цен на промышленные металлы. Кроме того, для купирования концентрационных рисков предложена </w:t>
      </w:r>
      <w:r w:rsidRPr="0007704C">
        <w:rPr>
          <w:rFonts w:ascii="Times New Roman" w:hAnsi="Times New Roman" w:cs="Times New Roman"/>
          <w:sz w:val="28"/>
          <w:szCs w:val="28"/>
          <w:lang w:val="ru-RU"/>
        </w:rPr>
        <w:lastRenderedPageBreak/>
        <w:t xml:space="preserve">диверсификация портфеля за счет включения первоклассных эмитентов из смежных отраслей — химической промышленности (ПАО «ФосАгро»), транспортной логистики (ПАО «Совкомфлот») и электроэнергетики (ПАО «Интер РАО»). Данные компании исторически демонстрируют корреляцию с общим индустриальным циклом, однако подвержены совершенно иным отраслевым факторам риска. Имплементация данных мер позволит математически снизить максимальную просадку портфеля, улучшить показатели риск-скорректированной доходности (коэффициенты Шарпа и </w:t>
      </w:r>
      <w:proofErr w:type="spellStart"/>
      <w:r w:rsidRPr="0007704C">
        <w:rPr>
          <w:rFonts w:ascii="Times New Roman" w:hAnsi="Times New Roman" w:cs="Times New Roman"/>
          <w:sz w:val="28"/>
          <w:szCs w:val="28"/>
          <w:lang w:val="ru-RU"/>
        </w:rPr>
        <w:t>Сортино</w:t>
      </w:r>
      <w:proofErr w:type="spellEnd"/>
      <w:r w:rsidRPr="0007704C">
        <w:rPr>
          <w:rFonts w:ascii="Times New Roman" w:hAnsi="Times New Roman" w:cs="Times New Roman"/>
          <w:sz w:val="28"/>
          <w:szCs w:val="28"/>
          <w:lang w:val="ru-RU"/>
        </w:rPr>
        <w:t>) и обеспечить устойчивый прирост стоимости чистых активов фонда.</w:t>
      </w:r>
    </w:p>
    <w:p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Главный вывод настоящей выпускной квалификационной работы заключается в том, что выдвинутая гипотеза была полностью подтверждена: только комплексный анализ, подразумевающий органичное совмещение портфельных метрик математической статистики и глубокого фундаментального анализа базовых активов, дает наиболее точную, объективную и прогностически ценную оценку качества инвестиционного портфеля. Опора исключительно на внешнюю ценовую статистику скрывает угрозы платежеспособности эмитентов, в то время как синтез классической портфельной теории с корпоративным финансовым анализом позволяет управляющему фондом своевременно диагностировать внутренние риски бизнеса, проводить обоснованную ребалансировку и выстраивать инвестиционную стратегию, максимизирующую благосостояние пайщиков.</w:t>
      </w:r>
    </w:p>
    <w:p w:rsidR="0007704C" w:rsidRPr="0007704C" w:rsidRDefault="0007704C" w:rsidP="00B67275">
      <w:pPr>
        <w:spacing w:line="360" w:lineRule="auto"/>
        <w:ind w:firstLine="709"/>
        <w:jc w:val="both"/>
        <w:rPr>
          <w:rFonts w:ascii="Times New Roman" w:hAnsi="Times New Roman" w:cs="Times New Roman"/>
          <w:sz w:val="28"/>
          <w:szCs w:val="28"/>
          <w:lang w:val="ru-RU"/>
        </w:rPr>
      </w:pPr>
    </w:p>
    <w:p w:rsidR="0007704C" w:rsidRPr="0007704C" w:rsidRDefault="0007704C" w:rsidP="0007704C">
      <w:pPr>
        <w:spacing w:line="360" w:lineRule="auto"/>
        <w:ind w:firstLine="709"/>
        <w:jc w:val="both"/>
        <w:rPr>
          <w:rFonts w:ascii="Times New Roman" w:hAnsi="Times New Roman" w:cs="Times New Roman"/>
          <w:sz w:val="28"/>
          <w:szCs w:val="28"/>
          <w:lang w:val="ru-RU"/>
        </w:rPr>
      </w:pPr>
    </w:p>
    <w:p w:rsidR="00FE64C3" w:rsidRPr="00FE64C3" w:rsidRDefault="00FE64C3" w:rsidP="00FE64C3">
      <w:pPr>
        <w:ind w:firstLine="709"/>
        <w:jc w:val="both"/>
        <w:rPr>
          <w:rFonts w:ascii="Times New Roman" w:hAnsi="Times New Roman" w:cs="Times New Roman"/>
          <w:sz w:val="28"/>
          <w:szCs w:val="28"/>
          <w:lang w:val="ru-RU"/>
        </w:rPr>
      </w:pPr>
    </w:p>
    <w:p w:rsidR="0097563D" w:rsidRPr="00B67275" w:rsidRDefault="0097563D" w:rsidP="00B67275">
      <w:pPr>
        <w:pStyle w:val="1"/>
        <w:spacing w:before="0" w:after="0" w:line="360" w:lineRule="auto"/>
        <w:ind w:firstLine="709"/>
        <w:rPr>
          <w:rFonts w:eastAsia="Times New Roman" w:cs="Times New Roman"/>
          <w:bCs/>
          <w:szCs w:val="28"/>
          <w:lang w:val="ru-RU"/>
        </w:rPr>
      </w:pPr>
      <w:r>
        <w:rPr>
          <w:rFonts w:eastAsia="Times New Roman" w:cs="Times New Roman"/>
          <w:bCs/>
          <w:szCs w:val="28"/>
          <w:lang w:val="ru-RU"/>
        </w:rPr>
        <w:br w:type="column"/>
      </w:r>
      <w:bookmarkStart w:id="14" w:name="_Toc230233423"/>
      <w:r w:rsidRPr="00B67275">
        <w:rPr>
          <w:rFonts w:eastAsia="Times New Roman" w:cs="Times New Roman"/>
          <w:bCs/>
          <w:szCs w:val="28"/>
          <w:lang w:val="ru-RU"/>
        </w:rPr>
        <w:lastRenderedPageBreak/>
        <w:t>С</w:t>
      </w:r>
      <w:r w:rsidR="00F834A7" w:rsidRPr="00B67275">
        <w:rPr>
          <w:rFonts w:eastAsia="Times New Roman" w:cs="Times New Roman"/>
          <w:bCs/>
          <w:szCs w:val="28"/>
          <w:lang w:val="ru-RU"/>
        </w:rPr>
        <w:t>писок использованных источников</w:t>
      </w:r>
      <w:bookmarkEnd w:id="14"/>
    </w:p>
    <w:p w:rsidR="00B67275" w:rsidRPr="00B67275" w:rsidRDefault="00B67275" w:rsidP="00B67275">
      <w:pPr>
        <w:spacing w:line="360" w:lineRule="auto"/>
        <w:ind w:firstLine="709"/>
        <w:jc w:val="both"/>
        <w:rPr>
          <w:rFonts w:ascii="Times New Roman" w:hAnsi="Times New Roman" w:cs="Times New Roman"/>
          <w:sz w:val="28"/>
          <w:szCs w:val="28"/>
          <w:lang w:val="ru-RU"/>
        </w:rPr>
      </w:pP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I</w:t>
      </w:r>
      <w:r w:rsidRPr="00B67275">
        <w:rPr>
          <w:rFonts w:ascii="Times New Roman" w:eastAsia="Times New Roman" w:hAnsi="Times New Roman" w:cs="Times New Roman"/>
          <w:b/>
          <w:bCs/>
          <w:sz w:val="28"/>
          <w:szCs w:val="28"/>
          <w:lang w:val="ru-RU"/>
        </w:rPr>
        <w:t>. Нормативно-правовые акты</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1. Гражданский кодекс Российской Федерации (часть первая</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xml:space="preserve">. закон от 30.11.1994 № 51-ФЗ (ред. от 11.03.2024).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КонсультантПлюс, 2024.</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2. Налоговый кодекс Российской Федерации (часть вторая</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xml:space="preserve">. закон от 05.08.2000 № 117-ФЗ (ред. от 26.02.2024).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КонсультантПлюс, 2024.</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 О рынке ценных </w:t>
      </w:r>
      <w:proofErr w:type="gramStart"/>
      <w:r w:rsidRPr="00B67275">
        <w:rPr>
          <w:rFonts w:ascii="Times New Roman" w:eastAsia="Times New Roman" w:hAnsi="Times New Roman" w:cs="Times New Roman"/>
          <w:sz w:val="28"/>
          <w:szCs w:val="28"/>
          <w:lang w:val="ru-RU"/>
        </w:rPr>
        <w:t>бумаг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xml:space="preserve">. закон от 22.04.1996 № 39-ФЗ (ред. от 25.12.2023).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КонсультантПлюс, 2024.</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4. Об инвестиционных </w:t>
      </w:r>
      <w:proofErr w:type="gramStart"/>
      <w:r w:rsidRPr="00B67275">
        <w:rPr>
          <w:rFonts w:ascii="Times New Roman" w:eastAsia="Times New Roman" w:hAnsi="Times New Roman" w:cs="Times New Roman"/>
          <w:sz w:val="28"/>
          <w:szCs w:val="28"/>
          <w:lang w:val="ru-RU"/>
        </w:rPr>
        <w:t>фондах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xml:space="preserve">. закон от 29.11.2001 № 156-ФЗ (ред. от 25.12.2023).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КонсультантПлюс, 2024.</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5. О несостоятельности (банкротстве</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xml:space="preserve">. закон от 26.10.2002 № 127-ФЗ (ред. от 25.12.2023).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КонсультантПлюс, 2024.</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6. Об утверждении Положения по бухгалтерскому учёту «Бухгалтерская отчётность организации» ПБУ 4/</w:t>
      </w:r>
      <w:proofErr w:type="gramStart"/>
      <w:r w:rsidRPr="00B67275">
        <w:rPr>
          <w:rFonts w:ascii="Times New Roman" w:eastAsia="Times New Roman" w:hAnsi="Times New Roman" w:cs="Times New Roman"/>
          <w:sz w:val="28"/>
          <w:szCs w:val="28"/>
          <w:lang w:val="ru-RU"/>
        </w:rPr>
        <w:t>99 :</w:t>
      </w:r>
      <w:proofErr w:type="gramEnd"/>
      <w:r w:rsidRPr="00B67275">
        <w:rPr>
          <w:rFonts w:ascii="Times New Roman" w:eastAsia="Times New Roman" w:hAnsi="Times New Roman" w:cs="Times New Roman"/>
          <w:sz w:val="28"/>
          <w:szCs w:val="28"/>
          <w:lang w:val="ru-RU"/>
        </w:rPr>
        <w:t xml:space="preserve"> приказ Министерства финансов Российской Федерации от 06.07.1999 № 43н (ред. от 08.11.2010).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КонсультантПлюс, 2024.</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II</w:t>
      </w:r>
      <w:r w:rsidRPr="00B67275">
        <w:rPr>
          <w:rFonts w:ascii="Times New Roman" w:eastAsia="Times New Roman" w:hAnsi="Times New Roman" w:cs="Times New Roman"/>
          <w:b/>
          <w:bCs/>
          <w:sz w:val="28"/>
          <w:szCs w:val="28"/>
          <w:lang w:val="ru-RU"/>
        </w:rPr>
        <w:t>. Учебники, монографии и учебные пособия</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7. </w:t>
      </w:r>
      <w:proofErr w:type="spellStart"/>
      <w:r w:rsidRPr="00B67275">
        <w:rPr>
          <w:rFonts w:ascii="Times New Roman" w:eastAsia="Times New Roman" w:hAnsi="Times New Roman" w:cs="Times New Roman"/>
          <w:sz w:val="28"/>
          <w:szCs w:val="28"/>
          <w:lang w:val="ru-RU"/>
        </w:rPr>
        <w:t>Аскинадзи</w:t>
      </w:r>
      <w:proofErr w:type="spellEnd"/>
      <w:r w:rsidRPr="00B67275">
        <w:rPr>
          <w:rFonts w:ascii="Times New Roman" w:eastAsia="Times New Roman" w:hAnsi="Times New Roman" w:cs="Times New Roman"/>
          <w:sz w:val="28"/>
          <w:szCs w:val="28"/>
          <w:lang w:val="ru-RU"/>
        </w:rPr>
        <w:t xml:space="preserve">, В. М. </w:t>
      </w:r>
      <w:proofErr w:type="gramStart"/>
      <w:r w:rsidRPr="00B67275">
        <w:rPr>
          <w:rFonts w:ascii="Times New Roman" w:eastAsia="Times New Roman" w:hAnsi="Times New Roman" w:cs="Times New Roman"/>
          <w:sz w:val="28"/>
          <w:szCs w:val="28"/>
          <w:lang w:val="ru-RU"/>
        </w:rPr>
        <w:t>Инвестиции :</w:t>
      </w:r>
      <w:proofErr w:type="gramEnd"/>
      <w:r w:rsidRPr="00B67275">
        <w:rPr>
          <w:rFonts w:ascii="Times New Roman" w:eastAsia="Times New Roman" w:hAnsi="Times New Roman" w:cs="Times New Roman"/>
          <w:sz w:val="28"/>
          <w:szCs w:val="28"/>
          <w:lang w:val="ru-RU"/>
        </w:rPr>
        <w:t xml:space="preserve"> учебник для бакалавров / В. М. </w:t>
      </w:r>
      <w:proofErr w:type="spellStart"/>
      <w:r w:rsidRPr="00B67275">
        <w:rPr>
          <w:rFonts w:ascii="Times New Roman" w:eastAsia="Times New Roman" w:hAnsi="Times New Roman" w:cs="Times New Roman"/>
          <w:sz w:val="28"/>
          <w:szCs w:val="28"/>
          <w:lang w:val="ru-RU"/>
        </w:rPr>
        <w:t>Аскинадзи</w:t>
      </w:r>
      <w:proofErr w:type="spellEnd"/>
      <w:r w:rsidRPr="00B67275">
        <w:rPr>
          <w:rFonts w:ascii="Times New Roman" w:eastAsia="Times New Roman" w:hAnsi="Times New Roman" w:cs="Times New Roman"/>
          <w:sz w:val="28"/>
          <w:szCs w:val="28"/>
          <w:lang w:val="ru-RU"/>
        </w:rPr>
        <w:t xml:space="preserve">, В. Ф. Максимова.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2019. — 422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8. Батаева, Б. С. Корпоративное </w:t>
      </w:r>
      <w:proofErr w:type="gramStart"/>
      <w:r w:rsidRPr="00B67275">
        <w:rPr>
          <w:rFonts w:ascii="Times New Roman" w:eastAsia="Times New Roman" w:hAnsi="Times New Roman" w:cs="Times New Roman"/>
          <w:sz w:val="28"/>
          <w:szCs w:val="28"/>
          <w:lang w:val="ru-RU"/>
        </w:rPr>
        <w:t>управление :</w:t>
      </w:r>
      <w:proofErr w:type="gramEnd"/>
      <w:r w:rsidRPr="00B67275">
        <w:rPr>
          <w:rFonts w:ascii="Times New Roman" w:eastAsia="Times New Roman" w:hAnsi="Times New Roman" w:cs="Times New Roman"/>
          <w:sz w:val="28"/>
          <w:szCs w:val="28"/>
          <w:lang w:val="ru-RU"/>
        </w:rPr>
        <w:t xml:space="preserve"> учебное пособие / Б. С. Батаева.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КНОРУС, 2021. — 184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9. Бланк, И. А. Управление финансовой безопасностью предприятия / И. А. Бланк. — 2-е изд., стер.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Омега-Л, 2021. — 784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 xml:space="preserve">10. </w:t>
      </w:r>
      <w:proofErr w:type="spellStart"/>
      <w:r w:rsidRPr="00B67275">
        <w:rPr>
          <w:rFonts w:ascii="Times New Roman" w:eastAsia="Times New Roman" w:hAnsi="Times New Roman" w:cs="Times New Roman"/>
          <w:sz w:val="28"/>
          <w:szCs w:val="28"/>
          <w:lang w:val="ru-RU"/>
        </w:rPr>
        <w:t>Брейли</w:t>
      </w:r>
      <w:proofErr w:type="spellEnd"/>
      <w:r w:rsidRPr="00B67275">
        <w:rPr>
          <w:rFonts w:ascii="Times New Roman" w:eastAsia="Times New Roman" w:hAnsi="Times New Roman" w:cs="Times New Roman"/>
          <w:sz w:val="28"/>
          <w:szCs w:val="28"/>
          <w:lang w:val="ru-RU"/>
        </w:rPr>
        <w:t xml:space="preserve">, Р. Принципы корпоративных финансов / Р. </w:t>
      </w:r>
      <w:proofErr w:type="spellStart"/>
      <w:r w:rsidRPr="00B67275">
        <w:rPr>
          <w:rFonts w:ascii="Times New Roman" w:eastAsia="Times New Roman" w:hAnsi="Times New Roman" w:cs="Times New Roman"/>
          <w:sz w:val="28"/>
          <w:szCs w:val="28"/>
          <w:lang w:val="ru-RU"/>
        </w:rPr>
        <w:t>Брейли</w:t>
      </w:r>
      <w:proofErr w:type="spellEnd"/>
      <w:r w:rsidRPr="00B67275">
        <w:rPr>
          <w:rFonts w:ascii="Times New Roman" w:eastAsia="Times New Roman" w:hAnsi="Times New Roman" w:cs="Times New Roman"/>
          <w:sz w:val="28"/>
          <w:szCs w:val="28"/>
          <w:lang w:val="ru-RU"/>
        </w:rPr>
        <w:t xml:space="preserve">, С. </w:t>
      </w:r>
      <w:proofErr w:type="gramStart"/>
      <w:r w:rsidRPr="00B67275">
        <w:rPr>
          <w:rFonts w:ascii="Times New Roman" w:eastAsia="Times New Roman" w:hAnsi="Times New Roman" w:cs="Times New Roman"/>
          <w:sz w:val="28"/>
          <w:szCs w:val="28"/>
          <w:lang w:val="ru-RU"/>
        </w:rPr>
        <w:t>Майерс ;</w:t>
      </w:r>
      <w:proofErr w:type="gramEnd"/>
      <w:r w:rsidRPr="00B67275">
        <w:rPr>
          <w:rFonts w:ascii="Times New Roman" w:eastAsia="Times New Roman" w:hAnsi="Times New Roman" w:cs="Times New Roman"/>
          <w:sz w:val="28"/>
          <w:szCs w:val="28"/>
          <w:lang w:val="ru-RU"/>
        </w:rPr>
        <w:t xml:space="preserve"> пер. с англ. — Москва : Олимп-Бизнес, 2012. — 1120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11. Григорьева, Т. И. Финансовый анализ для менеджеров: оценка, </w:t>
      </w:r>
      <w:proofErr w:type="gramStart"/>
      <w:r w:rsidRPr="00B67275">
        <w:rPr>
          <w:rFonts w:ascii="Times New Roman" w:eastAsia="Times New Roman" w:hAnsi="Times New Roman" w:cs="Times New Roman"/>
          <w:sz w:val="28"/>
          <w:szCs w:val="28"/>
          <w:lang w:val="ru-RU"/>
        </w:rPr>
        <w:t>прогноз :</w:t>
      </w:r>
      <w:proofErr w:type="gramEnd"/>
      <w:r w:rsidRPr="00B67275">
        <w:rPr>
          <w:rFonts w:ascii="Times New Roman" w:eastAsia="Times New Roman" w:hAnsi="Times New Roman" w:cs="Times New Roman"/>
          <w:sz w:val="28"/>
          <w:szCs w:val="28"/>
          <w:lang w:val="ru-RU"/>
        </w:rPr>
        <w:t xml:space="preserve"> учебник / Т. И. Григорьева. — 3-е изд., </w:t>
      </w:r>
      <w:proofErr w:type="spellStart"/>
      <w:r w:rsidRPr="00B67275">
        <w:rPr>
          <w:rFonts w:ascii="Times New Roman" w:eastAsia="Times New Roman" w:hAnsi="Times New Roman" w:cs="Times New Roman"/>
          <w:sz w:val="28"/>
          <w:szCs w:val="28"/>
          <w:lang w:val="ru-RU"/>
        </w:rPr>
        <w:t>перераб</w:t>
      </w:r>
      <w:proofErr w:type="spellEnd"/>
      <w:r w:rsidRPr="00B67275">
        <w:rPr>
          <w:rFonts w:ascii="Times New Roman" w:eastAsia="Times New Roman" w:hAnsi="Times New Roman" w:cs="Times New Roman"/>
          <w:sz w:val="28"/>
          <w:szCs w:val="28"/>
          <w:lang w:val="ru-RU"/>
        </w:rPr>
        <w:t xml:space="preserve">. и доп.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2021. — 462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12. Грэхем, Б. Анализ ценных бумаг / Б. Грэхем, Д. </w:t>
      </w:r>
      <w:proofErr w:type="gramStart"/>
      <w:r w:rsidRPr="00B67275">
        <w:rPr>
          <w:rFonts w:ascii="Times New Roman" w:eastAsia="Times New Roman" w:hAnsi="Times New Roman" w:cs="Times New Roman"/>
          <w:sz w:val="28"/>
          <w:szCs w:val="28"/>
          <w:lang w:val="ru-RU"/>
        </w:rPr>
        <w:t>Додд ;</w:t>
      </w:r>
      <w:proofErr w:type="gramEnd"/>
      <w:r w:rsidRPr="00B67275">
        <w:rPr>
          <w:rFonts w:ascii="Times New Roman" w:eastAsia="Times New Roman" w:hAnsi="Times New Roman" w:cs="Times New Roman"/>
          <w:sz w:val="28"/>
          <w:szCs w:val="28"/>
          <w:lang w:val="ru-RU"/>
        </w:rPr>
        <w:t xml:space="preserve"> пер. с англ. — 3-е изд. — Москва : Вильямс, 2016. — 878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13. </w:t>
      </w:r>
      <w:proofErr w:type="spellStart"/>
      <w:r w:rsidRPr="00B67275">
        <w:rPr>
          <w:rFonts w:ascii="Times New Roman" w:eastAsia="Times New Roman" w:hAnsi="Times New Roman" w:cs="Times New Roman"/>
          <w:sz w:val="28"/>
          <w:szCs w:val="28"/>
          <w:lang w:val="ru-RU"/>
        </w:rPr>
        <w:t>Дамодаран</w:t>
      </w:r>
      <w:proofErr w:type="spellEnd"/>
      <w:r w:rsidRPr="00B67275">
        <w:rPr>
          <w:rFonts w:ascii="Times New Roman" w:eastAsia="Times New Roman" w:hAnsi="Times New Roman" w:cs="Times New Roman"/>
          <w:sz w:val="28"/>
          <w:szCs w:val="28"/>
          <w:lang w:val="ru-RU"/>
        </w:rPr>
        <w:t xml:space="preserve">, А. Инвестиционная оценка. Инструменты и техника оценки любых активов / А. </w:t>
      </w:r>
      <w:proofErr w:type="spellStart"/>
      <w:proofErr w:type="gramStart"/>
      <w:r w:rsidRPr="00B67275">
        <w:rPr>
          <w:rFonts w:ascii="Times New Roman" w:eastAsia="Times New Roman" w:hAnsi="Times New Roman" w:cs="Times New Roman"/>
          <w:sz w:val="28"/>
          <w:szCs w:val="28"/>
          <w:lang w:val="ru-RU"/>
        </w:rPr>
        <w:t>Дамодаран</w:t>
      </w:r>
      <w:proofErr w:type="spellEnd"/>
      <w:r w:rsidRPr="00B67275">
        <w:rPr>
          <w:rFonts w:ascii="Times New Roman" w:eastAsia="Times New Roman" w:hAnsi="Times New Roman" w:cs="Times New Roman"/>
          <w:sz w:val="28"/>
          <w:szCs w:val="28"/>
          <w:lang w:val="ru-RU"/>
        </w:rPr>
        <w:t xml:space="preserve"> ;</w:t>
      </w:r>
      <w:proofErr w:type="gramEnd"/>
      <w:r w:rsidRPr="00B67275">
        <w:rPr>
          <w:rFonts w:ascii="Times New Roman" w:eastAsia="Times New Roman" w:hAnsi="Times New Roman" w:cs="Times New Roman"/>
          <w:sz w:val="28"/>
          <w:szCs w:val="28"/>
          <w:lang w:val="ru-RU"/>
        </w:rPr>
        <w:t xml:space="preserve"> пер. с англ. — Москва : Альпина Паблишер, 2016. — 1316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14. Екимова, К. В. Финансовый </w:t>
      </w:r>
      <w:proofErr w:type="gramStart"/>
      <w:r w:rsidRPr="00B67275">
        <w:rPr>
          <w:rFonts w:ascii="Times New Roman" w:eastAsia="Times New Roman" w:hAnsi="Times New Roman" w:cs="Times New Roman"/>
          <w:sz w:val="28"/>
          <w:szCs w:val="28"/>
          <w:lang w:val="ru-RU"/>
        </w:rPr>
        <w:t>менеджмент :</w:t>
      </w:r>
      <w:proofErr w:type="gramEnd"/>
      <w:r w:rsidRPr="00B67275">
        <w:rPr>
          <w:rFonts w:ascii="Times New Roman" w:eastAsia="Times New Roman" w:hAnsi="Times New Roman" w:cs="Times New Roman"/>
          <w:sz w:val="28"/>
          <w:szCs w:val="28"/>
          <w:lang w:val="ru-RU"/>
        </w:rPr>
        <w:t xml:space="preserve"> учебник для прикладного бакалавриата / К. В. Екимова, И. П. Савельева, К. В. </w:t>
      </w:r>
      <w:proofErr w:type="spellStart"/>
      <w:r w:rsidRPr="00B67275">
        <w:rPr>
          <w:rFonts w:ascii="Times New Roman" w:eastAsia="Times New Roman" w:hAnsi="Times New Roman" w:cs="Times New Roman"/>
          <w:sz w:val="28"/>
          <w:szCs w:val="28"/>
          <w:lang w:val="ru-RU"/>
        </w:rPr>
        <w:t>Кардапольцев</w:t>
      </w:r>
      <w:proofErr w:type="spellEnd"/>
      <w:r w:rsidRPr="00B67275">
        <w:rPr>
          <w:rFonts w:ascii="Times New Roman" w:eastAsia="Times New Roman" w:hAnsi="Times New Roman" w:cs="Times New Roman"/>
          <w:sz w:val="28"/>
          <w:szCs w:val="28"/>
          <w:lang w:val="ru-RU"/>
        </w:rPr>
        <w:t xml:space="preserve">.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2021. — 381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15. Ковалев, В. В. Введение в финансовый менеджмент / В. В. Ковалев.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Финансы и статистика, 2004. — 767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16. </w:t>
      </w:r>
      <w:proofErr w:type="spellStart"/>
      <w:r w:rsidRPr="00B67275">
        <w:rPr>
          <w:rFonts w:ascii="Times New Roman" w:eastAsia="Times New Roman" w:hAnsi="Times New Roman" w:cs="Times New Roman"/>
          <w:sz w:val="28"/>
          <w:szCs w:val="28"/>
          <w:lang w:val="ru-RU"/>
        </w:rPr>
        <w:t>Когденко</w:t>
      </w:r>
      <w:proofErr w:type="spellEnd"/>
      <w:r w:rsidRPr="00B67275">
        <w:rPr>
          <w:rFonts w:ascii="Times New Roman" w:eastAsia="Times New Roman" w:hAnsi="Times New Roman" w:cs="Times New Roman"/>
          <w:sz w:val="28"/>
          <w:szCs w:val="28"/>
          <w:lang w:val="ru-RU"/>
        </w:rPr>
        <w:t xml:space="preserve">, В. Г. Экономический </w:t>
      </w:r>
      <w:proofErr w:type="gramStart"/>
      <w:r w:rsidRPr="00B67275">
        <w:rPr>
          <w:rFonts w:ascii="Times New Roman" w:eastAsia="Times New Roman" w:hAnsi="Times New Roman" w:cs="Times New Roman"/>
          <w:sz w:val="28"/>
          <w:szCs w:val="28"/>
          <w:lang w:val="ru-RU"/>
        </w:rPr>
        <w:t>анализ :</w:t>
      </w:r>
      <w:proofErr w:type="gramEnd"/>
      <w:r w:rsidRPr="00B67275">
        <w:rPr>
          <w:rFonts w:ascii="Times New Roman" w:eastAsia="Times New Roman" w:hAnsi="Times New Roman" w:cs="Times New Roman"/>
          <w:sz w:val="28"/>
          <w:szCs w:val="28"/>
          <w:lang w:val="ru-RU"/>
        </w:rPr>
        <w:t xml:space="preserve"> учебное пособие / В. Г. </w:t>
      </w:r>
      <w:proofErr w:type="spellStart"/>
      <w:r w:rsidRPr="00B67275">
        <w:rPr>
          <w:rFonts w:ascii="Times New Roman" w:eastAsia="Times New Roman" w:hAnsi="Times New Roman" w:cs="Times New Roman"/>
          <w:sz w:val="28"/>
          <w:szCs w:val="28"/>
          <w:lang w:val="ru-RU"/>
        </w:rPr>
        <w:t>Когденко</w:t>
      </w:r>
      <w:proofErr w:type="spellEnd"/>
      <w:r w:rsidRPr="00B67275">
        <w:rPr>
          <w:rFonts w:ascii="Times New Roman" w:eastAsia="Times New Roman" w:hAnsi="Times New Roman" w:cs="Times New Roman"/>
          <w:sz w:val="28"/>
          <w:szCs w:val="28"/>
          <w:lang w:val="ru-RU"/>
        </w:rPr>
        <w:t xml:space="preserve">. — 3-е изд., </w:t>
      </w:r>
      <w:proofErr w:type="spellStart"/>
      <w:r w:rsidRPr="00B67275">
        <w:rPr>
          <w:rFonts w:ascii="Times New Roman" w:eastAsia="Times New Roman" w:hAnsi="Times New Roman" w:cs="Times New Roman"/>
          <w:sz w:val="28"/>
          <w:szCs w:val="28"/>
          <w:lang w:val="ru-RU"/>
        </w:rPr>
        <w:t>перераб</w:t>
      </w:r>
      <w:proofErr w:type="spellEnd"/>
      <w:r w:rsidRPr="00B67275">
        <w:rPr>
          <w:rFonts w:ascii="Times New Roman" w:eastAsia="Times New Roman" w:hAnsi="Times New Roman" w:cs="Times New Roman"/>
          <w:sz w:val="28"/>
          <w:szCs w:val="28"/>
          <w:lang w:val="ru-RU"/>
        </w:rPr>
        <w:t>. и доп. — Москва : ЮНИТИ-ДАНА, 2019. — 392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17. </w:t>
      </w:r>
      <w:proofErr w:type="spellStart"/>
      <w:r w:rsidRPr="00B67275">
        <w:rPr>
          <w:rFonts w:ascii="Times New Roman" w:eastAsia="Times New Roman" w:hAnsi="Times New Roman" w:cs="Times New Roman"/>
          <w:sz w:val="28"/>
          <w:szCs w:val="28"/>
          <w:lang w:val="ru-RU"/>
        </w:rPr>
        <w:t>Лимитовский</w:t>
      </w:r>
      <w:proofErr w:type="spellEnd"/>
      <w:r w:rsidRPr="00B67275">
        <w:rPr>
          <w:rFonts w:ascii="Times New Roman" w:eastAsia="Times New Roman" w:hAnsi="Times New Roman" w:cs="Times New Roman"/>
          <w:sz w:val="28"/>
          <w:szCs w:val="28"/>
          <w:lang w:val="ru-RU"/>
        </w:rPr>
        <w:t xml:space="preserve">, М. А. Корпоративный финансовый </w:t>
      </w:r>
      <w:proofErr w:type="gramStart"/>
      <w:r w:rsidRPr="00B67275">
        <w:rPr>
          <w:rFonts w:ascii="Times New Roman" w:eastAsia="Times New Roman" w:hAnsi="Times New Roman" w:cs="Times New Roman"/>
          <w:sz w:val="28"/>
          <w:szCs w:val="28"/>
          <w:lang w:val="ru-RU"/>
        </w:rPr>
        <w:t>менеджмент :</w:t>
      </w:r>
      <w:proofErr w:type="gramEnd"/>
      <w:r w:rsidRPr="00B67275">
        <w:rPr>
          <w:rFonts w:ascii="Times New Roman" w:eastAsia="Times New Roman" w:hAnsi="Times New Roman" w:cs="Times New Roman"/>
          <w:sz w:val="28"/>
          <w:szCs w:val="28"/>
          <w:lang w:val="ru-RU"/>
        </w:rPr>
        <w:t xml:space="preserve"> учебно-практическое пособие / М. А. </w:t>
      </w:r>
      <w:proofErr w:type="spellStart"/>
      <w:r w:rsidRPr="00B67275">
        <w:rPr>
          <w:rFonts w:ascii="Times New Roman" w:eastAsia="Times New Roman" w:hAnsi="Times New Roman" w:cs="Times New Roman"/>
          <w:sz w:val="28"/>
          <w:szCs w:val="28"/>
          <w:lang w:val="ru-RU"/>
        </w:rPr>
        <w:t>Лимитовский</w:t>
      </w:r>
      <w:proofErr w:type="spellEnd"/>
      <w:r w:rsidRPr="00B67275">
        <w:rPr>
          <w:rFonts w:ascii="Times New Roman" w:eastAsia="Times New Roman" w:hAnsi="Times New Roman" w:cs="Times New Roman"/>
          <w:sz w:val="28"/>
          <w:szCs w:val="28"/>
          <w:lang w:val="ru-RU"/>
        </w:rPr>
        <w:t xml:space="preserve">, В. П. Паламарчук, Е. Н. Лобанова.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2024. — 990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18. Лисицына, Е. В. Финансовый </w:t>
      </w:r>
      <w:proofErr w:type="gramStart"/>
      <w:r w:rsidRPr="00B67275">
        <w:rPr>
          <w:rFonts w:ascii="Times New Roman" w:eastAsia="Times New Roman" w:hAnsi="Times New Roman" w:cs="Times New Roman"/>
          <w:sz w:val="28"/>
          <w:szCs w:val="28"/>
          <w:lang w:val="ru-RU"/>
        </w:rPr>
        <w:t>менеджмент :</w:t>
      </w:r>
      <w:proofErr w:type="gramEnd"/>
      <w:r w:rsidRPr="00B67275">
        <w:rPr>
          <w:rFonts w:ascii="Times New Roman" w:eastAsia="Times New Roman" w:hAnsi="Times New Roman" w:cs="Times New Roman"/>
          <w:sz w:val="28"/>
          <w:szCs w:val="28"/>
          <w:lang w:val="ru-RU"/>
        </w:rPr>
        <w:t xml:space="preserve"> учебник / Е. В. Лисицына, Т. В. Ващенко, М. В. Забродина ; под науч. ред. К. В. Екимовой. — 2-е изд., </w:t>
      </w:r>
      <w:proofErr w:type="spellStart"/>
      <w:r w:rsidRPr="00B67275">
        <w:rPr>
          <w:rFonts w:ascii="Times New Roman" w:eastAsia="Times New Roman" w:hAnsi="Times New Roman" w:cs="Times New Roman"/>
          <w:sz w:val="28"/>
          <w:szCs w:val="28"/>
          <w:lang w:val="ru-RU"/>
        </w:rPr>
        <w:t>испр</w:t>
      </w:r>
      <w:proofErr w:type="spellEnd"/>
      <w:r w:rsidRPr="00B67275">
        <w:rPr>
          <w:rFonts w:ascii="Times New Roman" w:eastAsia="Times New Roman" w:hAnsi="Times New Roman" w:cs="Times New Roman"/>
          <w:sz w:val="28"/>
          <w:szCs w:val="28"/>
          <w:lang w:val="ru-RU"/>
        </w:rPr>
        <w:t>. и доп. — Москва : ИНФРА-М, 2023. — 185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19. </w:t>
      </w:r>
      <w:proofErr w:type="spellStart"/>
      <w:r w:rsidRPr="00B67275">
        <w:rPr>
          <w:rFonts w:ascii="Times New Roman" w:eastAsia="Times New Roman" w:hAnsi="Times New Roman" w:cs="Times New Roman"/>
          <w:sz w:val="28"/>
          <w:szCs w:val="28"/>
          <w:lang w:val="ru-RU"/>
        </w:rPr>
        <w:t>Лукасевич</w:t>
      </w:r>
      <w:proofErr w:type="spellEnd"/>
      <w:r w:rsidRPr="00B67275">
        <w:rPr>
          <w:rFonts w:ascii="Times New Roman" w:eastAsia="Times New Roman" w:hAnsi="Times New Roman" w:cs="Times New Roman"/>
          <w:sz w:val="28"/>
          <w:szCs w:val="28"/>
          <w:lang w:val="ru-RU"/>
        </w:rPr>
        <w:t xml:space="preserve">, И. Я. </w:t>
      </w:r>
      <w:proofErr w:type="gramStart"/>
      <w:r w:rsidRPr="00B67275">
        <w:rPr>
          <w:rFonts w:ascii="Times New Roman" w:eastAsia="Times New Roman" w:hAnsi="Times New Roman" w:cs="Times New Roman"/>
          <w:sz w:val="28"/>
          <w:szCs w:val="28"/>
          <w:lang w:val="ru-RU"/>
        </w:rPr>
        <w:t>Инвестиции :</w:t>
      </w:r>
      <w:proofErr w:type="gramEnd"/>
      <w:r w:rsidRPr="00B67275">
        <w:rPr>
          <w:rFonts w:ascii="Times New Roman" w:eastAsia="Times New Roman" w:hAnsi="Times New Roman" w:cs="Times New Roman"/>
          <w:sz w:val="28"/>
          <w:szCs w:val="28"/>
          <w:lang w:val="ru-RU"/>
        </w:rPr>
        <w:t xml:space="preserve"> учебник / И. Я. </w:t>
      </w:r>
      <w:proofErr w:type="spellStart"/>
      <w:r w:rsidRPr="00B67275">
        <w:rPr>
          <w:rFonts w:ascii="Times New Roman" w:eastAsia="Times New Roman" w:hAnsi="Times New Roman" w:cs="Times New Roman"/>
          <w:sz w:val="28"/>
          <w:szCs w:val="28"/>
          <w:lang w:val="ru-RU"/>
        </w:rPr>
        <w:t>Лукасевич</w:t>
      </w:r>
      <w:proofErr w:type="spellEnd"/>
      <w:r w:rsidRPr="00B67275">
        <w:rPr>
          <w:rFonts w:ascii="Times New Roman" w:eastAsia="Times New Roman" w:hAnsi="Times New Roman" w:cs="Times New Roman"/>
          <w:sz w:val="28"/>
          <w:szCs w:val="28"/>
          <w:lang w:val="ru-RU"/>
        </w:rPr>
        <w:t xml:space="preserve">.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Вузовский учебник : ИНФРА-М, 2024. — 413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 xml:space="preserve">20. Никитина, Т. В. Основы портфельного </w:t>
      </w:r>
      <w:proofErr w:type="gramStart"/>
      <w:r w:rsidRPr="00B67275">
        <w:rPr>
          <w:rFonts w:ascii="Times New Roman" w:eastAsia="Times New Roman" w:hAnsi="Times New Roman" w:cs="Times New Roman"/>
          <w:sz w:val="28"/>
          <w:szCs w:val="28"/>
          <w:lang w:val="ru-RU"/>
        </w:rPr>
        <w:t>инвестирования :</w:t>
      </w:r>
      <w:proofErr w:type="gramEnd"/>
      <w:r w:rsidRPr="00B67275">
        <w:rPr>
          <w:rFonts w:ascii="Times New Roman" w:eastAsia="Times New Roman" w:hAnsi="Times New Roman" w:cs="Times New Roman"/>
          <w:sz w:val="28"/>
          <w:szCs w:val="28"/>
          <w:lang w:val="ru-RU"/>
        </w:rPr>
        <w:t xml:space="preserve"> учебник для бакалавриата и магистратуры / Т. В. Никитина, А. В. </w:t>
      </w:r>
      <w:proofErr w:type="spellStart"/>
      <w:r w:rsidRPr="00B67275">
        <w:rPr>
          <w:rFonts w:ascii="Times New Roman" w:eastAsia="Times New Roman" w:hAnsi="Times New Roman" w:cs="Times New Roman"/>
          <w:sz w:val="28"/>
          <w:szCs w:val="28"/>
          <w:lang w:val="ru-RU"/>
        </w:rPr>
        <w:t>Репета</w:t>
      </w:r>
      <w:proofErr w:type="spellEnd"/>
      <w:r w:rsidRPr="00B67275">
        <w:rPr>
          <w:rFonts w:ascii="Times New Roman" w:eastAsia="Times New Roman" w:hAnsi="Times New Roman" w:cs="Times New Roman"/>
          <w:sz w:val="28"/>
          <w:szCs w:val="28"/>
          <w:lang w:val="ru-RU"/>
        </w:rPr>
        <w:t xml:space="preserve">-Турсунова, М. </w:t>
      </w:r>
      <w:proofErr w:type="spellStart"/>
      <w:r w:rsidRPr="00B67275">
        <w:rPr>
          <w:rFonts w:ascii="Times New Roman" w:eastAsia="Times New Roman" w:hAnsi="Times New Roman" w:cs="Times New Roman"/>
          <w:sz w:val="28"/>
          <w:szCs w:val="28"/>
          <w:lang w:val="ru-RU"/>
        </w:rPr>
        <w:t>Фрёммель</w:t>
      </w:r>
      <w:proofErr w:type="spellEnd"/>
      <w:r w:rsidRPr="00B67275">
        <w:rPr>
          <w:rFonts w:ascii="Times New Roman" w:eastAsia="Times New Roman" w:hAnsi="Times New Roman" w:cs="Times New Roman"/>
          <w:sz w:val="28"/>
          <w:szCs w:val="28"/>
          <w:lang w:val="ru-RU"/>
        </w:rPr>
        <w:t xml:space="preserve">, А. В. Ядрин. — 2-е изд., </w:t>
      </w:r>
      <w:proofErr w:type="spellStart"/>
      <w:r w:rsidRPr="00B67275">
        <w:rPr>
          <w:rFonts w:ascii="Times New Roman" w:eastAsia="Times New Roman" w:hAnsi="Times New Roman" w:cs="Times New Roman"/>
          <w:sz w:val="28"/>
          <w:szCs w:val="28"/>
          <w:lang w:val="ru-RU"/>
        </w:rPr>
        <w:t>испр</w:t>
      </w:r>
      <w:proofErr w:type="spellEnd"/>
      <w:r w:rsidRPr="00B67275">
        <w:rPr>
          <w:rFonts w:ascii="Times New Roman" w:eastAsia="Times New Roman" w:hAnsi="Times New Roman" w:cs="Times New Roman"/>
          <w:sz w:val="28"/>
          <w:szCs w:val="28"/>
          <w:lang w:val="ru-RU"/>
        </w:rPr>
        <w:t xml:space="preserve">. и доп.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2019. — 195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21. Румянцева, Е. Е. Финансовый </w:t>
      </w:r>
      <w:proofErr w:type="gramStart"/>
      <w:r w:rsidRPr="00B67275">
        <w:rPr>
          <w:rFonts w:ascii="Times New Roman" w:eastAsia="Times New Roman" w:hAnsi="Times New Roman" w:cs="Times New Roman"/>
          <w:sz w:val="28"/>
          <w:szCs w:val="28"/>
          <w:lang w:val="ru-RU"/>
        </w:rPr>
        <w:t>менеджмент :</w:t>
      </w:r>
      <w:proofErr w:type="gramEnd"/>
      <w:r w:rsidRPr="00B67275">
        <w:rPr>
          <w:rFonts w:ascii="Times New Roman" w:eastAsia="Times New Roman" w:hAnsi="Times New Roman" w:cs="Times New Roman"/>
          <w:sz w:val="28"/>
          <w:szCs w:val="28"/>
          <w:lang w:val="ru-RU"/>
        </w:rPr>
        <w:t xml:space="preserve"> учебник и практикум для бакалавриата и магистратуры / Е. Е. Румянцева.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2019. — 360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22. Савицкая, Г. В. Анализ хозяйственной деятельности </w:t>
      </w:r>
      <w:proofErr w:type="gramStart"/>
      <w:r w:rsidRPr="00B67275">
        <w:rPr>
          <w:rFonts w:ascii="Times New Roman" w:eastAsia="Times New Roman" w:hAnsi="Times New Roman" w:cs="Times New Roman"/>
          <w:sz w:val="28"/>
          <w:szCs w:val="28"/>
          <w:lang w:val="ru-RU"/>
        </w:rPr>
        <w:t>предприятия :</w:t>
      </w:r>
      <w:proofErr w:type="gramEnd"/>
      <w:r w:rsidRPr="00B67275">
        <w:rPr>
          <w:rFonts w:ascii="Times New Roman" w:eastAsia="Times New Roman" w:hAnsi="Times New Roman" w:cs="Times New Roman"/>
          <w:sz w:val="28"/>
          <w:szCs w:val="28"/>
          <w:lang w:val="ru-RU"/>
        </w:rPr>
        <w:t xml:space="preserve"> учебник / Г. В. Савицкая. — 6-е изд., </w:t>
      </w:r>
      <w:proofErr w:type="spellStart"/>
      <w:r w:rsidRPr="00B67275">
        <w:rPr>
          <w:rFonts w:ascii="Times New Roman" w:eastAsia="Times New Roman" w:hAnsi="Times New Roman" w:cs="Times New Roman"/>
          <w:sz w:val="28"/>
          <w:szCs w:val="28"/>
          <w:lang w:val="ru-RU"/>
        </w:rPr>
        <w:t>испр</w:t>
      </w:r>
      <w:proofErr w:type="spellEnd"/>
      <w:r w:rsidRPr="00B67275">
        <w:rPr>
          <w:rFonts w:ascii="Times New Roman" w:eastAsia="Times New Roman" w:hAnsi="Times New Roman" w:cs="Times New Roman"/>
          <w:sz w:val="28"/>
          <w:szCs w:val="28"/>
          <w:lang w:val="ru-RU"/>
        </w:rPr>
        <w:t>. и доп. — Москва : ИНФРА-М, 2024. — 378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23. Сергеев, И. В. </w:t>
      </w:r>
      <w:proofErr w:type="gramStart"/>
      <w:r w:rsidRPr="00B67275">
        <w:rPr>
          <w:rFonts w:ascii="Times New Roman" w:eastAsia="Times New Roman" w:hAnsi="Times New Roman" w:cs="Times New Roman"/>
          <w:sz w:val="28"/>
          <w:szCs w:val="28"/>
          <w:lang w:val="ru-RU"/>
        </w:rPr>
        <w:t>Инвестиции :</w:t>
      </w:r>
      <w:proofErr w:type="gramEnd"/>
      <w:r w:rsidRPr="00B67275">
        <w:rPr>
          <w:rFonts w:ascii="Times New Roman" w:eastAsia="Times New Roman" w:hAnsi="Times New Roman" w:cs="Times New Roman"/>
          <w:sz w:val="28"/>
          <w:szCs w:val="28"/>
          <w:lang w:val="ru-RU"/>
        </w:rPr>
        <w:t xml:space="preserve"> учебник и практикум для прикладного бакалавриата / И. В. Сергеев, И. И. Веретенникова, В. В. Шеховцов. — 3-е изд., </w:t>
      </w:r>
      <w:proofErr w:type="spellStart"/>
      <w:r w:rsidRPr="00B67275">
        <w:rPr>
          <w:rFonts w:ascii="Times New Roman" w:eastAsia="Times New Roman" w:hAnsi="Times New Roman" w:cs="Times New Roman"/>
          <w:sz w:val="28"/>
          <w:szCs w:val="28"/>
          <w:lang w:val="ru-RU"/>
        </w:rPr>
        <w:t>перераб</w:t>
      </w:r>
      <w:proofErr w:type="spellEnd"/>
      <w:r w:rsidRPr="00B67275">
        <w:rPr>
          <w:rFonts w:ascii="Times New Roman" w:eastAsia="Times New Roman" w:hAnsi="Times New Roman" w:cs="Times New Roman"/>
          <w:sz w:val="28"/>
          <w:szCs w:val="28"/>
          <w:lang w:val="ru-RU"/>
        </w:rPr>
        <w:t xml:space="preserve">. и доп.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2020. — 314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24. Теплова, Т. В. </w:t>
      </w:r>
      <w:proofErr w:type="gramStart"/>
      <w:r w:rsidRPr="00B67275">
        <w:rPr>
          <w:rFonts w:ascii="Times New Roman" w:eastAsia="Times New Roman" w:hAnsi="Times New Roman" w:cs="Times New Roman"/>
          <w:sz w:val="28"/>
          <w:szCs w:val="28"/>
          <w:lang w:val="ru-RU"/>
        </w:rPr>
        <w:t>Инвестиции :</w:t>
      </w:r>
      <w:proofErr w:type="gramEnd"/>
      <w:r w:rsidRPr="00B67275">
        <w:rPr>
          <w:rFonts w:ascii="Times New Roman" w:eastAsia="Times New Roman" w:hAnsi="Times New Roman" w:cs="Times New Roman"/>
          <w:sz w:val="28"/>
          <w:szCs w:val="28"/>
          <w:lang w:val="ru-RU"/>
        </w:rPr>
        <w:t xml:space="preserve"> учебник и практикум для вузов / Т. В. Теплова. — 2-е изд., </w:t>
      </w:r>
      <w:proofErr w:type="spellStart"/>
      <w:r w:rsidRPr="00B67275">
        <w:rPr>
          <w:rFonts w:ascii="Times New Roman" w:eastAsia="Times New Roman" w:hAnsi="Times New Roman" w:cs="Times New Roman"/>
          <w:sz w:val="28"/>
          <w:szCs w:val="28"/>
          <w:lang w:val="ru-RU"/>
        </w:rPr>
        <w:t>перераб</w:t>
      </w:r>
      <w:proofErr w:type="spellEnd"/>
      <w:r w:rsidRPr="00B67275">
        <w:rPr>
          <w:rFonts w:ascii="Times New Roman" w:eastAsia="Times New Roman" w:hAnsi="Times New Roman" w:cs="Times New Roman"/>
          <w:sz w:val="28"/>
          <w:szCs w:val="28"/>
          <w:lang w:val="ru-RU"/>
        </w:rPr>
        <w:t xml:space="preserve">. и доп.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2026. — 781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25. Шарп, У. Ф. Инвестиции / У. Ф. Шарп, Г. Дж. Александер, Д. В. </w:t>
      </w:r>
      <w:proofErr w:type="gramStart"/>
      <w:r w:rsidRPr="00B67275">
        <w:rPr>
          <w:rFonts w:ascii="Times New Roman" w:eastAsia="Times New Roman" w:hAnsi="Times New Roman" w:cs="Times New Roman"/>
          <w:sz w:val="28"/>
          <w:szCs w:val="28"/>
          <w:lang w:val="ru-RU"/>
        </w:rPr>
        <w:t>Бэйли ;</w:t>
      </w:r>
      <w:proofErr w:type="gramEnd"/>
      <w:r w:rsidRPr="00B67275">
        <w:rPr>
          <w:rFonts w:ascii="Times New Roman" w:eastAsia="Times New Roman" w:hAnsi="Times New Roman" w:cs="Times New Roman"/>
          <w:sz w:val="28"/>
          <w:szCs w:val="28"/>
          <w:lang w:val="ru-RU"/>
        </w:rPr>
        <w:t xml:space="preserve"> пер. с англ. — Москва : ИНФРА-М, 2001. — 1027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26. </w:t>
      </w:r>
      <w:proofErr w:type="spellStart"/>
      <w:r w:rsidRPr="00B67275">
        <w:rPr>
          <w:rFonts w:ascii="Times New Roman" w:eastAsia="Times New Roman" w:hAnsi="Times New Roman" w:cs="Times New Roman"/>
          <w:sz w:val="28"/>
          <w:szCs w:val="28"/>
          <w:lang w:val="ru-RU"/>
        </w:rPr>
        <w:t>Юзвович</w:t>
      </w:r>
      <w:proofErr w:type="spellEnd"/>
      <w:r w:rsidRPr="00B67275">
        <w:rPr>
          <w:rFonts w:ascii="Times New Roman" w:eastAsia="Times New Roman" w:hAnsi="Times New Roman" w:cs="Times New Roman"/>
          <w:sz w:val="28"/>
          <w:szCs w:val="28"/>
          <w:lang w:val="ru-RU"/>
        </w:rPr>
        <w:t xml:space="preserve">, Л. И. </w:t>
      </w:r>
      <w:proofErr w:type="gramStart"/>
      <w:r w:rsidRPr="00B67275">
        <w:rPr>
          <w:rFonts w:ascii="Times New Roman" w:eastAsia="Times New Roman" w:hAnsi="Times New Roman" w:cs="Times New Roman"/>
          <w:sz w:val="28"/>
          <w:szCs w:val="28"/>
          <w:lang w:val="ru-RU"/>
        </w:rPr>
        <w:t>Инвестиции :</w:t>
      </w:r>
      <w:proofErr w:type="gramEnd"/>
      <w:r w:rsidRPr="00B67275">
        <w:rPr>
          <w:rFonts w:ascii="Times New Roman" w:eastAsia="Times New Roman" w:hAnsi="Times New Roman" w:cs="Times New Roman"/>
          <w:sz w:val="28"/>
          <w:szCs w:val="28"/>
          <w:lang w:val="ru-RU"/>
        </w:rPr>
        <w:t xml:space="preserve"> учебник для вузов / Л. И. </w:t>
      </w:r>
      <w:proofErr w:type="spellStart"/>
      <w:r w:rsidRPr="00B67275">
        <w:rPr>
          <w:rFonts w:ascii="Times New Roman" w:eastAsia="Times New Roman" w:hAnsi="Times New Roman" w:cs="Times New Roman"/>
          <w:sz w:val="28"/>
          <w:szCs w:val="28"/>
          <w:lang w:val="ru-RU"/>
        </w:rPr>
        <w:t>Юзвович</w:t>
      </w:r>
      <w:proofErr w:type="spellEnd"/>
      <w:r w:rsidRPr="00B67275">
        <w:rPr>
          <w:rFonts w:ascii="Times New Roman" w:eastAsia="Times New Roman" w:hAnsi="Times New Roman" w:cs="Times New Roman"/>
          <w:sz w:val="28"/>
          <w:szCs w:val="28"/>
          <w:lang w:val="ru-RU"/>
        </w:rPr>
        <w:t xml:space="preserve">, Е. Г. Князева, Е. А. Разумовская [и др.] ; под ред. Л. И. </w:t>
      </w:r>
      <w:proofErr w:type="spellStart"/>
      <w:r w:rsidRPr="00B67275">
        <w:rPr>
          <w:rFonts w:ascii="Times New Roman" w:eastAsia="Times New Roman" w:hAnsi="Times New Roman" w:cs="Times New Roman"/>
          <w:sz w:val="28"/>
          <w:szCs w:val="28"/>
          <w:lang w:val="ru-RU"/>
        </w:rPr>
        <w:t>Юзвович</w:t>
      </w:r>
      <w:proofErr w:type="spellEnd"/>
      <w:r w:rsidRPr="00B67275">
        <w:rPr>
          <w:rFonts w:ascii="Times New Roman" w:eastAsia="Times New Roman" w:hAnsi="Times New Roman" w:cs="Times New Roman"/>
          <w:sz w:val="28"/>
          <w:szCs w:val="28"/>
          <w:lang w:val="ru-RU"/>
        </w:rPr>
        <w:t xml:space="preserve">. — </w:t>
      </w:r>
      <w:proofErr w:type="gramStart"/>
      <w:r w:rsidRPr="00B67275">
        <w:rPr>
          <w:rFonts w:ascii="Times New Roman" w:eastAsia="Times New Roman" w:hAnsi="Times New Roman" w:cs="Times New Roman"/>
          <w:sz w:val="28"/>
          <w:szCs w:val="28"/>
          <w:lang w:val="ru-RU"/>
        </w:rPr>
        <w:t>Екатеринбург :</w:t>
      </w:r>
      <w:proofErr w:type="gramEnd"/>
      <w:r w:rsidRPr="00B67275">
        <w:rPr>
          <w:rFonts w:ascii="Times New Roman" w:eastAsia="Times New Roman" w:hAnsi="Times New Roman" w:cs="Times New Roman"/>
          <w:sz w:val="28"/>
          <w:szCs w:val="28"/>
          <w:lang w:val="ru-RU"/>
        </w:rPr>
        <w:t xml:space="preserve"> Изд-во Урал. ун-та ; Москва : ФЛИНТА, 2020. — 612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III</w:t>
      </w:r>
      <w:r w:rsidRPr="00B67275">
        <w:rPr>
          <w:rFonts w:ascii="Times New Roman" w:eastAsia="Times New Roman" w:hAnsi="Times New Roman" w:cs="Times New Roman"/>
          <w:b/>
          <w:bCs/>
          <w:sz w:val="28"/>
          <w:szCs w:val="28"/>
          <w:lang w:val="ru-RU"/>
        </w:rPr>
        <w:t>. Периодические издания и научные статьи</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27. Батаева, Б. С. Влияние раскрытия </w:t>
      </w:r>
      <w:r w:rsidRPr="00B67275">
        <w:rPr>
          <w:rFonts w:ascii="Times New Roman" w:eastAsia="Times New Roman" w:hAnsi="Times New Roman" w:cs="Times New Roman"/>
          <w:sz w:val="28"/>
          <w:szCs w:val="28"/>
        </w:rPr>
        <w:t>ESG</w:t>
      </w:r>
      <w:r w:rsidRPr="00B67275">
        <w:rPr>
          <w:rFonts w:ascii="Times New Roman" w:eastAsia="Times New Roman" w:hAnsi="Times New Roman" w:cs="Times New Roman"/>
          <w:sz w:val="28"/>
          <w:szCs w:val="28"/>
          <w:lang w:val="ru-RU"/>
        </w:rPr>
        <w:t>-показателей на финансовые результаты российских публичных компаний / Б. С. Батаева, А. Д. Кокурина // Экономика. Налоги. Право. — 2021. — № 4. — С. 62–71.</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28. Гайфуллина, М. М. Корреляционно-регрессионный анализ инвестиционной привлекательности отрасли / М. М. Гайфуллина, Г. З. Низамова // Управление. — 2021. — Т. 9, № 3. — С. 27–38.</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29. Колесниченко, Д. М. Оценка влияния диверсификации на эффективность инвестиционного портфеля, сформированного на основе модели </w:t>
      </w:r>
      <w:proofErr w:type="spellStart"/>
      <w:r w:rsidRPr="00B67275">
        <w:rPr>
          <w:rFonts w:ascii="Times New Roman" w:eastAsia="Times New Roman" w:hAnsi="Times New Roman" w:cs="Times New Roman"/>
          <w:sz w:val="28"/>
          <w:szCs w:val="28"/>
          <w:lang w:val="ru-RU"/>
        </w:rPr>
        <w:t>Марковица</w:t>
      </w:r>
      <w:proofErr w:type="spellEnd"/>
      <w:r w:rsidRPr="00B67275">
        <w:rPr>
          <w:rFonts w:ascii="Times New Roman" w:eastAsia="Times New Roman" w:hAnsi="Times New Roman" w:cs="Times New Roman"/>
          <w:sz w:val="28"/>
          <w:szCs w:val="28"/>
          <w:lang w:val="ru-RU"/>
        </w:rPr>
        <w:t xml:space="preserve"> / Д. М. Колесниченко // Вестник экономического научного общества студентов и аспирантов. — 2021. — № 2. — С. 14–22.</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30. </w:t>
      </w:r>
      <w:proofErr w:type="spellStart"/>
      <w:r w:rsidRPr="00B67275">
        <w:rPr>
          <w:rFonts w:ascii="Times New Roman" w:eastAsia="Times New Roman" w:hAnsi="Times New Roman" w:cs="Times New Roman"/>
          <w:sz w:val="28"/>
          <w:szCs w:val="28"/>
          <w:lang w:val="ru-RU"/>
        </w:rPr>
        <w:t>Мядзель</w:t>
      </w:r>
      <w:proofErr w:type="spellEnd"/>
      <w:r w:rsidRPr="00B67275">
        <w:rPr>
          <w:rFonts w:ascii="Times New Roman" w:eastAsia="Times New Roman" w:hAnsi="Times New Roman" w:cs="Times New Roman"/>
          <w:sz w:val="28"/>
          <w:szCs w:val="28"/>
          <w:lang w:val="ru-RU"/>
        </w:rPr>
        <w:t xml:space="preserve">, В. С. Проблемы и перспективы развития российской металлургии в рамках ЕАЭС / В. С. </w:t>
      </w:r>
      <w:proofErr w:type="spellStart"/>
      <w:r w:rsidRPr="00B67275">
        <w:rPr>
          <w:rFonts w:ascii="Times New Roman" w:eastAsia="Times New Roman" w:hAnsi="Times New Roman" w:cs="Times New Roman"/>
          <w:sz w:val="28"/>
          <w:szCs w:val="28"/>
          <w:lang w:val="ru-RU"/>
        </w:rPr>
        <w:t>Мядзель</w:t>
      </w:r>
      <w:proofErr w:type="spellEnd"/>
      <w:r w:rsidRPr="00B67275">
        <w:rPr>
          <w:rFonts w:ascii="Times New Roman" w:eastAsia="Times New Roman" w:hAnsi="Times New Roman" w:cs="Times New Roman"/>
          <w:sz w:val="28"/>
          <w:szCs w:val="28"/>
          <w:lang w:val="ru-RU"/>
        </w:rPr>
        <w:t xml:space="preserve"> // Экономические отношения. — 2024. — Т. 14, № 3. — С. 18–29.</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31. </w:t>
      </w:r>
      <w:proofErr w:type="spellStart"/>
      <w:r w:rsidRPr="00B67275">
        <w:rPr>
          <w:rFonts w:ascii="Times New Roman" w:eastAsia="Times New Roman" w:hAnsi="Times New Roman" w:cs="Times New Roman"/>
          <w:sz w:val="28"/>
          <w:szCs w:val="28"/>
          <w:lang w:val="ru-RU"/>
        </w:rPr>
        <w:t>Радковская</w:t>
      </w:r>
      <w:proofErr w:type="spellEnd"/>
      <w:r w:rsidRPr="00B67275">
        <w:rPr>
          <w:rFonts w:ascii="Times New Roman" w:eastAsia="Times New Roman" w:hAnsi="Times New Roman" w:cs="Times New Roman"/>
          <w:sz w:val="28"/>
          <w:szCs w:val="28"/>
          <w:lang w:val="ru-RU"/>
        </w:rPr>
        <w:t xml:space="preserve">, Н. П. </w:t>
      </w:r>
      <w:r w:rsidRPr="00B67275">
        <w:rPr>
          <w:rFonts w:ascii="Times New Roman" w:eastAsia="Times New Roman" w:hAnsi="Times New Roman" w:cs="Times New Roman"/>
          <w:sz w:val="28"/>
          <w:szCs w:val="28"/>
        </w:rPr>
        <w:t>ESG</w:t>
      </w:r>
      <w:r w:rsidRPr="00B67275">
        <w:rPr>
          <w:rFonts w:ascii="Times New Roman" w:eastAsia="Times New Roman" w:hAnsi="Times New Roman" w:cs="Times New Roman"/>
          <w:sz w:val="28"/>
          <w:szCs w:val="28"/>
          <w:lang w:val="ru-RU"/>
        </w:rPr>
        <w:t xml:space="preserve">-инвестиции и их влияние на развитие финансового рынка / Н. П. </w:t>
      </w:r>
      <w:proofErr w:type="spellStart"/>
      <w:r w:rsidRPr="00B67275">
        <w:rPr>
          <w:rFonts w:ascii="Times New Roman" w:eastAsia="Times New Roman" w:hAnsi="Times New Roman" w:cs="Times New Roman"/>
          <w:sz w:val="28"/>
          <w:szCs w:val="28"/>
          <w:lang w:val="ru-RU"/>
        </w:rPr>
        <w:t>Радковская</w:t>
      </w:r>
      <w:proofErr w:type="spellEnd"/>
      <w:r w:rsidRPr="00B67275">
        <w:rPr>
          <w:rFonts w:ascii="Times New Roman" w:eastAsia="Times New Roman" w:hAnsi="Times New Roman" w:cs="Times New Roman"/>
          <w:sz w:val="28"/>
          <w:szCs w:val="28"/>
          <w:lang w:val="ru-RU"/>
        </w:rPr>
        <w:t xml:space="preserve"> // Наука и образование в условиях цифровой трансформации экономики и общества. — Санкт-</w:t>
      </w:r>
      <w:proofErr w:type="gramStart"/>
      <w:r w:rsidRPr="00B67275">
        <w:rPr>
          <w:rFonts w:ascii="Times New Roman" w:eastAsia="Times New Roman" w:hAnsi="Times New Roman" w:cs="Times New Roman"/>
          <w:sz w:val="28"/>
          <w:szCs w:val="28"/>
          <w:lang w:val="ru-RU"/>
        </w:rPr>
        <w:t>Петербург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СПбГЭУ</w:t>
      </w:r>
      <w:proofErr w:type="spellEnd"/>
      <w:r w:rsidRPr="00B67275">
        <w:rPr>
          <w:rFonts w:ascii="Times New Roman" w:eastAsia="Times New Roman" w:hAnsi="Times New Roman" w:cs="Times New Roman"/>
          <w:sz w:val="28"/>
          <w:szCs w:val="28"/>
          <w:lang w:val="ru-RU"/>
        </w:rPr>
        <w:t>, 2021. — С. 182–187.</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32. </w:t>
      </w:r>
      <w:proofErr w:type="spellStart"/>
      <w:r w:rsidRPr="00B67275">
        <w:rPr>
          <w:rFonts w:ascii="Times New Roman" w:eastAsia="Times New Roman" w:hAnsi="Times New Roman" w:cs="Times New Roman"/>
          <w:sz w:val="28"/>
          <w:szCs w:val="28"/>
          <w:lang w:val="ru-RU"/>
        </w:rPr>
        <w:t>Старюк</w:t>
      </w:r>
      <w:proofErr w:type="spellEnd"/>
      <w:r w:rsidRPr="00B67275">
        <w:rPr>
          <w:rFonts w:ascii="Times New Roman" w:eastAsia="Times New Roman" w:hAnsi="Times New Roman" w:cs="Times New Roman"/>
          <w:sz w:val="28"/>
          <w:szCs w:val="28"/>
          <w:lang w:val="ru-RU"/>
        </w:rPr>
        <w:t xml:space="preserve">, П. Ю. Стратегическое управление стоимостью компании: учёт факторов корпоративного управления / П. Ю. </w:t>
      </w:r>
      <w:proofErr w:type="spellStart"/>
      <w:r w:rsidRPr="00B67275">
        <w:rPr>
          <w:rFonts w:ascii="Times New Roman" w:eastAsia="Times New Roman" w:hAnsi="Times New Roman" w:cs="Times New Roman"/>
          <w:sz w:val="28"/>
          <w:szCs w:val="28"/>
          <w:lang w:val="ru-RU"/>
        </w:rPr>
        <w:t>Старюк</w:t>
      </w:r>
      <w:proofErr w:type="spellEnd"/>
      <w:r w:rsidRPr="00B67275">
        <w:rPr>
          <w:rFonts w:ascii="Times New Roman" w:eastAsia="Times New Roman" w:hAnsi="Times New Roman" w:cs="Times New Roman"/>
          <w:sz w:val="28"/>
          <w:szCs w:val="28"/>
          <w:lang w:val="ru-RU"/>
        </w:rPr>
        <w:t xml:space="preserve"> // Управление корпоративными финансами. — 2005. — № 2. — С. 12–21.</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33. Чупина, И. П. Анализ состояния металлургической промышленности России / И. П. Чупина, А. В. </w:t>
      </w:r>
      <w:proofErr w:type="spellStart"/>
      <w:r w:rsidRPr="00B67275">
        <w:rPr>
          <w:rFonts w:ascii="Times New Roman" w:eastAsia="Times New Roman" w:hAnsi="Times New Roman" w:cs="Times New Roman"/>
          <w:sz w:val="28"/>
          <w:szCs w:val="28"/>
          <w:lang w:val="ru-RU"/>
        </w:rPr>
        <w:t>Тарабардина</w:t>
      </w:r>
      <w:proofErr w:type="spellEnd"/>
      <w:r w:rsidRPr="00B67275">
        <w:rPr>
          <w:rFonts w:ascii="Times New Roman" w:eastAsia="Times New Roman" w:hAnsi="Times New Roman" w:cs="Times New Roman"/>
          <w:sz w:val="28"/>
          <w:szCs w:val="28"/>
          <w:lang w:val="ru-RU"/>
        </w:rPr>
        <w:t xml:space="preserve"> // Вектор экономики. — 2024. — № 3. — С. 11–19.</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b/>
          <w:bCs/>
          <w:sz w:val="28"/>
          <w:szCs w:val="28"/>
          <w:lang w:val="en-US"/>
        </w:rPr>
        <w:t xml:space="preserve">IV. </w:t>
      </w:r>
      <w:proofErr w:type="spellStart"/>
      <w:r w:rsidRPr="00B67275">
        <w:rPr>
          <w:rFonts w:ascii="Times New Roman" w:eastAsia="Times New Roman" w:hAnsi="Times New Roman" w:cs="Times New Roman"/>
          <w:b/>
          <w:bCs/>
          <w:sz w:val="28"/>
          <w:szCs w:val="28"/>
        </w:rPr>
        <w:t>Литература</w:t>
      </w:r>
      <w:proofErr w:type="spellEnd"/>
      <w:r w:rsidRPr="00B67275">
        <w:rPr>
          <w:rFonts w:ascii="Times New Roman" w:eastAsia="Times New Roman" w:hAnsi="Times New Roman" w:cs="Times New Roman"/>
          <w:b/>
          <w:bCs/>
          <w:sz w:val="28"/>
          <w:szCs w:val="28"/>
          <w:lang w:val="en-US"/>
        </w:rPr>
        <w:t xml:space="preserve"> </w:t>
      </w:r>
      <w:proofErr w:type="spellStart"/>
      <w:r w:rsidRPr="00B67275">
        <w:rPr>
          <w:rFonts w:ascii="Times New Roman" w:eastAsia="Times New Roman" w:hAnsi="Times New Roman" w:cs="Times New Roman"/>
          <w:b/>
          <w:bCs/>
          <w:sz w:val="28"/>
          <w:szCs w:val="28"/>
        </w:rPr>
        <w:t>на</w:t>
      </w:r>
      <w:proofErr w:type="spellEnd"/>
      <w:r w:rsidRPr="00B67275">
        <w:rPr>
          <w:rFonts w:ascii="Times New Roman" w:eastAsia="Times New Roman" w:hAnsi="Times New Roman" w:cs="Times New Roman"/>
          <w:b/>
          <w:bCs/>
          <w:sz w:val="28"/>
          <w:szCs w:val="28"/>
          <w:lang w:val="en-US"/>
        </w:rPr>
        <w:t xml:space="preserve"> </w:t>
      </w:r>
      <w:proofErr w:type="spellStart"/>
      <w:r w:rsidRPr="00B67275">
        <w:rPr>
          <w:rFonts w:ascii="Times New Roman" w:eastAsia="Times New Roman" w:hAnsi="Times New Roman" w:cs="Times New Roman"/>
          <w:b/>
          <w:bCs/>
          <w:sz w:val="28"/>
          <w:szCs w:val="28"/>
        </w:rPr>
        <w:t>иностранных</w:t>
      </w:r>
      <w:proofErr w:type="spellEnd"/>
      <w:r w:rsidRPr="00B67275">
        <w:rPr>
          <w:rFonts w:ascii="Times New Roman" w:eastAsia="Times New Roman" w:hAnsi="Times New Roman" w:cs="Times New Roman"/>
          <w:b/>
          <w:bCs/>
          <w:sz w:val="28"/>
          <w:szCs w:val="28"/>
          <w:lang w:val="en-US"/>
        </w:rPr>
        <w:t xml:space="preserve"> </w:t>
      </w:r>
      <w:proofErr w:type="spellStart"/>
      <w:r w:rsidRPr="00B67275">
        <w:rPr>
          <w:rFonts w:ascii="Times New Roman" w:eastAsia="Times New Roman" w:hAnsi="Times New Roman" w:cs="Times New Roman"/>
          <w:b/>
          <w:bCs/>
          <w:sz w:val="28"/>
          <w:szCs w:val="28"/>
        </w:rPr>
        <w:t>языках</w:t>
      </w:r>
      <w:proofErr w:type="spellEnd"/>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34. Fama, E. F. Choosing factors / E. F. Fama, K. R. French // Journal of Financial Economics. — 2018. — Vol. 128, no. 2. — P. 234–252.</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35. Fama, E. F. The Capital Asset Pricing Model: Theory and Evidence / E. F. Fama, K. R. French // Journal of Economic Perspectives. — 2004. — Vol. 18, no. 3. — P. 25–46.</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lastRenderedPageBreak/>
        <w:t xml:space="preserve">36. Markowitz, H. M. Portfolio Selection: Efficient Diversification of Investments / H. M. Markowitz. — New </w:t>
      </w:r>
      <w:proofErr w:type="gramStart"/>
      <w:r w:rsidRPr="00B67275">
        <w:rPr>
          <w:rFonts w:ascii="Times New Roman" w:eastAsia="Times New Roman" w:hAnsi="Times New Roman" w:cs="Times New Roman"/>
          <w:sz w:val="28"/>
          <w:szCs w:val="28"/>
          <w:lang w:val="en-US"/>
        </w:rPr>
        <w:t>York :</w:t>
      </w:r>
      <w:proofErr w:type="gramEnd"/>
      <w:r w:rsidRPr="00B67275">
        <w:rPr>
          <w:rFonts w:ascii="Times New Roman" w:eastAsia="Times New Roman" w:hAnsi="Times New Roman" w:cs="Times New Roman"/>
          <w:sz w:val="28"/>
          <w:szCs w:val="28"/>
          <w:lang w:val="en-US"/>
        </w:rPr>
        <w:t xml:space="preserve"> Wiley, 1959. — 344 p.</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 xml:space="preserve">37. Markowitz, H. M. Portfolio Selection / H. M. Markowitz // </w:t>
      </w:r>
      <w:proofErr w:type="gramStart"/>
      <w:r w:rsidRPr="00B67275">
        <w:rPr>
          <w:rFonts w:ascii="Times New Roman" w:eastAsia="Times New Roman" w:hAnsi="Times New Roman" w:cs="Times New Roman"/>
          <w:sz w:val="28"/>
          <w:szCs w:val="28"/>
          <w:lang w:val="en-US"/>
        </w:rPr>
        <w:t>The</w:t>
      </w:r>
      <w:proofErr w:type="gramEnd"/>
      <w:r w:rsidRPr="00B67275">
        <w:rPr>
          <w:rFonts w:ascii="Times New Roman" w:eastAsia="Times New Roman" w:hAnsi="Times New Roman" w:cs="Times New Roman"/>
          <w:sz w:val="28"/>
          <w:szCs w:val="28"/>
          <w:lang w:val="en-US"/>
        </w:rPr>
        <w:t xml:space="preserve"> Journal of Finance. — 1952. — Vol. 7, no. 1. — P. 77–91.</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38. Sharpe, W. F. Capital asset prices: a theory of market equilibrium under conditions of risk / W. F. Sharpe // The Journal of Finance. — 1964. — Vol. 19, no. 3. — P. 425–442.</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 xml:space="preserve">39. Sharpe, W. F. Mutual Fund Performance / W. F. Sharpe // </w:t>
      </w:r>
      <w:proofErr w:type="gramStart"/>
      <w:r w:rsidRPr="00B67275">
        <w:rPr>
          <w:rFonts w:ascii="Times New Roman" w:eastAsia="Times New Roman" w:hAnsi="Times New Roman" w:cs="Times New Roman"/>
          <w:sz w:val="28"/>
          <w:szCs w:val="28"/>
          <w:lang w:val="en-US"/>
        </w:rPr>
        <w:t>The</w:t>
      </w:r>
      <w:proofErr w:type="gramEnd"/>
      <w:r w:rsidRPr="00B67275">
        <w:rPr>
          <w:rFonts w:ascii="Times New Roman" w:eastAsia="Times New Roman" w:hAnsi="Times New Roman" w:cs="Times New Roman"/>
          <w:sz w:val="28"/>
          <w:szCs w:val="28"/>
          <w:lang w:val="en-US"/>
        </w:rPr>
        <w:t xml:space="preserve"> Journal of Business. — 1966. — Vol. 39, no. 1. — P. 119–138.</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 xml:space="preserve">40. Sortino, F. A. Performance Measurement in a Downside Risk Framework / F. A. Sortino, R. Van Der Meer // </w:t>
      </w:r>
      <w:proofErr w:type="gramStart"/>
      <w:r w:rsidRPr="00B67275">
        <w:rPr>
          <w:rFonts w:ascii="Times New Roman" w:eastAsia="Times New Roman" w:hAnsi="Times New Roman" w:cs="Times New Roman"/>
          <w:sz w:val="28"/>
          <w:szCs w:val="28"/>
          <w:lang w:val="en-US"/>
        </w:rPr>
        <w:t>The</w:t>
      </w:r>
      <w:proofErr w:type="gramEnd"/>
      <w:r w:rsidRPr="00B67275">
        <w:rPr>
          <w:rFonts w:ascii="Times New Roman" w:eastAsia="Times New Roman" w:hAnsi="Times New Roman" w:cs="Times New Roman"/>
          <w:sz w:val="28"/>
          <w:szCs w:val="28"/>
          <w:lang w:val="en-US"/>
        </w:rPr>
        <w:t xml:space="preserve"> Journal of Portfolio Management. — 1991. — Vol. 18, no. 1. — P. 27–31.</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41. Treynor, J. L. How to Rate Management of Investment Funds / J. L. Treynor // Harvard Business Review. — 1965. — Vol. 43, no. 1. — P. 63–75.</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 xml:space="preserve">42. Jensen, M. C. The Performance of Mutual Funds in the Period 1945–1964 / M. C. Jensen // </w:t>
      </w:r>
      <w:proofErr w:type="gramStart"/>
      <w:r w:rsidRPr="00B67275">
        <w:rPr>
          <w:rFonts w:ascii="Times New Roman" w:eastAsia="Times New Roman" w:hAnsi="Times New Roman" w:cs="Times New Roman"/>
          <w:sz w:val="28"/>
          <w:szCs w:val="28"/>
          <w:lang w:val="en-US"/>
        </w:rPr>
        <w:t>The</w:t>
      </w:r>
      <w:proofErr w:type="gramEnd"/>
      <w:r w:rsidRPr="00B67275">
        <w:rPr>
          <w:rFonts w:ascii="Times New Roman" w:eastAsia="Times New Roman" w:hAnsi="Times New Roman" w:cs="Times New Roman"/>
          <w:sz w:val="28"/>
          <w:szCs w:val="28"/>
          <w:lang w:val="en-US"/>
        </w:rPr>
        <w:t xml:space="preserve"> Journal of Finance. — 1968. — Vol. 23, no. 2. — P. 389–416.</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43. Altman, E. I. Predicting Financial Distress of Companies: Revisiting the Z-Score and ZETA Models / E. I. Altman // Stern School of Business Working Paper. — 2000. — 54 p.</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44. Black, F. The Pricing of Options and Corporate Liabilities / F. Black, M. Scholes // Journal of Political Economy. — 1973. — Vol. 81, no. 3. — P. 637–654.</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 xml:space="preserve">45. Damodaran, A. Investment Philosophies: Successful Strategies and the Investors Who Made Them Work / A. Damodaran. — 2nd ed. — </w:t>
      </w:r>
      <w:proofErr w:type="gramStart"/>
      <w:r w:rsidRPr="00B67275">
        <w:rPr>
          <w:rFonts w:ascii="Times New Roman" w:eastAsia="Times New Roman" w:hAnsi="Times New Roman" w:cs="Times New Roman"/>
          <w:sz w:val="28"/>
          <w:szCs w:val="28"/>
          <w:lang w:val="en-US"/>
        </w:rPr>
        <w:t>Hoboken :</w:t>
      </w:r>
      <w:proofErr w:type="gramEnd"/>
      <w:r w:rsidRPr="00B67275">
        <w:rPr>
          <w:rFonts w:ascii="Times New Roman" w:eastAsia="Times New Roman" w:hAnsi="Times New Roman" w:cs="Times New Roman"/>
          <w:sz w:val="28"/>
          <w:szCs w:val="28"/>
          <w:lang w:val="en-US"/>
        </w:rPr>
        <w:t xml:space="preserve"> Wiley, 2012. — 614 p.</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V</w:t>
      </w:r>
      <w:r w:rsidRPr="00B67275">
        <w:rPr>
          <w:rFonts w:ascii="Times New Roman" w:eastAsia="Times New Roman" w:hAnsi="Times New Roman" w:cs="Times New Roman"/>
          <w:b/>
          <w:bCs/>
          <w:sz w:val="28"/>
          <w:szCs w:val="28"/>
          <w:lang w:val="ru-RU"/>
        </w:rPr>
        <w:t>. Интернет-ресурсы и корпоративная финансовая отчётность</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46. Банк России (Центральный банк Российской Федерации</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официальный сайт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www</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cbr</w:t>
      </w:r>
      <w:proofErr w:type="spellEnd"/>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ru</w:t>
      </w:r>
      <w:proofErr w:type="spellEnd"/>
      <w:r w:rsidRPr="00B67275">
        <w:rPr>
          <w:rFonts w:ascii="Times New Roman" w:eastAsia="Times New Roman" w:hAnsi="Times New Roman" w:cs="Times New Roman"/>
          <w:sz w:val="28"/>
          <w:szCs w:val="28"/>
          <w:lang w:val="ru-RU"/>
        </w:rPr>
        <w:t>/ (дата обращения: 07.05.2026).</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47. Московская </w:t>
      </w:r>
      <w:proofErr w:type="gramStart"/>
      <w:r w:rsidRPr="00B67275">
        <w:rPr>
          <w:rFonts w:ascii="Times New Roman" w:eastAsia="Times New Roman" w:hAnsi="Times New Roman" w:cs="Times New Roman"/>
          <w:sz w:val="28"/>
          <w:szCs w:val="28"/>
          <w:lang w:val="ru-RU"/>
        </w:rPr>
        <w:t>Биржа :</w:t>
      </w:r>
      <w:proofErr w:type="gramEnd"/>
      <w:r w:rsidRPr="00B67275">
        <w:rPr>
          <w:rFonts w:ascii="Times New Roman" w:eastAsia="Times New Roman" w:hAnsi="Times New Roman" w:cs="Times New Roman"/>
          <w:sz w:val="28"/>
          <w:szCs w:val="28"/>
          <w:lang w:val="ru-RU"/>
        </w:rPr>
        <w:t xml:space="preserve"> официальный сайт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www</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moex</w:t>
      </w:r>
      <w:proofErr w:type="spellEnd"/>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com</w:t>
      </w:r>
      <w:r w:rsidRPr="00B67275">
        <w:rPr>
          <w:rFonts w:ascii="Times New Roman" w:eastAsia="Times New Roman" w:hAnsi="Times New Roman" w:cs="Times New Roman"/>
          <w:sz w:val="28"/>
          <w:szCs w:val="28"/>
          <w:lang w:val="ru-RU"/>
        </w:rPr>
        <w:t>/ (дата обращения: 07.05.2026).</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48. ПАО «Северсталь</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годовая бухгалтерская отчётность и аудиторское заключение за 2023 год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severstal</w:t>
      </w:r>
      <w:proofErr w:type="spellEnd"/>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com</w:t>
      </w:r>
      <w:r w:rsidRPr="00B67275">
        <w:rPr>
          <w:rFonts w:ascii="Times New Roman" w:eastAsia="Times New Roman" w:hAnsi="Times New Roman" w:cs="Times New Roman"/>
          <w:sz w:val="28"/>
          <w:szCs w:val="28"/>
          <w:lang w:val="ru-RU"/>
        </w:rPr>
        <w:t>/ (дата обращения: 06.05.2026).</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49. Федеральная служба государственной статистики (Росстат</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официальный сайт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rosstat</w:t>
      </w:r>
      <w:proofErr w:type="spellEnd"/>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gov</w:t>
      </w:r>
      <w:proofErr w:type="spellEnd"/>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ru</w:t>
      </w:r>
      <w:proofErr w:type="spellEnd"/>
      <w:r w:rsidRPr="00B67275">
        <w:rPr>
          <w:rFonts w:ascii="Times New Roman" w:eastAsia="Times New Roman" w:hAnsi="Times New Roman" w:cs="Times New Roman"/>
          <w:sz w:val="28"/>
          <w:szCs w:val="28"/>
          <w:lang w:val="ru-RU"/>
        </w:rPr>
        <w:t>/ (дата обращения: 06.05.2026).</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50. Центр раскрытия корпоративной информации «Интерфакс»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www</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e</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disclosure</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ru</w:t>
      </w:r>
      <w:proofErr w:type="spellEnd"/>
      <w:r w:rsidRPr="00B67275">
        <w:rPr>
          <w:rFonts w:ascii="Times New Roman" w:eastAsia="Times New Roman" w:hAnsi="Times New Roman" w:cs="Times New Roman"/>
          <w:sz w:val="28"/>
          <w:szCs w:val="28"/>
          <w:lang w:val="ru-RU"/>
        </w:rPr>
        <w:t>/ (дата обращения: 06.05.2026).</w:t>
      </w:r>
    </w:p>
    <w:p w:rsidR="00FE64C3" w:rsidRPr="00B67275" w:rsidRDefault="00FE64C3" w:rsidP="00B67275">
      <w:pPr>
        <w:spacing w:line="360" w:lineRule="auto"/>
        <w:ind w:firstLine="709"/>
        <w:jc w:val="both"/>
        <w:rPr>
          <w:rFonts w:ascii="Times New Roman" w:hAnsi="Times New Roman" w:cs="Times New Roman"/>
          <w:sz w:val="28"/>
          <w:szCs w:val="28"/>
          <w:lang w:val="ru-RU"/>
        </w:rPr>
      </w:pPr>
    </w:p>
    <w:p w:rsidR="00793D47" w:rsidRPr="00B67275" w:rsidRDefault="00793D47" w:rsidP="00B67275">
      <w:pPr>
        <w:spacing w:line="360" w:lineRule="auto"/>
        <w:ind w:firstLine="709"/>
        <w:jc w:val="both"/>
        <w:rPr>
          <w:rFonts w:ascii="Times New Roman" w:hAnsi="Times New Roman" w:cs="Times New Roman"/>
          <w:sz w:val="28"/>
          <w:szCs w:val="28"/>
          <w:lang w:val="ru-RU"/>
        </w:rPr>
      </w:pPr>
    </w:p>
    <w:p w:rsidR="00793D47" w:rsidRPr="00B67275" w:rsidRDefault="00793D47" w:rsidP="00B67275">
      <w:pPr>
        <w:spacing w:line="360" w:lineRule="auto"/>
        <w:ind w:firstLine="709"/>
        <w:jc w:val="both"/>
        <w:rPr>
          <w:rFonts w:ascii="Times New Roman" w:hAnsi="Times New Roman" w:cs="Times New Roman"/>
          <w:b/>
          <w:bCs/>
          <w:sz w:val="28"/>
          <w:szCs w:val="28"/>
          <w:lang w:val="ru-RU"/>
        </w:rPr>
      </w:pPr>
    </w:p>
    <w:p w:rsidR="00793D47" w:rsidRDefault="00793D47" w:rsidP="00793D47">
      <w:pPr>
        <w:ind w:firstLine="709"/>
        <w:jc w:val="both"/>
        <w:rPr>
          <w:rFonts w:ascii="Times New Roman" w:hAnsi="Times New Roman" w:cs="Times New Roman"/>
          <w:b/>
          <w:bCs/>
          <w:sz w:val="28"/>
          <w:szCs w:val="28"/>
          <w:lang w:val="ru-RU"/>
        </w:rPr>
      </w:pPr>
    </w:p>
    <w:p w:rsidR="00793D47" w:rsidRDefault="00793D47" w:rsidP="00793D47">
      <w:pPr>
        <w:ind w:firstLine="709"/>
        <w:jc w:val="both"/>
        <w:rPr>
          <w:rFonts w:ascii="Times New Roman" w:hAnsi="Times New Roman" w:cs="Times New Roman"/>
          <w:b/>
          <w:bCs/>
          <w:sz w:val="28"/>
          <w:szCs w:val="28"/>
          <w:lang w:val="ru-RU"/>
        </w:rPr>
      </w:pPr>
    </w:p>
    <w:p w:rsidR="00793D47" w:rsidRDefault="00793D47" w:rsidP="00793D47">
      <w:pPr>
        <w:ind w:firstLine="709"/>
        <w:jc w:val="both"/>
        <w:rPr>
          <w:rFonts w:ascii="Times New Roman" w:hAnsi="Times New Roman" w:cs="Times New Roman"/>
          <w:b/>
          <w:bCs/>
          <w:sz w:val="28"/>
          <w:szCs w:val="28"/>
          <w:lang w:val="ru-RU"/>
        </w:rPr>
      </w:pPr>
    </w:p>
    <w:p w:rsidR="00793D47" w:rsidRPr="00E64932" w:rsidRDefault="00793D47" w:rsidP="00612FCD">
      <w:pPr>
        <w:jc w:val="both"/>
        <w:rPr>
          <w:rFonts w:ascii="Times New Roman" w:hAnsi="Times New Roman" w:cs="Times New Roman"/>
          <w:sz w:val="28"/>
          <w:szCs w:val="28"/>
          <w:lang w:val="ru-RU"/>
        </w:rPr>
      </w:pPr>
    </w:p>
    <w:sectPr w:rsidR="00793D47" w:rsidRPr="00E64932" w:rsidSect="00F834A7">
      <w:footerReference w:type="default" r:id="rId9"/>
      <w:type w:val="oddPage"/>
      <w:pgSz w:w="12240" w:h="15840"/>
      <w:pgMar w:top="1440" w:right="1440" w:bottom="1440" w:left="1440" w:header="720"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7DFD" w:rsidRDefault="00097DFD" w:rsidP="002C229C">
      <w:pPr>
        <w:spacing w:line="240" w:lineRule="auto"/>
      </w:pPr>
      <w:r>
        <w:separator/>
      </w:r>
    </w:p>
  </w:endnote>
  <w:endnote w:type="continuationSeparator" w:id="0">
    <w:p w:rsidR="00097DFD" w:rsidRDefault="00097DFD" w:rsidP="002C22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C07B457F-D920-4373-962C-B426871C5E12}"/>
  </w:font>
  <w:font w:name="Tahoma">
    <w:panose1 w:val="020B0604030504040204"/>
    <w:charset w:val="00"/>
    <w:family w:val="auto"/>
    <w:pitch w:val="default"/>
    <w:embedRegular r:id="rId2" w:fontKey="{DB77E52D-DF14-4933-B1DF-9FBA79C94289}"/>
  </w:font>
  <w:font w:name="Cambria">
    <w:panose1 w:val="02040503050406030204"/>
    <w:charset w:val="00"/>
    <w:family w:val="auto"/>
    <w:pitch w:val="default"/>
    <w:embedRegular r:id="rId3" w:fontKey="{FE486B95-F3DE-4C49-B9C9-3BB1E725D461}"/>
  </w:font>
  <w:font w:name="Cambria Math">
    <w:panose1 w:val="02040503050406030204"/>
    <w:charset w:val="CC"/>
    <w:family w:val="roman"/>
    <w:pitch w:val="variable"/>
    <w:sig w:usb0="E00002FF" w:usb1="420024FF" w:usb2="00000000" w:usb3="00000000" w:csb0="0000019F" w:csb1="00000000"/>
    <w:embedRegular r:id="rId4" w:fontKey="{8AFE5E38-CD14-49A6-8677-82BCB060EBC7}"/>
    <w:embedItalic r:id="rId5" w:fontKey="{C773AACE-9015-49B4-BDDD-C9590844B8FB}"/>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5940354"/>
      <w:docPartObj>
        <w:docPartGallery w:val="Page Numbers (Bottom of Page)"/>
        <w:docPartUnique/>
      </w:docPartObj>
    </w:sdtPr>
    <w:sdtEndPr>
      <w:rPr>
        <w:rFonts w:ascii="Times New Roman" w:hAnsi="Times New Roman" w:cs="Times New Roman"/>
        <w:sz w:val="28"/>
        <w:szCs w:val="28"/>
      </w:rPr>
    </w:sdtEndPr>
    <w:sdtContent>
      <w:p w:rsidR="00677407" w:rsidRPr="00CD1CF2" w:rsidRDefault="00677407">
        <w:pPr>
          <w:pStyle w:val="a9"/>
          <w:jc w:val="center"/>
          <w:rPr>
            <w:rFonts w:ascii="Times New Roman" w:hAnsi="Times New Roman" w:cs="Times New Roman"/>
            <w:sz w:val="28"/>
            <w:szCs w:val="28"/>
          </w:rPr>
        </w:pPr>
        <w:r w:rsidRPr="00CD1CF2">
          <w:rPr>
            <w:rFonts w:ascii="Times New Roman" w:hAnsi="Times New Roman" w:cs="Times New Roman"/>
            <w:sz w:val="28"/>
            <w:szCs w:val="28"/>
          </w:rPr>
          <w:fldChar w:fldCharType="begin"/>
        </w:r>
        <w:r w:rsidRPr="00CD1CF2">
          <w:rPr>
            <w:rFonts w:ascii="Times New Roman" w:hAnsi="Times New Roman" w:cs="Times New Roman"/>
            <w:sz w:val="28"/>
            <w:szCs w:val="28"/>
          </w:rPr>
          <w:instrText>PAGE   \* MERGEFORMAT</w:instrText>
        </w:r>
        <w:r w:rsidRPr="00CD1CF2">
          <w:rPr>
            <w:rFonts w:ascii="Times New Roman" w:hAnsi="Times New Roman" w:cs="Times New Roman"/>
            <w:sz w:val="28"/>
            <w:szCs w:val="28"/>
          </w:rPr>
          <w:fldChar w:fldCharType="separate"/>
        </w:r>
        <w:r w:rsidR="00E2290B" w:rsidRPr="00E2290B">
          <w:rPr>
            <w:rFonts w:ascii="Times New Roman" w:hAnsi="Times New Roman" w:cs="Times New Roman"/>
            <w:noProof/>
            <w:sz w:val="28"/>
            <w:szCs w:val="28"/>
            <w:lang w:val="ru-RU"/>
          </w:rPr>
          <w:t>21</w:t>
        </w:r>
        <w:r w:rsidRPr="00CD1CF2">
          <w:rPr>
            <w:rFonts w:ascii="Times New Roman" w:hAnsi="Times New Roman" w:cs="Times New Roman"/>
            <w:sz w:val="28"/>
            <w:szCs w:val="28"/>
          </w:rPr>
          <w:fldChar w:fldCharType="end"/>
        </w:r>
      </w:p>
    </w:sdtContent>
  </w:sdt>
  <w:p w:rsidR="00677407" w:rsidRDefault="0067740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7DFD" w:rsidRDefault="00097DFD" w:rsidP="002C229C">
      <w:pPr>
        <w:spacing w:line="240" w:lineRule="auto"/>
      </w:pPr>
      <w:r>
        <w:separator/>
      </w:r>
    </w:p>
  </w:footnote>
  <w:footnote w:type="continuationSeparator" w:id="0">
    <w:p w:rsidR="00097DFD" w:rsidRDefault="00097DFD" w:rsidP="002C22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307B6"/>
    <w:multiLevelType w:val="multilevel"/>
    <w:tmpl w:val="FB92CF1E"/>
    <w:lvl w:ilvl="0">
      <w:start w:val="1"/>
      <w:numFmt w:val="bullet"/>
      <w:lvlText w:val=""/>
      <w:lvlJc w:val="left"/>
      <w:pPr>
        <w:ind w:left="720" w:hanging="360"/>
      </w:pPr>
      <w:rPr>
        <w:rFonts w:ascii="Symbol" w:hAnsi="Symbol"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716D7"/>
    <w:multiLevelType w:val="multilevel"/>
    <w:tmpl w:val="A4D6580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085F460A"/>
    <w:multiLevelType w:val="multilevel"/>
    <w:tmpl w:val="4FA4B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475ED"/>
    <w:multiLevelType w:val="multilevel"/>
    <w:tmpl w:val="87DA20B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012ECD"/>
    <w:multiLevelType w:val="hybridMultilevel"/>
    <w:tmpl w:val="36EC787A"/>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0CD1D89"/>
    <w:multiLevelType w:val="hybridMultilevel"/>
    <w:tmpl w:val="AE9C029C"/>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81A2E68"/>
    <w:multiLevelType w:val="hybridMultilevel"/>
    <w:tmpl w:val="72689064"/>
    <w:lvl w:ilvl="0" w:tplc="C456A506">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39302493"/>
    <w:multiLevelType w:val="multilevel"/>
    <w:tmpl w:val="85DCA82E"/>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0BE69C4"/>
    <w:multiLevelType w:val="multilevel"/>
    <w:tmpl w:val="9F44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D14A3"/>
    <w:multiLevelType w:val="multilevel"/>
    <w:tmpl w:val="E0FA8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D41129"/>
    <w:multiLevelType w:val="hybridMultilevel"/>
    <w:tmpl w:val="74EE6934"/>
    <w:lvl w:ilvl="0" w:tplc="CB0AC392">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15:restartNumberingAfterBreak="0">
    <w:nsid w:val="55600114"/>
    <w:multiLevelType w:val="multilevel"/>
    <w:tmpl w:val="269C92EA"/>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826FC"/>
    <w:multiLevelType w:val="multilevel"/>
    <w:tmpl w:val="7D5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B2DC7"/>
    <w:multiLevelType w:val="multilevel"/>
    <w:tmpl w:val="CA3C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95472"/>
    <w:multiLevelType w:val="multilevel"/>
    <w:tmpl w:val="B172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492A58"/>
    <w:multiLevelType w:val="multilevel"/>
    <w:tmpl w:val="4FF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A059CC"/>
    <w:multiLevelType w:val="multilevel"/>
    <w:tmpl w:val="599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E4DE2"/>
    <w:multiLevelType w:val="multilevel"/>
    <w:tmpl w:val="50A6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4F2C60"/>
    <w:multiLevelType w:val="multilevel"/>
    <w:tmpl w:val="558A1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85302E"/>
    <w:multiLevelType w:val="multilevel"/>
    <w:tmpl w:val="1C96F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691478"/>
    <w:multiLevelType w:val="multilevel"/>
    <w:tmpl w:val="C20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9"/>
  </w:num>
  <w:num w:numId="3">
    <w:abstractNumId w:val="7"/>
  </w:num>
  <w:num w:numId="4">
    <w:abstractNumId w:val="20"/>
  </w:num>
  <w:num w:numId="5">
    <w:abstractNumId w:val="16"/>
  </w:num>
  <w:num w:numId="6">
    <w:abstractNumId w:val="15"/>
  </w:num>
  <w:num w:numId="7">
    <w:abstractNumId w:val="9"/>
  </w:num>
  <w:num w:numId="8">
    <w:abstractNumId w:val="12"/>
  </w:num>
  <w:num w:numId="9">
    <w:abstractNumId w:val="2"/>
  </w:num>
  <w:num w:numId="10">
    <w:abstractNumId w:val="18"/>
  </w:num>
  <w:num w:numId="11">
    <w:abstractNumId w:val="14"/>
  </w:num>
  <w:num w:numId="12">
    <w:abstractNumId w:val="8"/>
  </w:num>
  <w:num w:numId="13">
    <w:abstractNumId w:val="3"/>
  </w:num>
  <w:num w:numId="14">
    <w:abstractNumId w:val="13"/>
  </w:num>
  <w:num w:numId="15">
    <w:abstractNumId w:val="17"/>
  </w:num>
  <w:num w:numId="16">
    <w:abstractNumId w:val="0"/>
  </w:num>
  <w:num w:numId="17">
    <w:abstractNumId w:val="4"/>
  </w:num>
  <w:num w:numId="18">
    <w:abstractNumId w:val="6"/>
  </w:num>
  <w:num w:numId="19">
    <w:abstractNumId w:val="5"/>
  </w:num>
  <w:num w:numId="20">
    <w:abstractNumId w:val="10"/>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7F4"/>
    <w:rsid w:val="00041F4F"/>
    <w:rsid w:val="0007704C"/>
    <w:rsid w:val="00097DFD"/>
    <w:rsid w:val="000C0B11"/>
    <w:rsid w:val="00205FD5"/>
    <w:rsid w:val="00220139"/>
    <w:rsid w:val="002B401D"/>
    <w:rsid w:val="002C229C"/>
    <w:rsid w:val="004167DF"/>
    <w:rsid w:val="004605F7"/>
    <w:rsid w:val="0057476F"/>
    <w:rsid w:val="005F2182"/>
    <w:rsid w:val="00612FCD"/>
    <w:rsid w:val="00631EF4"/>
    <w:rsid w:val="00653A71"/>
    <w:rsid w:val="00675B6A"/>
    <w:rsid w:val="00677407"/>
    <w:rsid w:val="006D6572"/>
    <w:rsid w:val="00710322"/>
    <w:rsid w:val="00793D47"/>
    <w:rsid w:val="007C0ED7"/>
    <w:rsid w:val="007D27F4"/>
    <w:rsid w:val="00876867"/>
    <w:rsid w:val="00884363"/>
    <w:rsid w:val="0094314F"/>
    <w:rsid w:val="0097563D"/>
    <w:rsid w:val="00A30BC7"/>
    <w:rsid w:val="00A30C68"/>
    <w:rsid w:val="00AC43B0"/>
    <w:rsid w:val="00B50D38"/>
    <w:rsid w:val="00B67275"/>
    <w:rsid w:val="00C76864"/>
    <w:rsid w:val="00CD1CF2"/>
    <w:rsid w:val="00DD5FC9"/>
    <w:rsid w:val="00DE18F0"/>
    <w:rsid w:val="00E2290B"/>
    <w:rsid w:val="00E64932"/>
    <w:rsid w:val="00EC4086"/>
    <w:rsid w:val="00F74D7F"/>
    <w:rsid w:val="00F834A7"/>
    <w:rsid w:val="00FB4C04"/>
    <w:rsid w:val="00FE64C3"/>
    <w:rsid w:val="00FF0F5C"/>
    <w:rsid w:val="00FF3E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328448"/>
  <w15:docId w15:val="{D6DFE454-D992-4335-AFEC-09DB10937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CA"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5FC9"/>
  </w:style>
  <w:style w:type="paragraph" w:styleId="1">
    <w:name w:val="heading 1"/>
    <w:basedOn w:val="a"/>
    <w:next w:val="a"/>
    <w:uiPriority w:val="9"/>
    <w:qFormat/>
    <w:rsid w:val="0007704C"/>
    <w:pPr>
      <w:keepNext/>
      <w:keepLines/>
      <w:spacing w:before="400" w:after="120"/>
      <w:jc w:val="center"/>
      <w:outlineLvl w:val="0"/>
    </w:pPr>
    <w:rPr>
      <w:rFonts w:ascii="Times New Roman" w:hAnsi="Times New Roman"/>
      <w:b/>
      <w:color w:val="000000" w:themeColor="text1"/>
      <w:sz w:val="28"/>
      <w:szCs w:val="40"/>
    </w:rPr>
  </w:style>
  <w:style w:type="paragraph" w:styleId="2">
    <w:name w:val="heading 2"/>
    <w:basedOn w:val="a"/>
    <w:next w:val="a"/>
    <w:uiPriority w:val="9"/>
    <w:unhideWhenUsed/>
    <w:qFormat/>
    <w:rsid w:val="00631EF4"/>
    <w:pPr>
      <w:keepNext/>
      <w:keepLines/>
      <w:spacing w:before="360" w:after="120"/>
      <w:jc w:val="center"/>
      <w:outlineLvl w:val="1"/>
    </w:pPr>
    <w:rPr>
      <w:rFonts w:ascii="Times New Roman" w:hAnsi="Times New Roman"/>
      <w:b/>
      <w:sz w:val="28"/>
      <w:szCs w:val="32"/>
    </w:rPr>
  </w:style>
  <w:style w:type="paragraph" w:styleId="3">
    <w:name w:val="heading 3"/>
    <w:basedOn w:val="a"/>
    <w:next w:val="a"/>
    <w:uiPriority w:val="9"/>
    <w:semiHidden/>
    <w:unhideWhenUsed/>
    <w:qFormat/>
    <w:rsid w:val="00DD5FC9"/>
    <w:pPr>
      <w:keepNext/>
      <w:keepLines/>
      <w:spacing w:before="320" w:after="80"/>
      <w:outlineLvl w:val="2"/>
    </w:pPr>
    <w:rPr>
      <w:color w:val="434343"/>
      <w:sz w:val="28"/>
      <w:szCs w:val="28"/>
    </w:rPr>
  </w:style>
  <w:style w:type="paragraph" w:styleId="4">
    <w:name w:val="heading 4"/>
    <w:basedOn w:val="a"/>
    <w:next w:val="a"/>
    <w:uiPriority w:val="9"/>
    <w:semiHidden/>
    <w:unhideWhenUsed/>
    <w:qFormat/>
    <w:rsid w:val="00DD5FC9"/>
    <w:pPr>
      <w:keepNext/>
      <w:keepLines/>
      <w:spacing w:before="280" w:after="80"/>
      <w:outlineLvl w:val="3"/>
    </w:pPr>
    <w:rPr>
      <w:color w:val="666666"/>
      <w:sz w:val="24"/>
      <w:szCs w:val="24"/>
    </w:rPr>
  </w:style>
  <w:style w:type="paragraph" w:styleId="5">
    <w:name w:val="heading 5"/>
    <w:basedOn w:val="a"/>
    <w:next w:val="a"/>
    <w:uiPriority w:val="9"/>
    <w:semiHidden/>
    <w:unhideWhenUsed/>
    <w:qFormat/>
    <w:rsid w:val="00DD5FC9"/>
    <w:pPr>
      <w:keepNext/>
      <w:keepLines/>
      <w:spacing w:before="240" w:after="80"/>
      <w:outlineLvl w:val="4"/>
    </w:pPr>
    <w:rPr>
      <w:color w:val="666666"/>
    </w:rPr>
  </w:style>
  <w:style w:type="paragraph" w:styleId="6">
    <w:name w:val="heading 6"/>
    <w:basedOn w:val="a"/>
    <w:next w:val="a"/>
    <w:uiPriority w:val="9"/>
    <w:semiHidden/>
    <w:unhideWhenUsed/>
    <w:qFormat/>
    <w:rsid w:val="00DD5FC9"/>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DD5FC9"/>
    <w:tblPr>
      <w:tblCellMar>
        <w:top w:w="100" w:type="dxa"/>
        <w:left w:w="100" w:type="dxa"/>
        <w:bottom w:w="100" w:type="dxa"/>
        <w:right w:w="100" w:type="dxa"/>
      </w:tblCellMar>
    </w:tblPr>
  </w:style>
  <w:style w:type="paragraph" w:styleId="a3">
    <w:name w:val="Title"/>
    <w:basedOn w:val="a"/>
    <w:next w:val="a"/>
    <w:uiPriority w:val="10"/>
    <w:qFormat/>
    <w:rsid w:val="00DD5FC9"/>
    <w:pPr>
      <w:keepNext/>
      <w:keepLines/>
      <w:spacing w:after="60"/>
    </w:pPr>
    <w:rPr>
      <w:sz w:val="52"/>
      <w:szCs w:val="52"/>
    </w:rPr>
  </w:style>
  <w:style w:type="paragraph" w:styleId="a4">
    <w:name w:val="Subtitle"/>
    <w:basedOn w:val="a"/>
    <w:next w:val="a"/>
    <w:uiPriority w:val="11"/>
    <w:qFormat/>
    <w:rsid w:val="00DD5FC9"/>
    <w:pPr>
      <w:keepNext/>
      <w:keepLines/>
      <w:spacing w:after="320"/>
    </w:pPr>
    <w:rPr>
      <w:color w:val="666666"/>
      <w:sz w:val="30"/>
      <w:szCs w:val="30"/>
    </w:rPr>
  </w:style>
  <w:style w:type="paragraph" w:styleId="a5">
    <w:name w:val="List Paragraph"/>
    <w:basedOn w:val="a"/>
    <w:uiPriority w:val="34"/>
    <w:qFormat/>
    <w:rsid w:val="00631EF4"/>
    <w:pPr>
      <w:ind w:left="720"/>
      <w:contextualSpacing/>
    </w:pPr>
  </w:style>
  <w:style w:type="character" w:styleId="a6">
    <w:name w:val="Placeholder Text"/>
    <w:basedOn w:val="a0"/>
    <w:uiPriority w:val="99"/>
    <w:semiHidden/>
    <w:rsid w:val="005F2182"/>
    <w:rPr>
      <w:color w:val="666666"/>
    </w:rPr>
  </w:style>
  <w:style w:type="paragraph" w:styleId="a7">
    <w:name w:val="header"/>
    <w:basedOn w:val="a"/>
    <w:link w:val="a8"/>
    <w:uiPriority w:val="99"/>
    <w:unhideWhenUsed/>
    <w:rsid w:val="002C229C"/>
    <w:pPr>
      <w:tabs>
        <w:tab w:val="center" w:pos="4677"/>
        <w:tab w:val="right" w:pos="9355"/>
      </w:tabs>
      <w:spacing w:line="240" w:lineRule="auto"/>
    </w:pPr>
  </w:style>
  <w:style w:type="character" w:customStyle="1" w:styleId="a8">
    <w:name w:val="Верхний колонтитул Знак"/>
    <w:basedOn w:val="a0"/>
    <w:link w:val="a7"/>
    <w:uiPriority w:val="99"/>
    <w:rsid w:val="002C229C"/>
  </w:style>
  <w:style w:type="paragraph" w:styleId="a9">
    <w:name w:val="footer"/>
    <w:basedOn w:val="a"/>
    <w:link w:val="aa"/>
    <w:uiPriority w:val="99"/>
    <w:unhideWhenUsed/>
    <w:rsid w:val="002C229C"/>
    <w:pPr>
      <w:tabs>
        <w:tab w:val="center" w:pos="4677"/>
        <w:tab w:val="right" w:pos="9355"/>
      </w:tabs>
      <w:spacing w:line="240" w:lineRule="auto"/>
    </w:pPr>
  </w:style>
  <w:style w:type="character" w:customStyle="1" w:styleId="aa">
    <w:name w:val="Нижний колонтитул Знак"/>
    <w:basedOn w:val="a0"/>
    <w:link w:val="a9"/>
    <w:uiPriority w:val="99"/>
    <w:rsid w:val="002C229C"/>
  </w:style>
  <w:style w:type="paragraph" w:styleId="ab">
    <w:name w:val="TOC Heading"/>
    <w:basedOn w:val="1"/>
    <w:next w:val="a"/>
    <w:uiPriority w:val="39"/>
    <w:unhideWhenUsed/>
    <w:qFormat/>
    <w:rsid w:val="002C229C"/>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ru-RU"/>
    </w:rPr>
  </w:style>
  <w:style w:type="paragraph" w:styleId="10">
    <w:name w:val="toc 1"/>
    <w:basedOn w:val="a"/>
    <w:next w:val="a"/>
    <w:autoRedefine/>
    <w:uiPriority w:val="39"/>
    <w:unhideWhenUsed/>
    <w:rsid w:val="002C229C"/>
    <w:pPr>
      <w:spacing w:after="100"/>
    </w:pPr>
  </w:style>
  <w:style w:type="paragraph" w:styleId="20">
    <w:name w:val="toc 2"/>
    <w:basedOn w:val="a"/>
    <w:next w:val="a"/>
    <w:autoRedefine/>
    <w:uiPriority w:val="39"/>
    <w:unhideWhenUsed/>
    <w:rsid w:val="002C229C"/>
    <w:pPr>
      <w:spacing w:after="100"/>
      <w:ind w:left="220"/>
    </w:pPr>
  </w:style>
  <w:style w:type="character" w:styleId="ac">
    <w:name w:val="Hyperlink"/>
    <w:basedOn w:val="a0"/>
    <w:uiPriority w:val="99"/>
    <w:unhideWhenUsed/>
    <w:rsid w:val="002C229C"/>
    <w:rPr>
      <w:color w:val="0000FF" w:themeColor="hyperlink"/>
      <w:u w:val="single"/>
    </w:rPr>
  </w:style>
  <w:style w:type="paragraph" w:styleId="ad">
    <w:name w:val="Balloon Text"/>
    <w:basedOn w:val="a"/>
    <w:link w:val="ae"/>
    <w:uiPriority w:val="99"/>
    <w:semiHidden/>
    <w:unhideWhenUsed/>
    <w:rsid w:val="00FF0F5C"/>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FF0F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D3994-FCB1-4162-ADDD-4060F3664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71</Pages>
  <Words>16851</Words>
  <Characters>96053</Characters>
  <Application>Microsoft Office Word</Application>
  <DocSecurity>0</DocSecurity>
  <Lines>800</Lines>
  <Paragraphs>225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Alexeyes1</dc:creator>
  <cp:lastModifiedBy>Колпаков Александр Павлович</cp:lastModifiedBy>
  <cp:revision>3</cp:revision>
  <dcterms:created xsi:type="dcterms:W3CDTF">2026-05-21T02:24:00Z</dcterms:created>
  <dcterms:modified xsi:type="dcterms:W3CDTF">2026-05-21T02:42:00Z</dcterms:modified>
</cp:coreProperties>
</file>