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18" w:space="0" w:color="auto"/>
        </w:tblBorders>
        <w:tblLook w:val="04A0" w:firstRow="1" w:lastRow="0" w:firstColumn="1" w:lastColumn="0" w:noHBand="0" w:noVBand="1"/>
      </w:tblPr>
      <w:tblGrid>
        <w:gridCol w:w="9322"/>
      </w:tblGrid>
      <w:tr w:rsidR="00CD1CF2" w:rsidRPr="00BA0E02"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65C33599">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sidRPr="00CD1CF2">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sidRPr="00CD1CF2">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sidRPr="00CD1CF2">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sz w:val="26"/>
                <w:szCs w:val="26"/>
              </w:rPr>
              <w:t>ИнЭИ</w:t>
            </w:r>
            <w:proofErr w:type="spellEnd"/>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00CD1CF2" w:rsidRPr="00CD1CF2" w14:paraId="65B057AE" w14:textId="77777777" w:rsidTr="004605F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Направление</w:t>
            </w:r>
            <w:proofErr w:type="spellEnd"/>
          </w:p>
        </w:tc>
        <w:tc>
          <w:tcPr>
            <w:tcW w:w="7426" w:type="dxa"/>
            <w:gridSpan w:val="12"/>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noProof/>
                <w:sz w:val="26"/>
                <w:szCs w:val="26"/>
              </w:rPr>
              <w:t>38.03.01 Экономика</w:t>
            </w:r>
          </w:p>
        </w:tc>
      </w:tr>
      <w:tr w:rsidR="00CD1CF2" w:rsidRPr="0048431F" w14:paraId="794BBF09" w14:textId="77777777" w:rsidTr="004605F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1"/>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код</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наименование</w:t>
            </w:r>
            <w:proofErr w:type="spellEnd"/>
            <w:r w:rsidRPr="0048431F">
              <w:rPr>
                <w:rFonts w:ascii="Times New Roman" w:eastAsia="Times New Roman" w:hAnsi="Times New Roman" w:cs="Times New Roman"/>
                <w:sz w:val="20"/>
                <w:szCs w:val="20"/>
              </w:rPr>
              <w:t>)</w:t>
            </w:r>
          </w:p>
        </w:tc>
      </w:tr>
      <w:tr w:rsidR="00CD1CF2" w:rsidRPr="0048431F" w14:paraId="7A94BA75" w14:textId="77777777" w:rsidTr="004605F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Образовательная</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программа</w:t>
            </w:r>
            <w:proofErr w:type="spellEnd"/>
          </w:p>
        </w:tc>
        <w:tc>
          <w:tcPr>
            <w:tcW w:w="5965" w:type="dxa"/>
            <w:gridSpan w:val="6"/>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4605F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Форма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обучения</w:t>
            </w:r>
            <w:proofErr w:type="spellEnd"/>
          </w:p>
        </w:tc>
        <w:tc>
          <w:tcPr>
            <w:tcW w:w="6972" w:type="dxa"/>
            <w:gridSpan w:val="7"/>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очная</w:t>
            </w:r>
          </w:p>
        </w:tc>
      </w:tr>
      <w:tr w:rsidR="00CD1CF2" w:rsidRPr="0048431F" w14:paraId="5EEB7D90" w14:textId="77777777" w:rsidTr="004605F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7"/>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w:t>
            </w:r>
            <w:proofErr w:type="spellStart"/>
            <w:r w:rsidRPr="0048431F">
              <w:rPr>
                <w:rFonts w:ascii="Times New Roman" w:eastAsia="Times New Roman" w:hAnsi="Times New Roman" w:cs="Times New Roman"/>
                <w:sz w:val="20"/>
                <w:szCs w:val="20"/>
              </w:rPr>
              <w:t>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очно-заочная</w:t>
            </w:r>
            <w:proofErr w:type="spellEnd"/>
            <w:r w:rsidRPr="0048431F">
              <w:rPr>
                <w:rFonts w:ascii="Times New Roman" w:eastAsia="Times New Roman" w:hAnsi="Times New Roman" w:cs="Times New Roman"/>
                <w:sz w:val="20"/>
                <w:szCs w:val="20"/>
                <w:lang w:val="en-US"/>
              </w:rPr>
              <w:t>/</w:t>
            </w:r>
            <w:proofErr w:type="spellStart"/>
            <w:r w:rsidRPr="0048431F">
              <w:rPr>
                <w:rFonts w:ascii="Times New Roman" w:eastAsia="Times New Roman" w:hAnsi="Times New Roman" w:cs="Times New Roman"/>
                <w:sz w:val="20"/>
                <w:szCs w:val="20"/>
              </w:rPr>
              <w:t>заочная</w:t>
            </w:r>
            <w:proofErr w:type="spellEnd"/>
            <w:r w:rsidRPr="0048431F">
              <w:rPr>
                <w:rFonts w:ascii="Times New Roman" w:eastAsia="Times New Roman" w:hAnsi="Times New Roman" w:cs="Times New Roman"/>
                <w:sz w:val="20"/>
                <w:szCs w:val="20"/>
              </w:rPr>
              <w:t>)</w:t>
            </w:r>
          </w:p>
        </w:tc>
      </w:tr>
      <w:tr w:rsidR="00CD1CF2" w:rsidRPr="00BA0E02" w14:paraId="05168C60" w14:textId="77777777" w:rsidTr="004605F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Тема</w:t>
            </w:r>
            <w:proofErr w:type="spellEnd"/>
            <w:r w:rsidRPr="00CD1CF2">
              <w:rPr>
                <w:rFonts w:ascii="Times New Roman" w:eastAsia="Times New Roman" w:hAnsi="Times New Roman" w:cs="Times New Roman"/>
                <w:b/>
                <w:sz w:val="26"/>
                <w:szCs w:val="26"/>
              </w:rPr>
              <w:t>:</w:t>
            </w:r>
          </w:p>
        </w:tc>
        <w:tc>
          <w:tcPr>
            <w:tcW w:w="8385" w:type="dxa"/>
            <w:gridSpan w:val="15"/>
            <w:tcBorders>
              <w:bottom w:val="single" w:sz="4" w:space="0" w:color="auto"/>
            </w:tcBorders>
            <w:vAlign w:val="bottom"/>
          </w:tcPr>
          <w:p w14:paraId="3CEDAD1A"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sidRPr="00CD1CF2">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4605F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2"/>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4605F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3698" w:type="dxa"/>
            <w:gridSpan w:val="2"/>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3171A266" w14:textId="77777777" w:rsidTr="004605F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Руководитель</w:t>
            </w:r>
            <w:proofErr w:type="spellEnd"/>
            <w:r w:rsidRPr="00CD1CF2">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14:paraId="543CA921"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267" w:type="dxa"/>
            <w:gridSpan w:val="4"/>
            <w:tcBorders>
              <w:bottom w:val="single" w:sz="4" w:space="0" w:color="auto"/>
            </w:tcBorders>
            <w:vAlign w:val="bottom"/>
          </w:tcPr>
          <w:p w14:paraId="363137B9"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r w:rsidRPr="00CD1CF2">
              <w:rPr>
                <w:rFonts w:ascii="Times New Roman" w:eastAsia="Times New Roman" w:hAnsi="Times New Roman" w:cs="Times New Roman"/>
                <w:noProof/>
                <w:sz w:val="26"/>
                <w:szCs w:val="26"/>
              </w:rPr>
              <w:t>старший преподаватель</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tcBorders>
              <w:bottom w:val="single" w:sz="4" w:space="0" w:color="auto"/>
            </w:tcBorders>
            <w:vAlign w:val="bottom"/>
          </w:tcPr>
          <w:p w14:paraId="66FA7544"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ru-RU"/>
              </w:rPr>
            </w:pPr>
          </w:p>
        </w:tc>
      </w:tr>
      <w:tr w:rsidR="00CD1CF2" w:rsidRPr="0048431F" w14:paraId="2ED8E814" w14:textId="77777777" w:rsidTr="004605F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75A5DE55" w14:textId="77777777" w:rsidTr="004605F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4605F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4F10FB5E" w14:textId="77777777" w:rsidTr="004605F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Внешний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4605F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307A8522" w14:textId="77777777" w:rsidTr="004605F7">
        <w:trPr>
          <w:trHeight w:val="80"/>
        </w:trPr>
        <w:tc>
          <w:tcPr>
            <w:tcW w:w="9369" w:type="dxa"/>
            <w:gridSpan w:val="16"/>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4605F7">
        <w:trPr>
          <w:trHeight w:val="283"/>
        </w:trPr>
        <w:tc>
          <w:tcPr>
            <w:tcW w:w="9369" w:type="dxa"/>
            <w:gridSpan w:val="16"/>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sidRPr="0048431F">
              <w:rPr>
                <w:rFonts w:ascii="Times New Roman" w:eastAsia="Times New Roman" w:hAnsi="Times New Roman" w:cs="Times New Roman"/>
                <w:sz w:val="20"/>
                <w:szCs w:val="20"/>
              </w:rPr>
              <w:t>организация</w:t>
            </w:r>
            <w:proofErr w:type="spellEnd"/>
          </w:p>
        </w:tc>
      </w:tr>
      <w:tr w:rsidR="00CD1CF2" w:rsidRPr="0048431F" w14:paraId="7B766E4D" w14:textId="77777777" w:rsidTr="004605F7">
        <w:trPr>
          <w:trHeight w:val="340"/>
        </w:trPr>
        <w:tc>
          <w:tcPr>
            <w:tcW w:w="9369" w:type="dxa"/>
            <w:gridSpan w:val="16"/>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b/>
                <w:sz w:val="26"/>
                <w:szCs w:val="26"/>
              </w:rPr>
              <w:t>«</w:t>
            </w:r>
            <w:proofErr w:type="spellStart"/>
            <w:r w:rsidRPr="00CD1CF2">
              <w:rPr>
                <w:rFonts w:ascii="Times New Roman" w:eastAsia="Times New Roman" w:hAnsi="Times New Roman" w:cs="Times New Roman"/>
                <w:b/>
                <w:sz w:val="26"/>
                <w:szCs w:val="26"/>
              </w:rPr>
              <w:t>Работа</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допущена</w:t>
            </w:r>
            <w:proofErr w:type="spellEnd"/>
            <w:r w:rsidRPr="00CD1CF2">
              <w:rPr>
                <w:rFonts w:ascii="Times New Roman" w:eastAsia="Times New Roman" w:hAnsi="Times New Roman" w:cs="Times New Roman"/>
                <w:b/>
                <w:sz w:val="26"/>
                <w:szCs w:val="26"/>
              </w:rPr>
              <w:t xml:space="preserve"> к </w:t>
            </w:r>
            <w:proofErr w:type="spellStart"/>
            <w:r w:rsidRPr="00CD1CF2">
              <w:rPr>
                <w:rFonts w:ascii="Times New Roman" w:eastAsia="Times New Roman" w:hAnsi="Times New Roman" w:cs="Times New Roman"/>
                <w:b/>
                <w:sz w:val="26"/>
                <w:szCs w:val="26"/>
              </w:rPr>
              <w:t>защите</w:t>
            </w:r>
            <w:proofErr w:type="spellEnd"/>
            <w:r w:rsidRPr="00CD1CF2">
              <w:rPr>
                <w:rFonts w:ascii="Times New Roman" w:eastAsia="Times New Roman" w:hAnsi="Times New Roman" w:cs="Times New Roman"/>
                <w:b/>
                <w:sz w:val="26"/>
                <w:szCs w:val="26"/>
              </w:rPr>
              <w:t>»</w:t>
            </w:r>
          </w:p>
        </w:tc>
      </w:tr>
      <w:tr w:rsidR="00CD1CF2" w:rsidRPr="0048431F" w14:paraId="168A90CD" w14:textId="77777777" w:rsidTr="004605F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sidRPr="00CD1CF2">
              <w:rPr>
                <w:rFonts w:ascii="Times New Roman" w:eastAsia="Times New Roman" w:hAnsi="Times New Roman" w:cs="Times New Roman"/>
                <w:b/>
                <w:sz w:val="26"/>
                <w:szCs w:val="26"/>
              </w:rPr>
              <w:t>Заведующий</w:t>
            </w:r>
            <w:proofErr w:type="spellEnd"/>
            <w:r w:rsidRPr="00CD1CF2">
              <w:rPr>
                <w:rFonts w:ascii="Times New Roman" w:eastAsia="Times New Roman" w:hAnsi="Times New Roman" w:cs="Times New Roman"/>
                <w:b/>
                <w:sz w:val="26"/>
                <w:szCs w:val="26"/>
              </w:rPr>
              <w:t xml:space="preserve"> </w:t>
            </w:r>
            <w:proofErr w:type="spellStart"/>
            <w:r w:rsidRPr="00CD1CF2">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Крыленко Е.Е.</w:t>
            </w:r>
          </w:p>
        </w:tc>
      </w:tr>
      <w:tr w:rsidR="00CD1CF2" w:rsidRPr="0048431F" w14:paraId="16D3541A" w14:textId="77777777" w:rsidTr="004605F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уч</w:t>
            </w:r>
            <w:proofErr w:type="spellEnd"/>
            <w:r w:rsidRPr="0048431F">
              <w:rPr>
                <w:rFonts w:ascii="Times New Roman" w:eastAsia="Times New Roman" w:hAnsi="Times New Roman" w:cs="Times New Roman"/>
                <w:sz w:val="20"/>
                <w:szCs w:val="20"/>
              </w:rPr>
              <w:t xml:space="preserve">. </w:t>
            </w:r>
            <w:proofErr w:type="spellStart"/>
            <w:r w:rsidRPr="0048431F">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подпись</w:t>
            </w:r>
            <w:proofErr w:type="spellEnd"/>
          </w:p>
        </w:tc>
        <w:tc>
          <w:tcPr>
            <w:tcW w:w="2564" w:type="dxa"/>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sidRPr="0048431F">
              <w:rPr>
                <w:rFonts w:ascii="Times New Roman" w:eastAsia="Times New Roman" w:hAnsi="Times New Roman" w:cs="Times New Roman"/>
                <w:sz w:val="20"/>
                <w:szCs w:val="20"/>
              </w:rPr>
              <w:t>фамилия</w:t>
            </w:r>
            <w:proofErr w:type="spellEnd"/>
            <w:r w:rsidRPr="0048431F">
              <w:rPr>
                <w:rFonts w:ascii="Times New Roman" w:eastAsia="Times New Roman" w:hAnsi="Times New Roman" w:cs="Times New Roman"/>
                <w:sz w:val="20"/>
                <w:szCs w:val="20"/>
              </w:rPr>
              <w:t xml:space="preserve"> и </w:t>
            </w:r>
            <w:proofErr w:type="spellStart"/>
            <w:r w:rsidRPr="0048431F">
              <w:rPr>
                <w:rFonts w:ascii="Times New Roman" w:eastAsia="Times New Roman" w:hAnsi="Times New Roman" w:cs="Times New Roman"/>
                <w:sz w:val="20"/>
                <w:szCs w:val="20"/>
              </w:rPr>
              <w:t>инициалы</w:t>
            </w:r>
            <w:proofErr w:type="spellEnd"/>
          </w:p>
        </w:tc>
      </w:tr>
      <w:tr w:rsidR="00CD1CF2" w:rsidRPr="0048431F" w14:paraId="78EA4155" w14:textId="77777777" w:rsidTr="004605F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sidRPr="00CD1CF2">
              <w:rPr>
                <w:rFonts w:ascii="Times New Roman" w:eastAsia="Times New Roman" w:hAnsi="Times New Roman" w:cs="Times New Roman"/>
                <w:b/>
                <w:sz w:val="26"/>
                <w:szCs w:val="26"/>
              </w:rPr>
              <w:t>Дата</w:t>
            </w:r>
            <w:proofErr w:type="spellEnd"/>
          </w:p>
        </w:tc>
        <w:tc>
          <w:tcPr>
            <w:tcW w:w="2564" w:type="dxa"/>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4605F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sidRPr="00CD1CF2">
              <w:rPr>
                <w:rFonts w:ascii="Times New Roman" w:eastAsia="Times New Roman" w:hAnsi="Times New Roman" w:cs="Times New Roman"/>
                <w:b/>
                <w:sz w:val="26"/>
                <w:szCs w:val="26"/>
              </w:rPr>
              <w:t>Москва</w:t>
            </w:r>
            <w:proofErr w:type="spellEnd"/>
            <w:r w:rsidRPr="00CD1CF2">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bl>
    <w:sdt>
      <w:sdtPr>
        <w:rPr>
          <w:rFonts w:ascii="Arial" w:eastAsia="Arial" w:hAnsi="Arial" w:cs="Arial"/>
          <w:color w:val="auto"/>
          <w:sz w:val="22"/>
          <w:szCs w:val="22"/>
          <w:lang w:val="en-CA"/>
        </w:rPr>
        <w:id w:val="1404256440"/>
        <w:docPartObj>
          <w:docPartGallery w:val="Table of Contents"/>
          <w:docPartUnique/>
        </w:docPartObj>
      </w:sdtPr>
      <w:sdtEndPr>
        <w:rPr>
          <w:b/>
          <w:bCs/>
        </w:rPr>
      </w:sdtEndPr>
      <w:sdtContent>
        <w:p w14:paraId="5FFD9414" w14:textId="77777777" w:rsidR="00F834A7" w:rsidRPr="00BA0E02" w:rsidRDefault="00F834A7" w:rsidP="00C76864">
          <w:pPr>
            <w:pStyle w:val="ab"/>
            <w:spacing w:before="0" w:line="360" w:lineRule="auto"/>
            <w:jc w:val="center"/>
            <w:rPr>
              <w:rFonts w:ascii="Times New Roman" w:hAnsi="Times New Roman" w:cs="Times New Roman"/>
              <w:b/>
              <w:bCs/>
              <w:color w:val="000000" w:themeColor="text1"/>
              <w:sz w:val="28"/>
              <w:szCs w:val="28"/>
            </w:rPr>
          </w:pPr>
          <w:r w:rsidRPr="00BA0E02">
            <w:rPr>
              <w:rFonts w:ascii="Times New Roman" w:hAnsi="Times New Roman" w:cs="Times New Roman"/>
              <w:b/>
              <w:bCs/>
              <w:color w:val="000000" w:themeColor="text1"/>
              <w:sz w:val="28"/>
              <w:szCs w:val="28"/>
            </w:rPr>
            <w:t>Содержание</w:t>
          </w:r>
        </w:p>
        <w:p w14:paraId="1E26AFD7" w14:textId="77777777" w:rsidR="00CD1CF2" w:rsidRPr="00BA0E02" w:rsidRDefault="00CD1CF2" w:rsidP="00C76864">
          <w:pPr>
            <w:spacing w:line="360" w:lineRule="auto"/>
            <w:jc w:val="both"/>
            <w:rPr>
              <w:rFonts w:ascii="Times New Roman" w:hAnsi="Times New Roman" w:cs="Times New Roman"/>
              <w:sz w:val="28"/>
              <w:szCs w:val="28"/>
              <w:lang w:val="ru-RU"/>
            </w:rPr>
          </w:pPr>
        </w:p>
        <w:p w14:paraId="1F196E10" w14:textId="42E028FC" w:rsidR="00BA0E02" w:rsidRPr="00BA0E02" w:rsidRDefault="00F74D7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r w:rsidRPr="00BA0E02">
            <w:rPr>
              <w:rFonts w:ascii="Times New Roman" w:hAnsi="Times New Roman" w:cs="Times New Roman"/>
              <w:sz w:val="28"/>
              <w:szCs w:val="28"/>
            </w:rPr>
            <w:fldChar w:fldCharType="begin"/>
          </w:r>
          <w:r w:rsidR="00F834A7" w:rsidRPr="00BA0E02">
            <w:rPr>
              <w:rFonts w:ascii="Times New Roman" w:hAnsi="Times New Roman" w:cs="Times New Roman"/>
              <w:sz w:val="28"/>
              <w:szCs w:val="28"/>
            </w:rPr>
            <w:instrText xml:space="preserve"> TOC \o "1-3" \h \z \u </w:instrText>
          </w:r>
          <w:r w:rsidRPr="00BA0E02">
            <w:rPr>
              <w:rFonts w:ascii="Times New Roman" w:hAnsi="Times New Roman" w:cs="Times New Roman"/>
              <w:sz w:val="28"/>
              <w:szCs w:val="28"/>
            </w:rPr>
            <w:fldChar w:fldCharType="separate"/>
          </w:r>
          <w:hyperlink w:anchor="_Toc232337634" w:history="1">
            <w:r w:rsidR="00BA0E02" w:rsidRPr="00BA0E02">
              <w:rPr>
                <w:rStyle w:val="ac"/>
                <w:rFonts w:ascii="Times New Roman" w:hAnsi="Times New Roman" w:cs="Times New Roman"/>
                <w:bCs/>
                <w:noProof/>
                <w:sz w:val="28"/>
                <w:szCs w:val="28"/>
                <w:lang w:val="ru-RU"/>
              </w:rPr>
              <w:t>Введение</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_Toc232337634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3</w:t>
            </w:r>
            <w:r w:rsidR="00BA0E02" w:rsidRPr="00BA0E02">
              <w:rPr>
                <w:rFonts w:ascii="Times New Roman" w:hAnsi="Times New Roman" w:cs="Times New Roman"/>
                <w:noProof/>
                <w:webHidden/>
                <w:sz w:val="28"/>
                <w:szCs w:val="28"/>
              </w:rPr>
              <w:fldChar w:fldCharType="end"/>
            </w:r>
          </w:hyperlink>
        </w:p>
        <w:p w14:paraId="2DA00EC4" w14:textId="5506D326" w:rsidR="00BA0E02" w:rsidRPr="00BA0E02" w:rsidRDefault="00BA0E02">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5" w:history="1">
            <w:r w:rsidRPr="00BA0E02">
              <w:rPr>
                <w:rStyle w:val="ac"/>
                <w:rFonts w:ascii="Times New Roman" w:hAnsi="Times New Roman" w:cs="Times New Roman"/>
                <w:noProof/>
                <w:sz w:val="28"/>
                <w:szCs w:val="28"/>
                <w:lang w:val="ru-RU"/>
              </w:rPr>
              <w:t>Глава 1. Состав инвестиционного портфеля и методы определения его качества</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_Toc232337635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6</w:t>
            </w:r>
            <w:r w:rsidRPr="00BA0E02">
              <w:rPr>
                <w:rFonts w:ascii="Times New Roman" w:hAnsi="Times New Roman" w:cs="Times New Roman"/>
                <w:noProof/>
                <w:webHidden/>
                <w:sz w:val="28"/>
                <w:szCs w:val="28"/>
              </w:rPr>
              <w:fldChar w:fldCharType="end"/>
            </w:r>
          </w:hyperlink>
        </w:p>
        <w:p w14:paraId="70633C75" w14:textId="6AB514F7" w:rsidR="00BA0E02" w:rsidRPr="00BA0E02" w:rsidRDefault="00BA0E02">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6" w:history="1">
            <w:r w:rsidRPr="00BA0E02">
              <w:rPr>
                <w:rStyle w:val="ac"/>
                <w:rFonts w:ascii="Times New Roman" w:hAnsi="Times New Roman" w:cs="Times New Roman"/>
                <w:noProof/>
                <w:sz w:val="28"/>
                <w:szCs w:val="28"/>
                <w:lang w:val="ru-RU"/>
              </w:rPr>
              <w:t>1.1.</w:t>
            </w:r>
            <w:r w:rsidRPr="00BA0E02">
              <w:rPr>
                <w:rFonts w:ascii="Times New Roman" w:eastAsiaTheme="minorEastAsia" w:hAnsi="Times New Roman" w:cs="Times New Roman"/>
                <w:noProof/>
                <w:kern w:val="2"/>
                <w:sz w:val="28"/>
                <w:szCs w:val="28"/>
                <w:lang w:val="ru-RU"/>
                <w14:ligatures w14:val="standardContextual"/>
              </w:rPr>
              <w:tab/>
            </w:r>
            <w:r w:rsidRPr="00BA0E02">
              <w:rPr>
                <w:rStyle w:val="ac"/>
                <w:rFonts w:ascii="Times New Roman" w:hAnsi="Times New Roman" w:cs="Times New Roman"/>
                <w:noProof/>
                <w:sz w:val="28"/>
                <w:szCs w:val="28"/>
                <w:lang w:val="ru-RU"/>
              </w:rPr>
              <w:t>Сущность и значение качества инвестиционного портфеля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_Toc232337636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6</w:t>
            </w:r>
            <w:r w:rsidRPr="00BA0E02">
              <w:rPr>
                <w:rFonts w:ascii="Times New Roman" w:hAnsi="Times New Roman" w:cs="Times New Roman"/>
                <w:noProof/>
                <w:webHidden/>
                <w:sz w:val="28"/>
                <w:szCs w:val="28"/>
              </w:rPr>
              <w:fldChar w:fldCharType="end"/>
            </w:r>
          </w:hyperlink>
        </w:p>
        <w:p w14:paraId="2A134ABE" w14:textId="4996C8D7" w:rsidR="00BA0E02" w:rsidRPr="00BA0E02" w:rsidRDefault="00BA0E02">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7" w:history="1">
            <w:r w:rsidRPr="00BA0E02">
              <w:rPr>
                <w:rStyle w:val="ac"/>
                <w:rFonts w:ascii="Times New Roman" w:hAnsi="Times New Roman" w:cs="Times New Roman"/>
                <w:noProof/>
                <w:sz w:val="28"/>
                <w:szCs w:val="28"/>
                <w:lang w:val="ru-RU"/>
              </w:rPr>
              <w:t>1.2.</w:t>
            </w:r>
            <w:r w:rsidRPr="00BA0E02">
              <w:rPr>
                <w:rFonts w:ascii="Times New Roman" w:eastAsiaTheme="minorEastAsia" w:hAnsi="Times New Roman" w:cs="Times New Roman"/>
                <w:noProof/>
                <w:kern w:val="2"/>
                <w:sz w:val="28"/>
                <w:szCs w:val="28"/>
                <w:lang w:val="ru-RU"/>
                <w14:ligatures w14:val="standardContextual"/>
              </w:rPr>
              <w:tab/>
            </w:r>
            <w:r w:rsidRPr="00BA0E02">
              <w:rPr>
                <w:rStyle w:val="ac"/>
                <w:rFonts w:ascii="Times New Roman" w:hAnsi="Times New Roman" w:cs="Times New Roman"/>
                <w:noProof/>
                <w:sz w:val="28"/>
                <w:szCs w:val="28"/>
                <w:lang w:val="ru-RU"/>
              </w:rPr>
              <w:t>Факторы, определяющие качество инвестиционного портфеля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_Toc232337637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10</w:t>
            </w:r>
            <w:r w:rsidRPr="00BA0E02">
              <w:rPr>
                <w:rFonts w:ascii="Times New Roman" w:hAnsi="Times New Roman" w:cs="Times New Roman"/>
                <w:noProof/>
                <w:webHidden/>
                <w:sz w:val="28"/>
                <w:szCs w:val="28"/>
              </w:rPr>
              <w:fldChar w:fldCharType="end"/>
            </w:r>
          </w:hyperlink>
        </w:p>
        <w:p w14:paraId="412726C7" w14:textId="7BC54EB9" w:rsidR="00BA0E02" w:rsidRPr="00BA0E02" w:rsidRDefault="00BA0E02">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8" w:history="1">
            <w:r w:rsidRPr="00BA0E02">
              <w:rPr>
                <w:rStyle w:val="ac"/>
                <w:rFonts w:ascii="Times New Roman" w:hAnsi="Times New Roman" w:cs="Times New Roman"/>
                <w:noProof/>
                <w:sz w:val="28"/>
                <w:szCs w:val="28"/>
                <w:lang w:val="ru-RU"/>
              </w:rPr>
              <w:t>1.3.</w:t>
            </w:r>
            <w:r w:rsidRPr="00BA0E02">
              <w:rPr>
                <w:rFonts w:ascii="Times New Roman" w:eastAsiaTheme="minorEastAsia" w:hAnsi="Times New Roman" w:cs="Times New Roman"/>
                <w:noProof/>
                <w:kern w:val="2"/>
                <w:sz w:val="28"/>
                <w:szCs w:val="28"/>
                <w:lang w:val="ru-RU"/>
                <w14:ligatures w14:val="standardContextual"/>
              </w:rPr>
              <w:tab/>
            </w:r>
            <w:r w:rsidRPr="00BA0E02">
              <w:rPr>
                <w:rStyle w:val="ac"/>
                <w:rFonts w:ascii="Times New Roman" w:hAnsi="Times New Roman" w:cs="Times New Roman"/>
                <w:noProof/>
                <w:sz w:val="28"/>
                <w:szCs w:val="28"/>
                <w:lang w:val="ru-RU"/>
              </w:rPr>
              <w:t>Инвестиционная привлекательность предприятия как фактор качества инвестиционного портфеля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_Toc232337638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13</w:t>
            </w:r>
            <w:r w:rsidRPr="00BA0E02">
              <w:rPr>
                <w:rFonts w:ascii="Times New Roman" w:hAnsi="Times New Roman" w:cs="Times New Roman"/>
                <w:noProof/>
                <w:webHidden/>
                <w:sz w:val="28"/>
                <w:szCs w:val="28"/>
              </w:rPr>
              <w:fldChar w:fldCharType="end"/>
            </w:r>
          </w:hyperlink>
        </w:p>
        <w:p w14:paraId="16076C46" w14:textId="0B90E6EB" w:rsidR="00BA0E02" w:rsidRPr="00BA0E02" w:rsidRDefault="00BA0E02">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9" w:history="1">
            <w:r w:rsidRPr="00BA0E02">
              <w:rPr>
                <w:rStyle w:val="ac"/>
                <w:rFonts w:ascii="Times New Roman" w:hAnsi="Times New Roman" w:cs="Times New Roman"/>
                <w:noProof/>
                <w:sz w:val="28"/>
                <w:szCs w:val="28"/>
                <w:lang w:val="ru-RU"/>
              </w:rPr>
              <w:t>1.4. Методы определения инвестиционной привлекательности предприятия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_Toc232337639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17</w:t>
            </w:r>
            <w:r w:rsidRPr="00BA0E02">
              <w:rPr>
                <w:rFonts w:ascii="Times New Roman" w:hAnsi="Times New Roman" w:cs="Times New Roman"/>
                <w:noProof/>
                <w:webHidden/>
                <w:sz w:val="28"/>
                <w:szCs w:val="28"/>
              </w:rPr>
              <w:fldChar w:fldCharType="end"/>
            </w:r>
          </w:hyperlink>
        </w:p>
        <w:p w14:paraId="35D173F3" w14:textId="3F76DEEE" w:rsidR="00BA0E02" w:rsidRPr="00BA0E02" w:rsidRDefault="00BA0E02">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0" w:history="1">
            <w:r w:rsidRPr="00BA0E02">
              <w:rPr>
                <w:rStyle w:val="ac"/>
                <w:rFonts w:ascii="Times New Roman" w:hAnsi="Times New Roman" w:cs="Times New Roman"/>
                <w:noProof/>
                <w:sz w:val="28"/>
                <w:szCs w:val="28"/>
                <w:lang w:val="ru-RU"/>
              </w:rPr>
              <w:t>Глава 2. Анализ качества инвестиционного портфеля ОПИФ РФИ «ВИМ-Металлургия»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_Toc232337640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23</w:t>
            </w:r>
            <w:r w:rsidRPr="00BA0E02">
              <w:rPr>
                <w:rFonts w:ascii="Times New Roman" w:hAnsi="Times New Roman" w:cs="Times New Roman"/>
                <w:noProof/>
                <w:webHidden/>
                <w:sz w:val="28"/>
                <w:szCs w:val="28"/>
              </w:rPr>
              <w:fldChar w:fldCharType="end"/>
            </w:r>
          </w:hyperlink>
        </w:p>
        <w:p w14:paraId="3F5A05CC" w14:textId="656B5616" w:rsidR="00BA0E02" w:rsidRPr="00BA0E02" w:rsidRDefault="00BA0E02">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1" w:history="1">
            <w:r w:rsidRPr="00BA0E02">
              <w:rPr>
                <w:rStyle w:val="ac"/>
                <w:rFonts w:ascii="Times New Roman" w:hAnsi="Times New Roman" w:cs="Times New Roman"/>
                <w:noProof/>
                <w:sz w:val="28"/>
                <w:szCs w:val="28"/>
                <w:lang w:val="ru-RU"/>
              </w:rPr>
              <w:t>2.1. Финансово-экономическая характеристика ОПИФ РФИ «ВИМ-Металлургия»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_Toc232337641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23</w:t>
            </w:r>
            <w:r w:rsidRPr="00BA0E02">
              <w:rPr>
                <w:rFonts w:ascii="Times New Roman" w:hAnsi="Times New Roman" w:cs="Times New Roman"/>
                <w:noProof/>
                <w:webHidden/>
                <w:sz w:val="28"/>
                <w:szCs w:val="28"/>
              </w:rPr>
              <w:fldChar w:fldCharType="end"/>
            </w:r>
          </w:hyperlink>
        </w:p>
        <w:p w14:paraId="7B9D38C0" w14:textId="60F900C8" w:rsidR="00BA0E02" w:rsidRPr="00BA0E02" w:rsidRDefault="00BA0E02">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2" w:history="1">
            <w:r w:rsidRPr="00BA0E02">
              <w:rPr>
                <w:rStyle w:val="ac"/>
                <w:rFonts w:ascii="Times New Roman" w:hAnsi="Times New Roman" w:cs="Times New Roman"/>
                <w:bCs/>
                <w:noProof/>
                <w:sz w:val="28"/>
                <w:szCs w:val="28"/>
                <w:lang w:val="ru-RU"/>
              </w:rPr>
              <w:t>2.2. Оценка инвестиционной привлекательности крупнейших объектов инвестирования ОПИФ РФИ «ВИМ-Металлургия»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_Toc232337642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29</w:t>
            </w:r>
            <w:r w:rsidRPr="00BA0E02">
              <w:rPr>
                <w:rFonts w:ascii="Times New Roman" w:hAnsi="Times New Roman" w:cs="Times New Roman"/>
                <w:noProof/>
                <w:webHidden/>
                <w:sz w:val="28"/>
                <w:szCs w:val="28"/>
              </w:rPr>
              <w:fldChar w:fldCharType="end"/>
            </w:r>
          </w:hyperlink>
        </w:p>
        <w:p w14:paraId="59970F31" w14:textId="4D4144F9" w:rsidR="00BA0E02" w:rsidRPr="00BA0E02" w:rsidRDefault="00BA0E02">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3" w:history="1">
            <w:r w:rsidRPr="00BA0E02">
              <w:rPr>
                <w:rStyle w:val="ac"/>
                <w:rFonts w:ascii="Times New Roman" w:hAnsi="Times New Roman" w:cs="Times New Roman"/>
                <w:noProof/>
                <w:sz w:val="28"/>
                <w:szCs w:val="28"/>
                <w:lang w:val="ru-RU"/>
              </w:rPr>
              <w:t>2.3. Анализ показателей качества инвестиционного портфеля ОПИФ РФИ «ВИМ-Металлургия»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_Toc232337643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36</w:t>
            </w:r>
            <w:r w:rsidRPr="00BA0E02">
              <w:rPr>
                <w:rFonts w:ascii="Times New Roman" w:hAnsi="Times New Roman" w:cs="Times New Roman"/>
                <w:noProof/>
                <w:webHidden/>
                <w:sz w:val="28"/>
                <w:szCs w:val="28"/>
              </w:rPr>
              <w:fldChar w:fldCharType="end"/>
            </w:r>
          </w:hyperlink>
        </w:p>
        <w:p w14:paraId="132EA4F1" w14:textId="01BDBE43" w:rsidR="00BA0E02" w:rsidRPr="00BA0E02" w:rsidRDefault="00BA0E02">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4" w:history="1">
            <w:r w:rsidRPr="00BA0E02">
              <w:rPr>
                <w:rStyle w:val="ac"/>
                <w:rFonts w:ascii="Times New Roman" w:hAnsi="Times New Roman" w:cs="Times New Roman"/>
                <w:noProof/>
                <w:sz w:val="28"/>
                <w:szCs w:val="28"/>
                <w:lang w:val="ru-RU"/>
              </w:rPr>
              <w:t>Глава 3. Разработка рекомендаций повышения качества инвестиционного портфеля ОПИФ РФИ «ВИМ-Металлургия»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_Toc232337644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41</w:t>
            </w:r>
            <w:r w:rsidRPr="00BA0E02">
              <w:rPr>
                <w:rFonts w:ascii="Times New Roman" w:hAnsi="Times New Roman" w:cs="Times New Roman"/>
                <w:noProof/>
                <w:webHidden/>
                <w:sz w:val="28"/>
                <w:szCs w:val="28"/>
              </w:rPr>
              <w:fldChar w:fldCharType="end"/>
            </w:r>
          </w:hyperlink>
        </w:p>
        <w:p w14:paraId="7F7A78BB" w14:textId="04A0BE6D" w:rsidR="00BA0E02" w:rsidRPr="00BA0E02" w:rsidRDefault="00BA0E02">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5" w:history="1">
            <w:r w:rsidRPr="00BA0E02">
              <w:rPr>
                <w:rStyle w:val="ac"/>
                <w:rFonts w:ascii="Times New Roman" w:hAnsi="Times New Roman" w:cs="Times New Roman"/>
                <w:noProof/>
                <w:sz w:val="28"/>
                <w:szCs w:val="28"/>
                <w:lang w:val="ru-RU"/>
              </w:rPr>
              <w:t>3.1. Рекомендации по повышению доходности портфеля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_Toc232337645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41</w:t>
            </w:r>
            <w:r w:rsidRPr="00BA0E02">
              <w:rPr>
                <w:rFonts w:ascii="Times New Roman" w:hAnsi="Times New Roman" w:cs="Times New Roman"/>
                <w:noProof/>
                <w:webHidden/>
                <w:sz w:val="28"/>
                <w:szCs w:val="28"/>
              </w:rPr>
              <w:fldChar w:fldCharType="end"/>
            </w:r>
          </w:hyperlink>
        </w:p>
        <w:p w14:paraId="18768D34" w14:textId="566706D0" w:rsidR="00BA0E02" w:rsidRPr="00BA0E02" w:rsidRDefault="00BA0E02">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6" w:history="1">
            <w:r w:rsidRPr="00BA0E02">
              <w:rPr>
                <w:rStyle w:val="ac"/>
                <w:rFonts w:ascii="Times New Roman" w:hAnsi="Times New Roman" w:cs="Times New Roman"/>
                <w:noProof/>
                <w:sz w:val="28"/>
                <w:szCs w:val="28"/>
                <w:lang w:val="ru-RU"/>
              </w:rPr>
              <w:t>3.2. Рекомендации по диверсификации портфеля</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_Toc232337646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47</w:t>
            </w:r>
            <w:r w:rsidRPr="00BA0E02">
              <w:rPr>
                <w:rFonts w:ascii="Times New Roman" w:hAnsi="Times New Roman" w:cs="Times New Roman"/>
                <w:noProof/>
                <w:webHidden/>
                <w:sz w:val="28"/>
                <w:szCs w:val="28"/>
              </w:rPr>
              <w:fldChar w:fldCharType="end"/>
            </w:r>
          </w:hyperlink>
        </w:p>
        <w:p w14:paraId="1713D3B1" w14:textId="63A282A8" w:rsidR="00BA0E02" w:rsidRPr="00BA0E02" w:rsidRDefault="00BA0E02">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7" w:history="1">
            <w:r w:rsidRPr="00BA0E02">
              <w:rPr>
                <w:rStyle w:val="ac"/>
                <w:rFonts w:ascii="Times New Roman" w:hAnsi="Times New Roman" w:cs="Times New Roman"/>
                <w:noProof/>
                <w:sz w:val="28"/>
                <w:szCs w:val="28"/>
                <w:lang w:val="ru-RU"/>
              </w:rPr>
              <w:t>Заключение</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_Toc232337647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61</w:t>
            </w:r>
            <w:r w:rsidRPr="00BA0E02">
              <w:rPr>
                <w:rFonts w:ascii="Times New Roman" w:hAnsi="Times New Roman" w:cs="Times New Roman"/>
                <w:noProof/>
                <w:webHidden/>
                <w:sz w:val="28"/>
                <w:szCs w:val="28"/>
              </w:rPr>
              <w:fldChar w:fldCharType="end"/>
            </w:r>
          </w:hyperlink>
        </w:p>
        <w:p w14:paraId="6EACF1EF" w14:textId="5231DD21" w:rsidR="00BA0E02" w:rsidRPr="00BA0E02" w:rsidRDefault="00BA0E02">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8" w:history="1">
            <w:r w:rsidRPr="00BA0E02">
              <w:rPr>
                <w:rStyle w:val="ac"/>
                <w:rFonts w:ascii="Times New Roman" w:eastAsia="Times New Roman" w:hAnsi="Times New Roman" w:cs="Times New Roman"/>
                <w:bCs/>
                <w:noProof/>
                <w:sz w:val="28"/>
                <w:szCs w:val="28"/>
                <w:lang w:val="ru-RU"/>
              </w:rPr>
              <w:t>Список использованных источников</w:t>
            </w:r>
            <w:r w:rsidRPr="00BA0E02">
              <w:rPr>
                <w:rFonts w:ascii="Times New Roman" w:hAnsi="Times New Roman" w:cs="Times New Roman"/>
                <w:noProof/>
                <w:webHidden/>
                <w:sz w:val="28"/>
                <w:szCs w:val="28"/>
              </w:rPr>
              <w:tab/>
            </w:r>
            <w:r w:rsidRPr="00BA0E02">
              <w:rPr>
                <w:rFonts w:ascii="Times New Roman" w:hAnsi="Times New Roman" w:cs="Times New Roman"/>
                <w:noProof/>
                <w:webHidden/>
                <w:sz w:val="28"/>
                <w:szCs w:val="28"/>
              </w:rPr>
              <w:fldChar w:fldCharType="begin"/>
            </w:r>
            <w:r w:rsidRPr="00BA0E02">
              <w:rPr>
                <w:rFonts w:ascii="Times New Roman" w:hAnsi="Times New Roman" w:cs="Times New Roman"/>
                <w:noProof/>
                <w:webHidden/>
                <w:sz w:val="28"/>
                <w:szCs w:val="28"/>
              </w:rPr>
              <w:instrText xml:space="preserve"> PAGEREF _Toc232337648 \h </w:instrText>
            </w:r>
            <w:r w:rsidRPr="00BA0E02">
              <w:rPr>
                <w:rFonts w:ascii="Times New Roman" w:hAnsi="Times New Roman" w:cs="Times New Roman"/>
                <w:noProof/>
                <w:webHidden/>
                <w:sz w:val="28"/>
                <w:szCs w:val="28"/>
              </w:rPr>
            </w:r>
            <w:r w:rsidRPr="00BA0E02">
              <w:rPr>
                <w:rFonts w:ascii="Times New Roman" w:hAnsi="Times New Roman" w:cs="Times New Roman"/>
                <w:noProof/>
                <w:webHidden/>
                <w:sz w:val="28"/>
                <w:szCs w:val="28"/>
              </w:rPr>
              <w:fldChar w:fldCharType="separate"/>
            </w:r>
            <w:r w:rsidRPr="00BA0E02">
              <w:rPr>
                <w:rFonts w:ascii="Times New Roman" w:hAnsi="Times New Roman" w:cs="Times New Roman"/>
                <w:noProof/>
                <w:webHidden/>
                <w:sz w:val="28"/>
                <w:szCs w:val="28"/>
              </w:rPr>
              <w:t>65</w:t>
            </w:r>
            <w:r w:rsidRPr="00BA0E02">
              <w:rPr>
                <w:rFonts w:ascii="Times New Roman" w:hAnsi="Times New Roman" w:cs="Times New Roman"/>
                <w:noProof/>
                <w:webHidden/>
                <w:sz w:val="28"/>
                <w:szCs w:val="28"/>
              </w:rPr>
              <w:fldChar w:fldCharType="end"/>
            </w:r>
          </w:hyperlink>
        </w:p>
        <w:p w14:paraId="2540B728" w14:textId="7BCA4659" w:rsidR="00F834A7" w:rsidRDefault="00F74D7F" w:rsidP="00C76864">
          <w:pPr>
            <w:spacing w:line="360" w:lineRule="auto"/>
            <w:jc w:val="both"/>
            <w:rPr>
              <w:b/>
              <w:bCs/>
            </w:rPr>
          </w:pPr>
          <w:r w:rsidRPr="00BA0E02">
            <w:rPr>
              <w:rFonts w:ascii="Times New Roman" w:hAnsi="Times New Roman" w:cs="Times New Roman"/>
              <w:b/>
              <w:bCs/>
              <w:sz w:val="28"/>
              <w:szCs w:val="28"/>
            </w:rPr>
            <w:fldChar w:fldCharType="end"/>
          </w:r>
        </w:p>
      </w:sdtContent>
    </w:sdt>
    <w:p w14:paraId="3EBF48BB" w14:textId="77777777" w:rsidR="002C229C" w:rsidRDefault="002C229C" w:rsidP="00653A71">
      <w:pPr>
        <w:pStyle w:val="1"/>
        <w:spacing w:before="0" w:after="0" w:line="360" w:lineRule="auto"/>
        <w:rPr>
          <w:rFonts w:cs="Times New Roman"/>
          <w:bCs/>
          <w:szCs w:val="28"/>
          <w:lang w:val="ru-RU"/>
        </w:rPr>
      </w:pPr>
    </w:p>
    <w:p w14:paraId="4B56078C" w14:textId="77777777" w:rsidR="002C229C" w:rsidRDefault="002C229C" w:rsidP="00653A71">
      <w:pPr>
        <w:pStyle w:val="1"/>
        <w:spacing w:before="0" w:after="0" w:line="360" w:lineRule="auto"/>
        <w:rPr>
          <w:rFonts w:cs="Times New Roman"/>
          <w:bCs/>
          <w:szCs w:val="28"/>
          <w:lang w:val="ru-RU"/>
        </w:rPr>
      </w:pPr>
    </w:p>
    <w:p w14:paraId="3E6C68FD" w14:textId="77777777" w:rsidR="002C229C" w:rsidRDefault="002C229C" w:rsidP="002C229C">
      <w:pPr>
        <w:rPr>
          <w:lang w:val="ru-RU"/>
        </w:rPr>
      </w:pPr>
    </w:p>
    <w:p w14:paraId="600497A9" w14:textId="77777777" w:rsidR="00F834A7" w:rsidRDefault="00F834A7" w:rsidP="004167DF">
      <w:pPr>
        <w:pStyle w:val="1"/>
        <w:spacing w:before="0" w:after="0" w:line="360" w:lineRule="auto"/>
        <w:jc w:val="left"/>
        <w:rPr>
          <w:rFonts w:cs="Times New Roman"/>
          <w:bCs/>
          <w:szCs w:val="28"/>
          <w:lang w:val="ru-RU"/>
        </w:rPr>
        <w:sectPr w:rsidR="00F834A7">
          <w:pgSz w:w="12240" w:h="15840"/>
          <w:pgMar w:top="1440" w:right="1440" w:bottom="1440" w:left="1440" w:header="720" w:footer="720" w:gutter="0"/>
          <w:pgNumType w:start="1"/>
          <w:cols w:space="720"/>
        </w:sectPr>
      </w:pPr>
    </w:p>
    <w:p w14:paraId="2B3B21DC" w14:textId="77777777" w:rsidR="007D27F4" w:rsidRDefault="00FF0F5C" w:rsidP="00CD1CF2">
      <w:pPr>
        <w:pStyle w:val="1"/>
        <w:spacing w:before="0" w:after="0" w:line="360" w:lineRule="auto"/>
        <w:rPr>
          <w:rFonts w:cs="Times New Roman"/>
          <w:bCs/>
          <w:szCs w:val="28"/>
          <w:lang w:val="ru-RU"/>
        </w:rPr>
      </w:pPr>
      <w:bookmarkStart w:id="0" w:name="_Toc232337634"/>
      <w:r w:rsidRPr="00653A71">
        <w:rPr>
          <w:rFonts w:cs="Times New Roman"/>
          <w:bCs/>
          <w:szCs w:val="28"/>
          <w:lang w:val="ru-RU"/>
        </w:rPr>
        <w:lastRenderedPageBreak/>
        <w:t>Введение</w:t>
      </w:r>
      <w:bookmarkEnd w:id="0"/>
    </w:p>
    <w:p w14:paraId="168ECB3E" w14:textId="77777777" w:rsidR="002C229C" w:rsidRPr="002C229C" w:rsidRDefault="002C229C" w:rsidP="00CD1CF2">
      <w:pPr>
        <w:spacing w:line="360" w:lineRule="auto"/>
        <w:jc w:val="both"/>
        <w:rPr>
          <w:lang w:val="ru-RU"/>
        </w:rPr>
      </w:pPr>
    </w:p>
    <w:p w14:paraId="3E66886A"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Актуальность темы исследования: в условиях современной макроэкономической нестабильности, геополитической турбулентности и структурной трансформации экономики критически важным элементом обеспечения финансовой защищенности капитала выступает грамотная и всесторонняя оценка инвестиционных активов. Сектор металлургии традиционно является одной из базовых и наиболее значимых отраслей российской экономики, однако его функционирование сопряжено с высокой капиталоемкостью, существенной зависимостью от волатильности мировых цен на сырье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паевых инвестиционных фондов (ПИФов), профилирующихся на предприятиях металлургического сектора.</w:t>
      </w:r>
    </w:p>
    <w:p w14:paraId="7E8C101D"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Традиционно качество и эффективность управления инвестиционным портфелем измеряются на основе классических метрик, оценивающих ретроспективное соотношение риска и доходности. Тем не менее, практика показывает, что классические портфельные коэффициенты зачастую оказываются недостаточными при изолированном применении. Они отражают лишь историческую волатильность рыночных котировок, но не способны в полной мере охарактеризовать реальную стоимость объектов инвестирования, их финансовое здоровье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портфеля с углубленным </w:t>
      </w:r>
      <w:r w:rsidRPr="00DA4464">
        <w:rPr>
          <w:rFonts w:ascii="Times New Roman" w:eastAsia="Times New Roman" w:hAnsi="Times New Roman" w:cs="Times New Roman"/>
          <w:sz w:val="28"/>
          <w:szCs w:val="28"/>
          <w:lang w:val="ru-RU"/>
        </w:rPr>
        <w:lastRenderedPageBreak/>
        <w:t xml:space="preserve">фундаментальным анализом самих активов (компаний-эмитентов). Оценка ликвидности, платежеспособности, рентабельности и рисков банкротства эмитентов позволяет сформировать объективное представление о внутренней стоимости активов. Следовательно, синтез классического портфельного и фундаментального финансового анализа для обоснования путей оптимизации структуры портфелей ПИФов является </w:t>
      </w:r>
      <w:proofErr w:type="spellStart"/>
      <w:r w:rsidRPr="00DA4464">
        <w:rPr>
          <w:rFonts w:ascii="Times New Roman" w:eastAsia="Times New Roman" w:hAnsi="Times New Roman" w:cs="Times New Roman"/>
          <w:sz w:val="28"/>
          <w:szCs w:val="28"/>
          <w:lang w:val="ru-RU"/>
        </w:rPr>
        <w:t>высокоактуальной</w:t>
      </w:r>
      <w:proofErr w:type="spellEnd"/>
      <w:r w:rsidRPr="00DA4464">
        <w:rPr>
          <w:rFonts w:ascii="Times New Roman" w:eastAsia="Times New Roman" w:hAnsi="Times New Roman" w:cs="Times New Roman"/>
          <w:sz w:val="28"/>
          <w:szCs w:val="28"/>
          <w:lang w:val="ru-RU"/>
        </w:rPr>
        <w:t xml:space="preserve"> научной и прикладной задачей.</w:t>
      </w:r>
    </w:p>
    <w:p w14:paraId="5E531EE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Цель исследования: оценка текущего качества инвестиционного портфеля ОПИФ РФИ «ВИМ-Металлургия» и разработка практических рекомендаций по его повышению.</w:t>
      </w:r>
    </w:p>
    <w:p w14:paraId="35D61D46"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Задачи исследования:</w:t>
      </w:r>
    </w:p>
    <w:p w14:paraId="722DE297"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изучить теоретические и методологические основы формирования инвестиционного портфеля и критерии определения его качества на современном финансовом рынке;</w:t>
      </w:r>
    </w:p>
    <w:p w14:paraId="655AA4BA"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проанализировать финансовое состояние и инвестиционную привлекательность ключевых активов (компаний-эмитентов), входящих в структуру портфеля фонда;</w:t>
      </w:r>
    </w:p>
    <w:p w14:paraId="616E66B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рассчитать и интерпретировать основные классические метрики качества и эффективности анализируемого инвестиционного портфеля;</w:t>
      </w:r>
    </w:p>
    <w:p w14:paraId="63681B1A"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предложить обоснованные пути оптимизации структуры портфеля, направленные на максимизацию доходности и обеспечение эффективной диверсификации инвестиционных рисков.</w:t>
      </w:r>
    </w:p>
    <w:p w14:paraId="2BE4A85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Объект исследования: ОПИФ РФИ «ВИМ-Металлургия».</w:t>
      </w:r>
    </w:p>
    <w:p w14:paraId="7E1BAB2F"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Предмет исследования: качество инвестиционного портфеля данного фонда.</w:t>
      </w:r>
    </w:p>
    <w:p w14:paraId="06831B25"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Теоретическая и методологическая база исследования: при проведении исследования использовались фундаментальные труды отечественных и </w:t>
      </w:r>
      <w:r w:rsidRPr="00DA4464">
        <w:rPr>
          <w:rFonts w:ascii="Times New Roman" w:eastAsia="Times New Roman" w:hAnsi="Times New Roman" w:cs="Times New Roman"/>
          <w:sz w:val="28"/>
          <w:szCs w:val="28"/>
          <w:lang w:val="ru-RU"/>
        </w:rPr>
        <w:lastRenderedPageBreak/>
        <w:t xml:space="preserve">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sidRPr="00DA4464">
        <w:rPr>
          <w:rFonts w:ascii="Times New Roman" w:eastAsia="Times New Roman" w:hAnsi="Times New Roman" w:cs="Times New Roman"/>
          <w:sz w:val="28"/>
          <w:szCs w:val="28"/>
          <w:lang w:val="ru-RU"/>
        </w:rPr>
        <w:t>Марковица</w:t>
      </w:r>
      <w:proofErr w:type="spellEnd"/>
      <w:r w:rsidRPr="00DA4464">
        <w:rPr>
          <w:rFonts w:ascii="Times New Roman" w:eastAsia="Times New Roman" w:hAnsi="Times New Roman" w:cs="Times New Roman"/>
          <w:sz w:val="28"/>
          <w:szCs w:val="28"/>
          <w:lang w:val="ru-RU"/>
        </w:rPr>
        <w:t xml:space="preserve">, У. Шарпа и др.). Методологический аппарат включает методы фундаментального и финансового анализа, в том числе методы горизонтального, вертикального и коэффициентного анализа корпоративной отчетности. Для количественной оценки качества инвестиционного портфеля применялись специализированные показатели: коэффициент Шарпа (для оценки доходности с поправкой на совокупный риск), коэффициент </w:t>
      </w:r>
      <w:proofErr w:type="spellStart"/>
      <w:r w:rsidRPr="00DA4464">
        <w:rPr>
          <w:rFonts w:ascii="Times New Roman" w:eastAsia="Times New Roman" w:hAnsi="Times New Roman" w:cs="Times New Roman"/>
          <w:sz w:val="28"/>
          <w:szCs w:val="28"/>
          <w:lang w:val="ru-RU"/>
        </w:rPr>
        <w:t>Сортино</w:t>
      </w:r>
      <w:proofErr w:type="spellEnd"/>
      <w:r w:rsidRPr="00DA4464">
        <w:rPr>
          <w:rFonts w:ascii="Times New Roman" w:eastAsia="Times New Roman" w:hAnsi="Times New Roman" w:cs="Times New Roman"/>
          <w:sz w:val="28"/>
          <w:szCs w:val="28"/>
          <w:lang w:val="ru-RU"/>
        </w:rPr>
        <w:t xml:space="preserve"> (для оценки риска отрицательных отклонений), коэффициенты </w:t>
      </w:r>
      <w:proofErr w:type="spellStart"/>
      <w:r w:rsidRPr="00DA4464">
        <w:rPr>
          <w:rFonts w:ascii="Times New Roman" w:eastAsia="Times New Roman" w:hAnsi="Times New Roman" w:cs="Times New Roman"/>
          <w:sz w:val="28"/>
          <w:szCs w:val="28"/>
          <w:lang w:val="ru-RU"/>
        </w:rPr>
        <w:t>Трейнора</w:t>
      </w:r>
      <w:proofErr w:type="spellEnd"/>
      <w:r w:rsidRPr="00DA4464">
        <w:rPr>
          <w:rFonts w:ascii="Times New Roman" w:eastAsia="Times New Roman" w:hAnsi="Times New Roman" w:cs="Times New Roman"/>
          <w:sz w:val="28"/>
          <w:szCs w:val="28"/>
          <w:lang w:val="ru-RU"/>
        </w:rPr>
        <w:t xml:space="preserve"> и Дженсена, а также анализ бета-коэффициента.</w:t>
      </w:r>
    </w:p>
    <w:p w14:paraId="45A065E9" w14:textId="6EB511A9" w:rsidR="007D27F4" w:rsidRPr="00DA4464" w:rsidRDefault="00DA4464" w:rsidP="00DA4464">
      <w:pPr>
        <w:spacing w:line="360" w:lineRule="auto"/>
        <w:ind w:firstLine="709"/>
        <w:jc w:val="both"/>
        <w:rPr>
          <w:rFonts w:ascii="Times New Roman" w:eastAsia="Times New Roman" w:hAnsi="Times New Roman" w:cs="Times New Roman"/>
          <w:sz w:val="28"/>
          <w:szCs w:val="28"/>
          <w:lang w:val="ru-RU"/>
        </w:rPr>
      </w:pPr>
      <w:r w:rsidRPr="00DA4464">
        <w:rPr>
          <w:rFonts w:ascii="Times New Roman" w:eastAsia="Times New Roman" w:hAnsi="Times New Roman" w:cs="Times New Roman"/>
          <w:sz w:val="28"/>
          <w:szCs w:val="28"/>
          <w:lang w:val="ru-RU"/>
        </w:rPr>
        <w:t>Информационная база исследования: открытая финансовая отчетность компаний, входящих в портфель, сформированная в соответствии с российскими стандартами бухгалтерского учета (РСБУ) и международными стандартами финансовой отчетности (МСФО). Кроме того, эмпирическую базу исследования составили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а также нормативно-правовые документы, регулирующие функционирование рынка ценных бумаг в РФ.</w:t>
      </w:r>
    </w:p>
    <w:p w14:paraId="4E93F409" w14:textId="77777777" w:rsidR="00793D47" w:rsidRDefault="00793D47">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D05E0DB" w14:textId="2B05D609" w:rsidR="00793D47" w:rsidRPr="00BA0E02" w:rsidRDefault="00793D47" w:rsidP="00CD1CF2">
      <w:pPr>
        <w:pStyle w:val="1"/>
        <w:spacing w:before="0" w:after="0" w:line="360" w:lineRule="auto"/>
        <w:rPr>
          <w:lang w:val="ru-RU"/>
        </w:rPr>
      </w:pPr>
      <w:bookmarkStart w:id="1" w:name="_Toc232337635"/>
      <w:r w:rsidRPr="00793D47">
        <w:rPr>
          <w:lang w:val="ru-RU"/>
        </w:rPr>
        <w:lastRenderedPageBreak/>
        <w:t xml:space="preserve">Глава 1. </w:t>
      </w:r>
      <w:r w:rsidR="00BA0E02">
        <w:rPr>
          <w:lang w:val="ru-RU"/>
        </w:rPr>
        <w:t>Состав</w:t>
      </w:r>
      <w:r w:rsidRPr="00793D47">
        <w:rPr>
          <w:lang w:val="ru-RU"/>
        </w:rPr>
        <w:t xml:space="preserve"> инвестиционного портфеля и методы определения</w:t>
      </w:r>
      <w:r w:rsidR="00BA0E02" w:rsidRPr="00BA0E02">
        <w:rPr>
          <w:lang w:val="ru-RU"/>
        </w:rPr>
        <w:t xml:space="preserve"> </w:t>
      </w:r>
      <w:r w:rsidR="00BA0E02">
        <w:rPr>
          <w:lang w:val="ru-RU"/>
        </w:rPr>
        <w:t>его качества</w:t>
      </w:r>
      <w:bookmarkEnd w:id="1"/>
    </w:p>
    <w:p w14:paraId="058FE50A" w14:textId="77777777" w:rsidR="00793D47" w:rsidRDefault="00793D47" w:rsidP="00CD1CF2">
      <w:pPr>
        <w:pStyle w:val="2"/>
        <w:numPr>
          <w:ilvl w:val="1"/>
          <w:numId w:val="13"/>
        </w:numPr>
        <w:spacing w:before="0" w:after="0" w:line="360" w:lineRule="auto"/>
        <w:rPr>
          <w:lang w:val="ru-RU"/>
        </w:rPr>
      </w:pPr>
      <w:bookmarkStart w:id="2" w:name="_Toc232337636"/>
      <w:r w:rsidRPr="00793D47">
        <w:rPr>
          <w:lang w:val="ru-RU"/>
        </w:rPr>
        <w:t>Сущность и значение качества инвестиционного портфеля</w:t>
      </w:r>
      <w:bookmarkEnd w:id="2"/>
    </w:p>
    <w:p w14:paraId="7C525BF0" w14:textId="77777777" w:rsidR="00631EF4" w:rsidRPr="00631EF4" w:rsidRDefault="00631EF4" w:rsidP="00CD1CF2">
      <w:pPr>
        <w:spacing w:line="360" w:lineRule="auto"/>
        <w:jc w:val="both"/>
        <w:rPr>
          <w:lang w:val="ru-RU"/>
        </w:rPr>
      </w:pPr>
    </w:p>
    <w:p w14:paraId="61DAE88E"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В рамках современной финансовой теории, а также в практиках управления активами, инвестиционный портфель обычно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 [20, с. 15]. В аналитическом смысле инвестиционный портфель целесообразно трактовать как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который функционирует как единый объект управления и контроля [7, с. 112].</w:t>
      </w:r>
    </w:p>
    <w:p w14:paraId="26187DB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Понятие инвестиционного портфеля неразрывно связано с концепцией коллективного инвестирования, нашедшей институциональное воплощение в форме паевых инвестиционных фондов (ПИФов). ПИФ представляет собой рыночный механизм, посредством которого средства множества частных и корпоративных инвесторов объединяются в единый пул под профессиональным управлением специализированной управляющей компании, действующей на основании лицензии Банка России [4]. Правовую основу функционирования ПИФов составляет Федеральный закон «Об инвестиционных фондах» (от 29.11.2001 № 156-ФЗ), устанавливающий порядок создания, управления и контроля за деятельностью фондов, а также требования к раскрытию информации и защите прав пайщиков [4]. Экономическая сущность ПИФа заключается в том, что каждый инвестор, приобретая инвестиционный пай, становится совладельцем </w:t>
      </w:r>
      <w:r w:rsidRPr="00DA4464">
        <w:rPr>
          <w:rFonts w:ascii="Times New Roman" w:eastAsia="Times New Roman" w:hAnsi="Times New Roman" w:cs="Times New Roman"/>
          <w:sz w:val="28"/>
          <w:szCs w:val="28"/>
          <w:lang w:val="ru-RU"/>
        </w:rPr>
        <w:lastRenderedPageBreak/>
        <w:t>диверсифицированного портфеля активов, который был бы недоступен для него при самостоятельном инвестировании ввиду высокого порога входа на финансовые рынки и необходимости специальных профессиональных компетенций.</w:t>
      </w:r>
    </w:p>
    <w:p w14:paraId="149C493A"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Принципы формирования инвестиционного портфеля, получившие теоретическое обоснование в классических работах Г. </w:t>
      </w:r>
      <w:proofErr w:type="spellStart"/>
      <w:r w:rsidRPr="00DA4464">
        <w:rPr>
          <w:rFonts w:ascii="Times New Roman" w:eastAsia="Times New Roman" w:hAnsi="Times New Roman" w:cs="Times New Roman"/>
          <w:sz w:val="28"/>
          <w:szCs w:val="28"/>
          <w:lang w:val="ru-RU"/>
        </w:rPr>
        <w:t>Марковица</w:t>
      </w:r>
      <w:proofErr w:type="spellEnd"/>
      <w:r w:rsidRPr="00DA4464">
        <w:rPr>
          <w:rFonts w:ascii="Times New Roman" w:eastAsia="Times New Roman" w:hAnsi="Times New Roman" w:cs="Times New Roman"/>
          <w:sz w:val="28"/>
          <w:szCs w:val="28"/>
          <w:lang w:val="ru-RU"/>
        </w:rPr>
        <w:t xml:space="preserve"> [36; 37] и У. Шарпа [38], составляют методологическую основу современной портфельной теории. К ключевым из них относятся: принцип диверсификации, предполагающий распределение капитала между активами с различными характеристиками доходности и риска; принцип оптимальности, ориентирующий на достижение максимальной ожидаемой доходности при заданном уровне риска или на минимизацию риска при требуемой доходности; принцип ликвидности, обеспечивающий возможность трансформации активов в денежные средства без существенных потерь стоимости; а также принцип соответствия инвестиционным целям, требующий согласованности структуры портфеля с горизонтом инвестирования, финансовыми возможностями и риск-профилем инвестора.</w:t>
      </w:r>
    </w:p>
    <w:p w14:paraId="4AB1E4D3"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В категориальном отношении методы формирования инвестиционного портфеля традиционно разделяют на пассивные и активные. Пассивный подход предполагает воспроизведение состава и весов рыночного бенчмарка (индекса) с минимальными отклонениями и транзакционными издержками; он опирается на гипотезу эффективного рынка, согласно которой систематическое превышение рыночной доходности за счёт выбора отдельных бумаг недостижимо в долгосрочной перспективе [35]. Активный подход, напротив, направлен на формирование портфеля, способного опережать бенчмарк за счёт выбора недооценённых бумаг, тактической аллокации активов и своевременной ребалансировки; он требует применения </w:t>
      </w:r>
      <w:r w:rsidRPr="00DA4464">
        <w:rPr>
          <w:rFonts w:ascii="Times New Roman" w:eastAsia="Times New Roman" w:hAnsi="Times New Roman" w:cs="Times New Roman"/>
          <w:sz w:val="28"/>
          <w:szCs w:val="28"/>
          <w:lang w:val="ru-RU"/>
        </w:rPr>
        <w:lastRenderedPageBreak/>
        <w:t>инструментов фундаментального и технического анализа и предполагает более высокие издержки управления.</w:t>
      </w:r>
    </w:p>
    <w:p w14:paraId="25A459AE"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которые при заданных ограничениях интерпретируются как относительно эффективные и достаточно надежные [19, с. 210]. В этой логике уместно говорить о системе взаимосвязанных ориентиров, где приоритеты задаются как стратегическими, так и тактическими соображениями: сохранение капитала и его прирост в долгосрочной перспективе; поддержание темпов роста дохода, которые соответствуют целям инвестора, при одновременном стремлении к более предсказуемой динамике денежных поступлений; ограничение уровня риска до значений, совместимых с допустимыми потерями и требованиями к устойчивости результатов [13, с. 154]; сохранение ликвидности в объеме, достаточном для исполнения обязательств, покрытия непредвиденных потребностей и для возможности реагировать на изменения рыночной конъюнктуры без вынужденных продаж по невыгодным ценам.</w:t>
      </w:r>
    </w:p>
    <w:p w14:paraId="2D1138AF"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Применение категории «качество» к инвестиционному портфелю не сводится к идее механической максимизации доходности, вычисленной по историческим данным или полученной на кратком временном интервале. Качество портфеля уместно определять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с возможностью относительно оперативной трансформации части активов в денежную форму при разумных трансакционных издержках [11, с. 230].</w:t>
      </w:r>
    </w:p>
    <w:p w14:paraId="08B86E90"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lastRenderedPageBreak/>
        <w:t>Проблематика портфельного управления во многом обусловлена тем, что доходность, риск и ликвидность связаны функционально и на практике часто оказываются в напряженном соотношении. В финансовой теории устойчиво закрепилось положение о том, что рост ожидаемой доходности в среднем сопровождается повышением риска, то есть увеличением неопределенности итогового результата и вероятности неблагоприятных сценариев [25, с. 120].</w:t>
      </w:r>
    </w:p>
    <w:p w14:paraId="26764DC0"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Поскольку одновременная максимизация доходности при нулевом риске и абсолютной ликвидности не реализуема в условиях реального рынка, формирование портфеля фактически превращается в задачу поиска компромиссного решения [26, с. 146]. Для достижения приемлемого баланса управляющая сторона использует диверсификацию, объединяя активы с различной чувствительностью к факторам риска и с неодинаковой корреляцией доходностей, чтобы уменьшить совокупный риск без пропорционального сокращения ожидаемой доходности [20, с. 65].</w:t>
      </w:r>
    </w:p>
    <w:p w14:paraId="35D8E5B8" w14:textId="23918483" w:rsidR="00793D47" w:rsidRPr="00DA4464" w:rsidRDefault="00DA4464" w:rsidP="00DA4464">
      <w:pPr>
        <w:spacing w:line="360" w:lineRule="auto"/>
        <w:ind w:firstLine="709"/>
        <w:jc w:val="both"/>
        <w:rPr>
          <w:rFonts w:ascii="Times New Roman" w:hAnsi="Times New Roman" w:cs="Times New Roman"/>
          <w:sz w:val="28"/>
          <w:szCs w:val="28"/>
          <w:lang w:val="ru-RU"/>
        </w:rPr>
      </w:pPr>
      <w:r w:rsidRPr="00DA4464">
        <w:rPr>
          <w:rFonts w:ascii="Times New Roman" w:eastAsia="Times New Roman" w:hAnsi="Times New Roman" w:cs="Times New Roman"/>
          <w:sz w:val="28"/>
          <w:szCs w:val="28"/>
          <w:lang w:val="ru-RU"/>
        </w:rPr>
        <w:t xml:space="preserve">Одновременно в прикладной сфере управление портфелем нередко редуцируется до оптимизации структуры активов на основе ожидаемой доходности и исторической волатильности, где ключевыми исходными данными выступают ретроспективные ряды котировок и статистические оценки риска [25, с. 880]. Традиционная трактовка качества портфеля в подобных подходах часто опирается преимущественно на количественные метрики, включая стандартное отклонение, ковариацию, корреляции и расчеты, основанные на динамике цен. Однако такая перспектива остается ограниченной, поскольку прошлые статистические параметры не дают исчерпывающего представления о фундаментальной стоимости бизнеса эмитентов [8, с. 45]. По этой причине возникает методологическая </w:t>
      </w:r>
      <w:r w:rsidRPr="00DA4464">
        <w:rPr>
          <w:rFonts w:ascii="Times New Roman" w:eastAsia="Times New Roman" w:hAnsi="Times New Roman" w:cs="Times New Roman"/>
          <w:sz w:val="28"/>
          <w:szCs w:val="28"/>
          <w:lang w:val="ru-RU"/>
        </w:rPr>
        <w:lastRenderedPageBreak/>
        <w:t>необходимость расширять инструментарий оценки качества портфеля за счет методов фундаментального финансового анализа объектов инвестирования.</w:t>
      </w:r>
    </w:p>
    <w:p w14:paraId="5CF1815C" w14:textId="77777777" w:rsidR="00631EF4" w:rsidRDefault="00631EF4" w:rsidP="00CD1CF2">
      <w:pPr>
        <w:spacing w:line="360" w:lineRule="auto"/>
        <w:jc w:val="both"/>
        <w:rPr>
          <w:rFonts w:ascii="Times New Roman" w:hAnsi="Times New Roman" w:cs="Times New Roman"/>
          <w:sz w:val="28"/>
          <w:szCs w:val="28"/>
          <w:lang w:val="ru-RU"/>
        </w:rPr>
      </w:pPr>
    </w:p>
    <w:p w14:paraId="37FC8522" w14:textId="77777777" w:rsidR="00793D47" w:rsidRDefault="00793D47" w:rsidP="00CD1CF2">
      <w:pPr>
        <w:pStyle w:val="2"/>
        <w:numPr>
          <w:ilvl w:val="1"/>
          <w:numId w:val="13"/>
        </w:numPr>
        <w:spacing w:before="0" w:after="0" w:line="360" w:lineRule="auto"/>
        <w:ind w:left="0" w:firstLine="0"/>
        <w:rPr>
          <w:lang w:val="ru-RU"/>
        </w:rPr>
      </w:pPr>
      <w:bookmarkStart w:id="3" w:name="_Toc232337637"/>
      <w:r w:rsidRPr="00631EF4">
        <w:rPr>
          <w:lang w:val="ru-RU"/>
        </w:rPr>
        <w:t>Факторы, определяющие качество инвестиционного портфеля</w:t>
      </w:r>
      <w:bookmarkEnd w:id="3"/>
    </w:p>
    <w:p w14:paraId="6D8C339A" w14:textId="77777777" w:rsidR="00CD1CF2" w:rsidRPr="00CD1CF2" w:rsidRDefault="00CD1CF2" w:rsidP="00CD1CF2">
      <w:pPr>
        <w:rPr>
          <w:lang w:val="ru-RU"/>
        </w:rPr>
      </w:pPr>
    </w:p>
    <w:p w14:paraId="5B67B82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Качество инвестиционного портфеля представляется обоснованным рассматривать как динамическую характеристику, которая изменяется во времени под воздействием совокупности взаимосвязанных условий. При этом часть таких условий формируется во внешней среде и практически не поддается влиянию со стороны инвестора или управляющей компании, тогда как другая часть определяется управленческими решениями, принятыми при формировании и сопровождении портфеля [7, с. 142]. В академической литературе укоренилась типология факторов на внешние (экзогенные) и внутренние (эндогенные), что методологически удобно: она позволяет аналитически отделить ограничения, возникающие независимо от воли субъекта управления, от параметров, которые могут целенаправленно корректироваться через инвестиционную стратегию, регламенты принятия решений, процедуры риск-менеджмента и критерии отбора инструментов [19, с. 215].</w:t>
      </w:r>
    </w:p>
    <w:p w14:paraId="35116061"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Внешние факторы задают макроэкономический и институциональный контур функционирования финансового рынка. Существенное значение в данном контексте имеют фазы экономического цикла, траектория инфляции и решения центрального банка в сфере денежно-кредитной политики, прежде всего изменение уровня ключевой ставки [24, с. 410]. Инфляционная динамика снижает реальную ценность будущих денежных потоков, в связи с чем при построении портфеля возрастает роль инструментов, способных обеспечивать компенсацию инфляционного обесценения или, по крайней мере, </w:t>
      </w:r>
      <w:r w:rsidRPr="00DA4464">
        <w:rPr>
          <w:rFonts w:ascii="Times New Roman" w:eastAsia="Times New Roman" w:hAnsi="Times New Roman" w:cs="Times New Roman"/>
          <w:sz w:val="28"/>
          <w:szCs w:val="28"/>
          <w:lang w:val="ru-RU"/>
        </w:rPr>
        <w:lastRenderedPageBreak/>
        <w:t>поддерживать покупательную способность капитала. Движение ключевой ставки, в свою очередь, влияет на стоимость заемного финансирования в корпоративном секторе и формирует альтернативную доходность относительно близких к безрисковым инструментов, что смещает баланс привлекательности между акциями и облигациями [17, с. 312].</w:t>
      </w:r>
    </w:p>
    <w:p w14:paraId="76AB2E65"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Наряду с общими </w:t>
      </w:r>
      <w:proofErr w:type="spellStart"/>
      <w:r w:rsidRPr="00DA4464">
        <w:rPr>
          <w:rFonts w:ascii="Times New Roman" w:eastAsia="Times New Roman" w:hAnsi="Times New Roman" w:cs="Times New Roman"/>
          <w:sz w:val="28"/>
          <w:szCs w:val="28"/>
          <w:lang w:val="ru-RU"/>
        </w:rPr>
        <w:t>макроусловиями</w:t>
      </w:r>
      <w:proofErr w:type="spellEnd"/>
      <w:r w:rsidRPr="00DA4464">
        <w:rPr>
          <w:rFonts w:ascii="Times New Roman" w:eastAsia="Times New Roman" w:hAnsi="Times New Roman" w:cs="Times New Roman"/>
          <w:sz w:val="28"/>
          <w:szCs w:val="28"/>
          <w:lang w:val="ru-RU"/>
        </w:rPr>
        <w:t xml:space="preserve"> существенны отраслевые факторы, особенно в случае фондов с выраженной специализацией, когда риск-профиль портфеля во многом определяется узким набором драйверов. Для инвестиционных фондов, ориентированных на металлургический сегмент (в том числе в логике базового актива ОПИФ РФИ «ВИМ-Металлургия»), принципиальным обстоятельством является ярко выраженная цикличность сырьевых рынков [33, с. 12]. Рыночная капитализация и инвестиционная привлекательность металлургических и горнодобывающих компаний в значительной степени обусловлены глобальной конъюнктурой: изменения мировых цен на сталь, цветные и драгоценные металлы сравнительно быстро транслируются в экспортную выручку и операционную рентабельность российских эмитентов.</w:t>
      </w:r>
    </w:p>
    <w:p w14:paraId="201FCBA2"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Дополнительным внешним шоком для отрасли стало усиление санкционного давления, приведшее к разрывам традиционных цепочек поставок, изменению структуры контрагентов и пересборке экспортной логистики. Ограничения на импорт российской металлопродукции в ряде юрисдикций ускорили переориентацию экспортных потоков на рынки Азиатско-Тихоокеанского региона, Ближнего Востока и стран глобального Юга. Вместе с тем данный «разворот» не является нейтральным с точки зрения экономических параметров: он связан с удлинением логистических маршрутов, ростом транспортных и транзакционных издержек, а также </w:t>
      </w:r>
      <w:r w:rsidRPr="00DA4464">
        <w:rPr>
          <w:rFonts w:ascii="Times New Roman" w:eastAsia="Times New Roman" w:hAnsi="Times New Roman" w:cs="Times New Roman"/>
          <w:sz w:val="28"/>
          <w:szCs w:val="28"/>
          <w:lang w:val="ru-RU"/>
        </w:rPr>
        <w:lastRenderedPageBreak/>
        <w:t>необходимостью предоставления ценовых дисконтов к мировым ориентирам для сохранения конкурентоспособности.</w:t>
      </w:r>
    </w:p>
    <w:p w14:paraId="7ED3D1E6"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Заметное влияние на привлекательность сектора также оказывает валютный фактор, наряду с изменениями фискальной политики и режимов изъятия ресурсной ренты. Колебания курса рубля воздействуют на металлургические компании неоднозначно: девальвация может частично компенсировать снижение экспортных цен в иностранной валюте за счет роста рублевой выручки, однако одновременно удорожает импортное оборудование и комплектующие, повышая капитальные затраты и стоимость модернизационных программ [33]. Параллельно усиление налоговой нагрузки на сырьевой сектор, включая экспортные пошлины и корректировки НДПИ, ведет к перераспределению части доходов компаний в пользу бюджета и изменяет ожидаемую доходность капитала для акционеров [2].</w:t>
      </w:r>
    </w:p>
    <w:p w14:paraId="1F2872C5"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Внутренние факторы описывают параметры, которыми инвестор или управляющая компания в принципе способны управлять, и потому они выступают объектом целенаправленного проектирования. К ним относится качество управления фондом, проявляющееся в выборе общей стратегии (активной либо пассивной), в заданной глубине диверсификации, в формализованных принципах отбора активов, а также в регулярности и дисциплине ребалансировки [20, с. 78]. Ребалансировка может рассматриваться как инструмент поддержания целевого соотношения риска и ожидаемой доходности в условиях изменяющейся рыночной среды; помимо этого, она снижает вероятность накопления нежелательной концентрации и позволяет корректировать портфель в ответ на смещение весов отдельных позиций.</w:t>
      </w:r>
    </w:p>
    <w:p w14:paraId="21AA289A" w14:textId="6DC7C01D" w:rsidR="00631EF4" w:rsidRPr="00DA4464" w:rsidRDefault="00DA4464" w:rsidP="00DA4464">
      <w:pPr>
        <w:spacing w:line="360" w:lineRule="auto"/>
        <w:ind w:firstLine="709"/>
        <w:jc w:val="both"/>
        <w:rPr>
          <w:rFonts w:ascii="Times New Roman" w:hAnsi="Times New Roman" w:cs="Times New Roman"/>
          <w:sz w:val="28"/>
          <w:szCs w:val="28"/>
          <w:lang w:val="ru-RU"/>
        </w:rPr>
      </w:pPr>
      <w:r w:rsidRPr="00DA4464">
        <w:rPr>
          <w:rFonts w:ascii="Times New Roman" w:eastAsia="Times New Roman" w:hAnsi="Times New Roman" w:cs="Times New Roman"/>
          <w:sz w:val="28"/>
          <w:szCs w:val="28"/>
          <w:lang w:val="ru-RU"/>
        </w:rPr>
        <w:t xml:space="preserve">В условиях высокой волатильности и выраженной цикличности отрасли пассивные стратегии, воспроизводящие отраслевой бенчмарк, могут </w:t>
      </w:r>
      <w:r w:rsidRPr="00DA4464">
        <w:rPr>
          <w:rFonts w:ascii="Times New Roman" w:eastAsia="Times New Roman" w:hAnsi="Times New Roman" w:cs="Times New Roman"/>
          <w:sz w:val="28"/>
          <w:szCs w:val="28"/>
          <w:lang w:val="ru-RU"/>
        </w:rPr>
        <w:lastRenderedPageBreak/>
        <w:t>приводить к значительным просадкам в неблагоприятные периоды сырьевого цикла, что обостряет вопрос о критериях отбора активов и о допустимой степени «механического» следования индексу. Соответственно, математический подход, ограниченный ретроспективной оценкой доходностей, корреляций и волатильности, оказывается недостаточным для интерпретации возможных изменений стоимости активов при структурной трансформации макроэкономической и институциональной среды. Для достижения целевой доходности при контролируемом уровне риска более значимым становится селективный выбор фундаментально устойчивых эмитентов, которые способны сохранять положительный денежный поток, поддерживать приемлемую долговую нагрузку и демонстрировать операционную гибкость в условиях санкционных ограничений, налоговых изменений и повышенной стоимости капитала [9, с. 320].</w:t>
      </w:r>
    </w:p>
    <w:p w14:paraId="17E47291" w14:textId="77777777" w:rsidR="00631EF4" w:rsidRPr="00631EF4" w:rsidRDefault="00631EF4" w:rsidP="00FF3E0E">
      <w:pPr>
        <w:pStyle w:val="a5"/>
        <w:spacing w:line="360" w:lineRule="auto"/>
        <w:contextualSpacing w:val="0"/>
        <w:rPr>
          <w:lang w:val="ru-RU"/>
        </w:rPr>
      </w:pPr>
    </w:p>
    <w:p w14:paraId="320BD741" w14:textId="77777777" w:rsidR="00631EF4" w:rsidRDefault="00793D47" w:rsidP="00FF3E0E">
      <w:pPr>
        <w:pStyle w:val="2"/>
        <w:numPr>
          <w:ilvl w:val="1"/>
          <w:numId w:val="13"/>
        </w:numPr>
        <w:spacing w:before="0" w:after="0" w:line="360" w:lineRule="auto"/>
        <w:rPr>
          <w:lang w:val="ru-RU"/>
        </w:rPr>
      </w:pPr>
      <w:bookmarkStart w:id="4" w:name="_Toc232337638"/>
      <w:r w:rsidRPr="00631EF4">
        <w:rPr>
          <w:lang w:val="ru-RU"/>
        </w:rPr>
        <w:t>Инвестиционная привлекательность предприятия как фактор качества инвестиционного портфеля</w:t>
      </w:r>
      <w:bookmarkEnd w:id="4"/>
    </w:p>
    <w:p w14:paraId="0B4DA365"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p>
    <w:p w14:paraId="46BA68B7"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В теории корпоративных финансов, равно как и в прикладной практике управления активами, устойчиво признается, что качество инвестиционного портфеля в существенной степени обусловлено состоянием компаний-эмитентов, чьи ценные бумаги составляют его базу [10, с. 245]. В этом отношении портфель целесообразно интерпретировать не как автономную статистическую конструкцию, выводимую исключительно из рядов доходностей, а как производную от совокупности реальных хозяйственных систем [24, с. 45]. Акция фиксирует долю участия в капитале и, следовательно, опосредованно отражает способность бизнеса формировать стоимость для собственников; облигация представляет собой долговое обязательство, </w:t>
      </w:r>
      <w:r w:rsidRPr="00DA4464">
        <w:rPr>
          <w:rFonts w:ascii="Times New Roman" w:eastAsia="Times New Roman" w:hAnsi="Times New Roman" w:cs="Times New Roman"/>
          <w:sz w:val="28"/>
          <w:szCs w:val="28"/>
          <w:lang w:val="ru-RU"/>
        </w:rPr>
        <w:lastRenderedPageBreak/>
        <w:t>напрямую зависящее от платежной дисциплины и структуры денежных потоков эмитента.</w:t>
      </w:r>
    </w:p>
    <w:p w14:paraId="78500925"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Если предприятия характеризуются ограниченной платежеспособностью, ухудшением маржинальности, снижением эффективности использования капитала либо системными проблемами корпоративного контроля, то даже формально корректно выстроенная диверсификация не обеспечивает надежной защиты капитала от обесценения в долгосрочном горизонте [9, с. 210].</w:t>
      </w:r>
    </w:p>
    <w:p w14:paraId="317BDA63"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В контексте портфельного инвестирования инвестиционную привлекательность предприятия уместно трактовать как интегральную и динамическую характеристику, отражающую способность компании привлекать капитал на приемлемых условиях, обеспечивать воспроизводство и развитие, а также генерировать устойчивые денежные потоки [19, с. 44]. В её состав логично включать оценку стратегических перспектив, качества ресурсной базы и технологий, конкурентоспособности продукции и рыночных позиций, а также ликвидности и финансовой устойчивости при приемлемом уровне риска.</w:t>
      </w:r>
    </w:p>
    <w:p w14:paraId="7775CADF"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Классическая портфельная теория, как правило, строится на инструментах математической статистики и использует дисперсию, стандартное отклонение и ковариацию исторических доходностей. Такой подход обладает несомненной методологической ценностью, поскольку позволяет формализовать компромисс между риском и доходностью и получить измеримые критерии сравнения стратегий [25, с. 156]. Вместе с тем для вывода о реальном качестве портфеля опора исключительно на статистические показатели представляется методологически ограниченной, особенно применительно к секторам, где фундаментальные факторы способны резко менять профиль рисков [24, с. 218].</w:t>
      </w:r>
    </w:p>
    <w:p w14:paraId="7CF4D514"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lastRenderedPageBreak/>
        <w:t>Металлургический сектор характеризуется высокой капиталоемкостью, длительными сроками окупаемости проектов, необходимостью регулярной модернизации основных средств и, как следствие, нередко существенной долговой нагрузкой [30, с. 19]. Кроме того, финансовые результаты компаний чувствительны к фазам глобального экономического цикла, к состоянию инфраструктурного и строительного спроса, а также к ценовой конъюнктуре товарных рынков и логистическим ограничениям [33, с. 11]. В такой среде ретроспективная волатильность в первую очередь отражает уже состоявшиеся ценовые колебания и не обеспечивает надежного суждения о ряде рисков, критичных для долгосрочного инвестора.</w:t>
      </w:r>
    </w:p>
    <w:p w14:paraId="579F5B12"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Тем самым опора исключительно на статистические параметры поведения ценных бумаг не формирует объективной картины будущей жизнеспособности активов в изменяющейся макроэкономической среде. Комплексная оценка качества портфеля и разработка мер по его повышению предполагают интеграцию инструментов портфельного моделирования с результатами фундаментального исследования объектов инвестирования, включая анализ бизнес-модели, устойчивости денежных потоков и качества управления рисками [20, с. 110].</w:t>
      </w:r>
    </w:p>
    <w:p w14:paraId="1775B6A8" w14:textId="7DDF5D4D"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Концептуальной основой количественного анализа портфеля служит теория эффективного портфеля, разработанная Г. </w:t>
      </w:r>
      <w:proofErr w:type="spellStart"/>
      <w:r w:rsidRPr="00DA4464">
        <w:rPr>
          <w:rFonts w:ascii="Times New Roman" w:eastAsia="Times New Roman" w:hAnsi="Times New Roman" w:cs="Times New Roman"/>
          <w:sz w:val="28"/>
          <w:szCs w:val="28"/>
          <w:lang w:val="ru-RU"/>
        </w:rPr>
        <w:t>Марковицем</w:t>
      </w:r>
      <w:proofErr w:type="spellEnd"/>
      <w:r w:rsidRPr="00DA4464">
        <w:rPr>
          <w:rFonts w:ascii="Times New Roman" w:eastAsia="Times New Roman" w:hAnsi="Times New Roman" w:cs="Times New Roman"/>
          <w:sz w:val="28"/>
          <w:szCs w:val="28"/>
          <w:lang w:val="ru-RU"/>
        </w:rPr>
        <w:t xml:space="preserve"> в 1952 году [36; 37]. Ключевым вкладом данной теории является строгое математическое доказательство того, что риск диверсифицированного портфеля не равен средневзвешенному риску входящих в него активов, а определяется матрицей ковариаций их доходностей. Иными словами, объединение активов с несовершенной положительной корреляцией позволяет снизить совокупный риск ниже уровня, достижимого для любого отдельного инструмента. </w:t>
      </w:r>
      <w:r w:rsidRPr="00DA4464">
        <w:rPr>
          <w:rFonts w:ascii="Times New Roman" w:eastAsia="Times New Roman" w:hAnsi="Times New Roman" w:cs="Times New Roman"/>
          <w:sz w:val="28"/>
          <w:szCs w:val="28"/>
          <w:lang w:val="ru-RU"/>
        </w:rPr>
        <w:lastRenderedPageBreak/>
        <w:t xml:space="preserve">Математически ожидаемая доходность портфеля из </w:t>
      </w:r>
      <w:r>
        <w:rPr>
          <w:rFonts w:ascii="Times New Roman" w:eastAsia="Times New Roman" w:hAnsi="Times New Roman" w:cs="Times New Roman"/>
          <w:sz w:val="28"/>
          <w:szCs w:val="28"/>
        </w:rPr>
        <w:t>n</w:t>
      </w:r>
      <w:r w:rsidRPr="00DA4464">
        <w:rPr>
          <w:rFonts w:ascii="Times New Roman" w:eastAsia="Times New Roman" w:hAnsi="Times New Roman" w:cs="Times New Roman"/>
          <w:sz w:val="28"/>
          <w:szCs w:val="28"/>
          <w:lang w:val="ru-RU"/>
        </w:rPr>
        <w:t xml:space="preserve"> активов выражается формулой</w:t>
      </w:r>
      <w:r w:rsidR="004F3E51">
        <w:rPr>
          <w:rFonts w:ascii="Times New Roman" w:eastAsia="Times New Roman" w:hAnsi="Times New Roman" w:cs="Times New Roman"/>
          <w:sz w:val="28"/>
          <w:szCs w:val="28"/>
          <w:lang w:val="ru-RU"/>
        </w:rPr>
        <w:t xml:space="preserve"> (1)</w:t>
      </w:r>
      <w:r w:rsidRPr="00DA4464">
        <w:rPr>
          <w:rFonts w:ascii="Times New Roman" w:eastAsia="Times New Roman" w:hAnsi="Times New Roman" w:cs="Times New Roman"/>
          <w:sz w:val="28"/>
          <w:szCs w:val="28"/>
          <w:lang w:val="ru-RU"/>
        </w:rPr>
        <w:t>:</w:t>
      </w:r>
    </w:p>
    <w:p w14:paraId="19ECFAD7" w14:textId="610BBE5B" w:rsidR="00DA4464" w:rsidRPr="004F3E51" w:rsidRDefault="004F3E51" w:rsidP="00DA4464">
      <w:pPr>
        <w:spacing w:line="360" w:lineRule="auto"/>
        <w:jc w:val="center"/>
        <w:rPr>
          <w:lang w:val="ru-RU"/>
        </w:rPr>
      </w:pPr>
      <w:r>
        <w:rPr>
          <w:rFonts w:ascii="Times New Roman" w:eastAsia="Times New Roman" w:hAnsi="Times New Roman" w:cs="Times New Roman"/>
          <w:i/>
          <w:iCs/>
          <w:sz w:val="28"/>
          <w:szCs w:val="28"/>
          <w:lang w:val="ru-RU"/>
        </w:rPr>
        <w:t xml:space="preserve">                                                 </w:t>
      </w:r>
      <w:r w:rsidR="00DA4464">
        <w:rPr>
          <w:rFonts w:ascii="Times New Roman" w:eastAsia="Times New Roman" w:hAnsi="Times New Roman" w:cs="Times New Roman"/>
          <w:i/>
          <w:iCs/>
          <w:sz w:val="28"/>
          <w:szCs w:val="28"/>
        </w:rPr>
        <w:t>E</w:t>
      </w:r>
      <w:r w:rsidR="00DA4464" w:rsidRPr="00DA4464">
        <w:rPr>
          <w:rFonts w:ascii="Times New Roman" w:eastAsia="Times New Roman" w:hAnsi="Times New Roman" w:cs="Times New Roman"/>
          <w:i/>
          <w:iCs/>
          <w:sz w:val="28"/>
          <w:szCs w:val="28"/>
          <w:lang w:val="ru-RU"/>
        </w:rPr>
        <w:t>(</w:t>
      </w:r>
      <w:r w:rsidR="00DA4464">
        <w:rPr>
          <w:rFonts w:ascii="Times New Roman" w:eastAsia="Times New Roman" w:hAnsi="Times New Roman" w:cs="Times New Roman"/>
          <w:i/>
          <w:iCs/>
          <w:sz w:val="28"/>
          <w:szCs w:val="28"/>
        </w:rPr>
        <w:t>Rp</w:t>
      </w:r>
      <w:r w:rsidR="00DA4464" w:rsidRPr="00DA4464">
        <w:rPr>
          <w:rFonts w:ascii="Times New Roman" w:eastAsia="Times New Roman" w:hAnsi="Times New Roman" w:cs="Times New Roman"/>
          <w:i/>
          <w:iCs/>
          <w:sz w:val="28"/>
          <w:szCs w:val="28"/>
          <w:lang w:val="ru-RU"/>
        </w:rPr>
        <w:t xml:space="preserve">) = </w:t>
      </w:r>
      <w:r w:rsidR="00DA4464">
        <w:rPr>
          <w:rFonts w:ascii="Times New Roman" w:eastAsia="Times New Roman" w:hAnsi="Times New Roman" w:cs="Times New Roman"/>
          <w:i/>
          <w:iCs/>
          <w:sz w:val="28"/>
          <w:szCs w:val="28"/>
        </w:rPr>
        <w:t>Σ</w:t>
      </w:r>
      <w:r w:rsidR="00DA4464" w:rsidRPr="00DA4464">
        <w:rPr>
          <w:rFonts w:ascii="Times New Roman" w:eastAsia="Times New Roman" w:hAnsi="Times New Roman" w:cs="Times New Roman"/>
          <w:i/>
          <w:iCs/>
          <w:sz w:val="28"/>
          <w:szCs w:val="28"/>
          <w:lang w:val="ru-RU"/>
        </w:rPr>
        <w:t xml:space="preserve"> </w:t>
      </w:r>
      <w:proofErr w:type="spellStart"/>
      <w:r w:rsidR="00DA4464">
        <w:rPr>
          <w:rFonts w:ascii="Times New Roman" w:eastAsia="Times New Roman" w:hAnsi="Times New Roman" w:cs="Times New Roman"/>
          <w:i/>
          <w:iCs/>
          <w:sz w:val="28"/>
          <w:szCs w:val="28"/>
        </w:rPr>
        <w:t>wi</w:t>
      </w:r>
      <w:proofErr w:type="spellEnd"/>
      <w:r w:rsidR="00DA4464" w:rsidRPr="00DA4464">
        <w:rPr>
          <w:rFonts w:ascii="Times New Roman" w:eastAsia="Times New Roman" w:hAnsi="Times New Roman" w:cs="Times New Roman"/>
          <w:i/>
          <w:iCs/>
          <w:sz w:val="28"/>
          <w:szCs w:val="28"/>
          <w:lang w:val="ru-RU"/>
        </w:rPr>
        <w:t xml:space="preserve"> · </w:t>
      </w:r>
      <w:r w:rsidR="00DA4464">
        <w:rPr>
          <w:rFonts w:ascii="Times New Roman" w:eastAsia="Times New Roman" w:hAnsi="Times New Roman" w:cs="Times New Roman"/>
          <w:i/>
          <w:iCs/>
          <w:sz w:val="28"/>
          <w:szCs w:val="28"/>
        </w:rPr>
        <w:t>E</w:t>
      </w:r>
      <w:r w:rsidR="00DA4464" w:rsidRPr="00DA4464">
        <w:rPr>
          <w:rFonts w:ascii="Times New Roman" w:eastAsia="Times New Roman" w:hAnsi="Times New Roman" w:cs="Times New Roman"/>
          <w:i/>
          <w:iCs/>
          <w:sz w:val="28"/>
          <w:szCs w:val="28"/>
          <w:lang w:val="ru-RU"/>
        </w:rPr>
        <w:t>(</w:t>
      </w:r>
      <w:r w:rsidR="00DA4464">
        <w:rPr>
          <w:rFonts w:ascii="Times New Roman" w:eastAsia="Times New Roman" w:hAnsi="Times New Roman" w:cs="Times New Roman"/>
          <w:i/>
          <w:iCs/>
          <w:sz w:val="28"/>
          <w:szCs w:val="28"/>
        </w:rPr>
        <w:t>Ri</w:t>
      </w:r>
      <w:proofErr w:type="gramStart"/>
      <w:r w:rsidR="00DA4464" w:rsidRPr="00DA4464">
        <w:rPr>
          <w:rFonts w:ascii="Times New Roman" w:eastAsia="Times New Roman" w:hAnsi="Times New Roman" w:cs="Times New Roman"/>
          <w:i/>
          <w:iCs/>
          <w:sz w:val="28"/>
          <w:szCs w:val="28"/>
          <w:lang w:val="ru-RU"/>
        </w:rPr>
        <w:t>)</w:t>
      </w:r>
      <w:r>
        <w:rPr>
          <w:rFonts w:ascii="Times New Roman" w:eastAsia="Times New Roman" w:hAnsi="Times New Roman" w:cs="Times New Roman"/>
          <w:i/>
          <w:iCs/>
          <w:sz w:val="28"/>
          <w:szCs w:val="28"/>
          <w:lang w:val="ru-RU"/>
        </w:rPr>
        <w:t>,</w:t>
      </w:r>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1)</w:t>
      </w:r>
    </w:p>
    <w:p w14:paraId="335FB93D" w14:textId="04B74F21"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wi</w:t>
      </w:r>
      <w:proofErr w:type="spellEnd"/>
      <w:r w:rsidRPr="00DA4464">
        <w:rPr>
          <w:rFonts w:ascii="Times New Roman" w:eastAsia="Times New Roman" w:hAnsi="Times New Roman" w:cs="Times New Roman"/>
          <w:sz w:val="28"/>
          <w:szCs w:val="28"/>
          <w:lang w:val="ru-RU"/>
        </w:rPr>
        <w:t xml:space="preserve"> — удельный вес </w:t>
      </w:r>
      <w:proofErr w:type="spellStart"/>
      <w:r>
        <w:rPr>
          <w:rFonts w:ascii="Times New Roman" w:eastAsia="Times New Roman" w:hAnsi="Times New Roman" w:cs="Times New Roman"/>
          <w:sz w:val="28"/>
          <w:szCs w:val="28"/>
        </w:rPr>
        <w:t>i</w:t>
      </w:r>
      <w:proofErr w:type="spellEnd"/>
      <w:r w:rsidRPr="00DA4464">
        <w:rPr>
          <w:rFonts w:ascii="Times New Roman" w:eastAsia="Times New Roman" w:hAnsi="Times New Roman" w:cs="Times New Roman"/>
          <w:sz w:val="28"/>
          <w:szCs w:val="28"/>
          <w:lang w:val="ru-RU"/>
        </w:rPr>
        <w:t xml:space="preserve">-го актива, </w:t>
      </w:r>
      <w:r>
        <w:rPr>
          <w:rFonts w:ascii="Times New Roman" w:eastAsia="Times New Roman" w:hAnsi="Times New Roman" w:cs="Times New Roman"/>
          <w:sz w:val="28"/>
          <w:szCs w:val="28"/>
        </w:rPr>
        <w:t>E</w:t>
      </w:r>
      <w:r w:rsidRPr="00DA4464">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Ri</w:t>
      </w:r>
      <w:r w:rsidRPr="00DA4464">
        <w:rPr>
          <w:rFonts w:ascii="Times New Roman" w:eastAsia="Times New Roman" w:hAnsi="Times New Roman" w:cs="Times New Roman"/>
          <w:sz w:val="28"/>
          <w:szCs w:val="28"/>
          <w:lang w:val="ru-RU"/>
        </w:rPr>
        <w:t>) — его ожидаемая доходность. Дисперсия доходности портфеля, описывающая его совокупный риск, рассчитывается как</w:t>
      </w:r>
      <w:r w:rsidR="004F3E51">
        <w:rPr>
          <w:rFonts w:ascii="Times New Roman" w:eastAsia="Times New Roman" w:hAnsi="Times New Roman" w:cs="Times New Roman"/>
          <w:sz w:val="28"/>
          <w:szCs w:val="28"/>
          <w:lang w:val="ru-RU"/>
        </w:rPr>
        <w:t xml:space="preserve"> (2)</w:t>
      </w:r>
      <w:r w:rsidRPr="00DA4464">
        <w:rPr>
          <w:rFonts w:ascii="Times New Roman" w:eastAsia="Times New Roman" w:hAnsi="Times New Roman" w:cs="Times New Roman"/>
          <w:sz w:val="28"/>
          <w:szCs w:val="28"/>
          <w:lang w:val="ru-RU"/>
        </w:rPr>
        <w:t>:</w:t>
      </w:r>
    </w:p>
    <w:p w14:paraId="7A52164C" w14:textId="18364543" w:rsidR="00DA4464" w:rsidRPr="004F3E51" w:rsidRDefault="004F3E51" w:rsidP="00DA4464">
      <w:pPr>
        <w:spacing w:line="360" w:lineRule="auto"/>
        <w:jc w:val="center"/>
        <w:rPr>
          <w:lang w:val="ru-RU"/>
        </w:rPr>
      </w:pPr>
      <w:r>
        <w:rPr>
          <w:rFonts w:ascii="Times New Roman" w:eastAsia="Times New Roman" w:hAnsi="Times New Roman" w:cs="Times New Roman"/>
          <w:i/>
          <w:iCs/>
          <w:sz w:val="28"/>
          <w:szCs w:val="28"/>
          <w:lang w:val="ru-RU"/>
        </w:rPr>
        <w:t xml:space="preserve">                                               </w:t>
      </w:r>
      <w:r w:rsidR="00DA4464">
        <w:rPr>
          <w:rFonts w:ascii="Times New Roman" w:eastAsia="Times New Roman" w:hAnsi="Times New Roman" w:cs="Times New Roman"/>
          <w:i/>
          <w:iCs/>
          <w:sz w:val="28"/>
          <w:szCs w:val="28"/>
        </w:rPr>
        <w:t>σ</w:t>
      </w:r>
      <w:r w:rsidR="00DA4464" w:rsidRPr="00DA4464">
        <w:rPr>
          <w:rFonts w:ascii="Times New Roman" w:eastAsia="Times New Roman" w:hAnsi="Times New Roman" w:cs="Times New Roman"/>
          <w:i/>
          <w:iCs/>
          <w:sz w:val="28"/>
          <w:szCs w:val="28"/>
          <w:lang w:val="ru-RU"/>
        </w:rPr>
        <w:t>²</w:t>
      </w:r>
      <w:r w:rsidR="00DA4464">
        <w:rPr>
          <w:rFonts w:ascii="Times New Roman" w:eastAsia="Times New Roman" w:hAnsi="Times New Roman" w:cs="Times New Roman"/>
          <w:i/>
          <w:iCs/>
          <w:sz w:val="28"/>
          <w:szCs w:val="28"/>
        </w:rPr>
        <w:t>p</w:t>
      </w:r>
      <w:r w:rsidR="00DA4464" w:rsidRPr="00DA4464">
        <w:rPr>
          <w:rFonts w:ascii="Times New Roman" w:eastAsia="Times New Roman" w:hAnsi="Times New Roman" w:cs="Times New Roman"/>
          <w:i/>
          <w:iCs/>
          <w:sz w:val="28"/>
          <w:szCs w:val="28"/>
          <w:lang w:val="ru-RU"/>
        </w:rPr>
        <w:t xml:space="preserve"> = </w:t>
      </w:r>
      <w:proofErr w:type="spellStart"/>
      <w:r w:rsidR="00DA4464">
        <w:rPr>
          <w:rFonts w:ascii="Times New Roman" w:eastAsia="Times New Roman" w:hAnsi="Times New Roman" w:cs="Times New Roman"/>
          <w:i/>
          <w:iCs/>
          <w:sz w:val="28"/>
          <w:szCs w:val="28"/>
        </w:rPr>
        <w:t>Σi</w:t>
      </w:r>
      <w:proofErr w:type="spellEnd"/>
      <w:r w:rsidR="00DA4464" w:rsidRPr="00DA4464">
        <w:rPr>
          <w:rFonts w:ascii="Times New Roman" w:eastAsia="Times New Roman" w:hAnsi="Times New Roman" w:cs="Times New Roman"/>
          <w:i/>
          <w:iCs/>
          <w:sz w:val="28"/>
          <w:szCs w:val="28"/>
          <w:lang w:val="ru-RU"/>
        </w:rPr>
        <w:t xml:space="preserve"> </w:t>
      </w:r>
      <w:proofErr w:type="spellStart"/>
      <w:r w:rsidR="00DA4464">
        <w:rPr>
          <w:rFonts w:ascii="Times New Roman" w:eastAsia="Times New Roman" w:hAnsi="Times New Roman" w:cs="Times New Roman"/>
          <w:i/>
          <w:iCs/>
          <w:sz w:val="28"/>
          <w:szCs w:val="28"/>
        </w:rPr>
        <w:t>Σj</w:t>
      </w:r>
      <w:proofErr w:type="spellEnd"/>
      <w:r w:rsidR="00DA4464" w:rsidRPr="00DA4464">
        <w:rPr>
          <w:rFonts w:ascii="Times New Roman" w:eastAsia="Times New Roman" w:hAnsi="Times New Roman" w:cs="Times New Roman"/>
          <w:i/>
          <w:iCs/>
          <w:sz w:val="28"/>
          <w:szCs w:val="28"/>
          <w:lang w:val="ru-RU"/>
        </w:rPr>
        <w:t xml:space="preserve"> </w:t>
      </w:r>
      <w:proofErr w:type="spellStart"/>
      <w:r w:rsidR="00DA4464">
        <w:rPr>
          <w:rFonts w:ascii="Times New Roman" w:eastAsia="Times New Roman" w:hAnsi="Times New Roman" w:cs="Times New Roman"/>
          <w:i/>
          <w:iCs/>
          <w:sz w:val="28"/>
          <w:szCs w:val="28"/>
        </w:rPr>
        <w:t>wi</w:t>
      </w:r>
      <w:proofErr w:type="spellEnd"/>
      <w:r w:rsidR="00DA4464" w:rsidRPr="00DA4464">
        <w:rPr>
          <w:rFonts w:ascii="Times New Roman" w:eastAsia="Times New Roman" w:hAnsi="Times New Roman" w:cs="Times New Roman"/>
          <w:i/>
          <w:iCs/>
          <w:sz w:val="28"/>
          <w:szCs w:val="28"/>
          <w:lang w:val="ru-RU"/>
        </w:rPr>
        <w:t xml:space="preserve"> · </w:t>
      </w:r>
      <w:proofErr w:type="spellStart"/>
      <w:r w:rsidR="00DA4464">
        <w:rPr>
          <w:rFonts w:ascii="Times New Roman" w:eastAsia="Times New Roman" w:hAnsi="Times New Roman" w:cs="Times New Roman"/>
          <w:i/>
          <w:iCs/>
          <w:sz w:val="28"/>
          <w:szCs w:val="28"/>
        </w:rPr>
        <w:t>wj</w:t>
      </w:r>
      <w:proofErr w:type="spellEnd"/>
      <w:r w:rsidR="00DA4464" w:rsidRPr="00DA4464">
        <w:rPr>
          <w:rFonts w:ascii="Times New Roman" w:eastAsia="Times New Roman" w:hAnsi="Times New Roman" w:cs="Times New Roman"/>
          <w:i/>
          <w:iCs/>
          <w:sz w:val="28"/>
          <w:szCs w:val="28"/>
          <w:lang w:val="ru-RU"/>
        </w:rPr>
        <w:t xml:space="preserve"> · </w:t>
      </w:r>
      <w:proofErr w:type="spellStart"/>
      <w:r w:rsidR="00DA4464">
        <w:rPr>
          <w:rFonts w:ascii="Times New Roman" w:eastAsia="Times New Roman" w:hAnsi="Times New Roman" w:cs="Times New Roman"/>
          <w:i/>
          <w:iCs/>
          <w:sz w:val="28"/>
          <w:szCs w:val="28"/>
        </w:rPr>
        <w:t>σ</w:t>
      </w:r>
      <w:proofErr w:type="gramStart"/>
      <w:r w:rsidR="00DA4464">
        <w:rPr>
          <w:rFonts w:ascii="Times New Roman" w:eastAsia="Times New Roman" w:hAnsi="Times New Roman" w:cs="Times New Roman"/>
          <w:i/>
          <w:iCs/>
          <w:sz w:val="28"/>
          <w:szCs w:val="28"/>
        </w:rPr>
        <w:t>ij</w:t>
      </w:r>
      <w:proofErr w:type="spellEnd"/>
      <w:r>
        <w:rPr>
          <w:rFonts w:ascii="Times New Roman" w:eastAsia="Times New Roman" w:hAnsi="Times New Roman" w:cs="Times New Roman"/>
          <w:i/>
          <w:iCs/>
          <w:sz w:val="28"/>
          <w:szCs w:val="28"/>
          <w:lang w:val="ru-RU"/>
        </w:rPr>
        <w:t xml:space="preserve">, </w:t>
      </w:r>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2)</w:t>
      </w:r>
    </w:p>
    <w:p w14:paraId="3A2E6A34"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σij</w:t>
      </w:r>
      <w:proofErr w:type="spellEnd"/>
      <w:r w:rsidRPr="00DA4464">
        <w:rPr>
          <w:rFonts w:ascii="Times New Roman" w:eastAsia="Times New Roman" w:hAnsi="Times New Roman" w:cs="Times New Roman"/>
          <w:sz w:val="28"/>
          <w:szCs w:val="28"/>
          <w:lang w:val="ru-RU"/>
        </w:rPr>
        <w:t xml:space="preserve"> = </w:t>
      </w:r>
      <w:proofErr w:type="spellStart"/>
      <w:r>
        <w:rPr>
          <w:rFonts w:ascii="Times New Roman" w:eastAsia="Times New Roman" w:hAnsi="Times New Roman" w:cs="Times New Roman"/>
          <w:sz w:val="28"/>
          <w:szCs w:val="28"/>
        </w:rPr>
        <w:t>ρij</w:t>
      </w:r>
      <w:proofErr w:type="spellEnd"/>
      <w:r w:rsidRPr="00DA4464">
        <w:rPr>
          <w:rFonts w:ascii="Times New Roman" w:eastAsia="Times New Roman" w:hAnsi="Times New Roman" w:cs="Times New Roman"/>
          <w:sz w:val="28"/>
          <w:szCs w:val="28"/>
          <w:lang w:val="ru-RU"/>
        </w:rPr>
        <w:t xml:space="preserve"> · </w:t>
      </w:r>
      <w:proofErr w:type="spellStart"/>
      <w:r>
        <w:rPr>
          <w:rFonts w:ascii="Times New Roman" w:eastAsia="Times New Roman" w:hAnsi="Times New Roman" w:cs="Times New Roman"/>
          <w:sz w:val="28"/>
          <w:szCs w:val="28"/>
        </w:rPr>
        <w:t>σi</w:t>
      </w:r>
      <w:proofErr w:type="spellEnd"/>
      <w:r w:rsidRPr="00DA4464">
        <w:rPr>
          <w:rFonts w:ascii="Times New Roman" w:eastAsia="Times New Roman" w:hAnsi="Times New Roman" w:cs="Times New Roman"/>
          <w:sz w:val="28"/>
          <w:szCs w:val="28"/>
          <w:lang w:val="ru-RU"/>
        </w:rPr>
        <w:t xml:space="preserve"> · </w:t>
      </w:r>
      <w:proofErr w:type="spellStart"/>
      <w:r>
        <w:rPr>
          <w:rFonts w:ascii="Times New Roman" w:eastAsia="Times New Roman" w:hAnsi="Times New Roman" w:cs="Times New Roman"/>
          <w:sz w:val="28"/>
          <w:szCs w:val="28"/>
        </w:rPr>
        <w:t>σj</w:t>
      </w:r>
      <w:proofErr w:type="spellEnd"/>
      <w:r w:rsidRPr="00DA4464">
        <w:rPr>
          <w:rFonts w:ascii="Times New Roman" w:eastAsia="Times New Roman" w:hAnsi="Times New Roman" w:cs="Times New Roman"/>
          <w:sz w:val="28"/>
          <w:szCs w:val="28"/>
          <w:lang w:val="ru-RU"/>
        </w:rPr>
        <w:t xml:space="preserve"> — ковариация доходностей активов </w:t>
      </w:r>
      <w:proofErr w:type="spellStart"/>
      <w:r>
        <w:rPr>
          <w:rFonts w:ascii="Times New Roman" w:eastAsia="Times New Roman" w:hAnsi="Times New Roman" w:cs="Times New Roman"/>
          <w:sz w:val="28"/>
          <w:szCs w:val="28"/>
        </w:rPr>
        <w:t>i</w:t>
      </w:r>
      <w:proofErr w:type="spellEnd"/>
      <w:r w:rsidRPr="00DA4464">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sidRPr="00DA4464">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ρij</w:t>
      </w:r>
      <w:proofErr w:type="spellEnd"/>
      <w:r w:rsidRPr="00DA4464">
        <w:rPr>
          <w:rFonts w:ascii="Times New Roman" w:eastAsia="Times New Roman" w:hAnsi="Times New Roman" w:cs="Times New Roman"/>
          <w:sz w:val="28"/>
          <w:szCs w:val="28"/>
          <w:lang w:val="ru-RU"/>
        </w:rPr>
        <w:t xml:space="preserve"> — коэффициент их корреляции. При </w:t>
      </w:r>
      <w:proofErr w:type="spellStart"/>
      <w:r>
        <w:rPr>
          <w:rFonts w:ascii="Times New Roman" w:eastAsia="Times New Roman" w:hAnsi="Times New Roman" w:cs="Times New Roman"/>
          <w:sz w:val="28"/>
          <w:szCs w:val="28"/>
        </w:rPr>
        <w:t>ρij</w:t>
      </w:r>
      <w:proofErr w:type="spellEnd"/>
      <w:r w:rsidRPr="00DA4464">
        <w:rPr>
          <w:rFonts w:ascii="Times New Roman" w:eastAsia="Times New Roman" w:hAnsi="Times New Roman" w:cs="Times New Roman"/>
          <w:sz w:val="28"/>
          <w:szCs w:val="28"/>
          <w:lang w:val="ru-RU"/>
        </w:rPr>
        <w:t xml:space="preserve"> </w:t>
      </w:r>
      <w:proofErr w:type="gramStart"/>
      <w:r w:rsidRPr="00DA4464">
        <w:rPr>
          <w:rFonts w:ascii="Times New Roman" w:eastAsia="Times New Roman" w:hAnsi="Times New Roman" w:cs="Times New Roman"/>
          <w:sz w:val="28"/>
          <w:szCs w:val="28"/>
          <w:lang w:val="ru-RU"/>
        </w:rPr>
        <w:t>&lt; 1</w:t>
      </w:r>
      <w:proofErr w:type="gramEnd"/>
      <w:r w:rsidRPr="00DA4464">
        <w:rPr>
          <w:rFonts w:ascii="Times New Roman" w:eastAsia="Times New Roman" w:hAnsi="Times New Roman" w:cs="Times New Roman"/>
          <w:sz w:val="28"/>
          <w:szCs w:val="28"/>
          <w:lang w:val="ru-RU"/>
        </w:rPr>
        <w:t xml:space="preserve"> второе слагаемое уравнения оказывается меньше, чем при полной положительной корреляции, что и обеспечивает эффект снижения риска. Совокупность портфелей, обеспечивающих максимальную ожидаемую доходность при любом заданном уровне риска (или минимальный риск при любой заданной доходности), образует эффективный фронт </w:t>
      </w:r>
      <w:proofErr w:type="spellStart"/>
      <w:r w:rsidRPr="00DA4464">
        <w:rPr>
          <w:rFonts w:ascii="Times New Roman" w:eastAsia="Times New Roman" w:hAnsi="Times New Roman" w:cs="Times New Roman"/>
          <w:sz w:val="28"/>
          <w:szCs w:val="28"/>
          <w:lang w:val="ru-RU"/>
        </w:rPr>
        <w:t>Марковица</w:t>
      </w:r>
      <w:proofErr w:type="spellEnd"/>
      <w:r w:rsidRPr="00DA4464">
        <w:rPr>
          <w:rFonts w:ascii="Times New Roman" w:eastAsia="Times New Roman" w:hAnsi="Times New Roman" w:cs="Times New Roman"/>
          <w:sz w:val="28"/>
          <w:szCs w:val="28"/>
          <w:lang w:val="ru-RU"/>
        </w:rPr>
        <w:t xml:space="preserve"> — кривую в координатах «риск — доходность», выше которой ни один реально достижимый портфель не может располагаться.</w:t>
      </w:r>
    </w:p>
    <w:p w14:paraId="21AD2BD4" w14:textId="281B999A"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Модель оценки капитальных активов (</w:t>
      </w:r>
      <w:r>
        <w:rPr>
          <w:rFonts w:ascii="Times New Roman" w:eastAsia="Times New Roman" w:hAnsi="Times New Roman" w:cs="Times New Roman"/>
          <w:sz w:val="28"/>
          <w:szCs w:val="28"/>
        </w:rPr>
        <w:t>Capital</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Asset</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Pricing</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Model</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CAPM</w:t>
      </w:r>
      <w:r w:rsidRPr="00DA4464">
        <w:rPr>
          <w:rFonts w:ascii="Times New Roman" w:eastAsia="Times New Roman" w:hAnsi="Times New Roman" w:cs="Times New Roman"/>
          <w:sz w:val="28"/>
          <w:szCs w:val="28"/>
          <w:lang w:val="ru-RU"/>
        </w:rPr>
        <w:t xml:space="preserve">), развитая У. Шарпом [38], Д. </w:t>
      </w:r>
      <w:proofErr w:type="spellStart"/>
      <w:r w:rsidRPr="00DA4464">
        <w:rPr>
          <w:rFonts w:ascii="Times New Roman" w:eastAsia="Times New Roman" w:hAnsi="Times New Roman" w:cs="Times New Roman"/>
          <w:sz w:val="28"/>
          <w:szCs w:val="28"/>
          <w:lang w:val="ru-RU"/>
        </w:rPr>
        <w:t>Линтнером</w:t>
      </w:r>
      <w:proofErr w:type="spellEnd"/>
      <w:r w:rsidRPr="00DA4464">
        <w:rPr>
          <w:rFonts w:ascii="Times New Roman" w:eastAsia="Times New Roman" w:hAnsi="Times New Roman" w:cs="Times New Roman"/>
          <w:sz w:val="28"/>
          <w:szCs w:val="28"/>
          <w:lang w:val="ru-RU"/>
        </w:rPr>
        <w:t xml:space="preserve"> и Я. </w:t>
      </w:r>
      <w:proofErr w:type="spellStart"/>
      <w:r w:rsidRPr="00DA4464">
        <w:rPr>
          <w:rFonts w:ascii="Times New Roman" w:eastAsia="Times New Roman" w:hAnsi="Times New Roman" w:cs="Times New Roman"/>
          <w:sz w:val="28"/>
          <w:szCs w:val="28"/>
          <w:lang w:val="ru-RU"/>
        </w:rPr>
        <w:t>Моссиным</w:t>
      </w:r>
      <w:proofErr w:type="spellEnd"/>
      <w:r w:rsidRPr="00DA4464">
        <w:rPr>
          <w:rFonts w:ascii="Times New Roman" w:eastAsia="Times New Roman" w:hAnsi="Times New Roman" w:cs="Times New Roman"/>
          <w:sz w:val="28"/>
          <w:szCs w:val="28"/>
          <w:lang w:val="ru-RU"/>
        </w:rPr>
        <w:t xml:space="preserve"> на основе теории </w:t>
      </w:r>
      <w:proofErr w:type="spellStart"/>
      <w:r w:rsidRPr="00DA4464">
        <w:rPr>
          <w:rFonts w:ascii="Times New Roman" w:eastAsia="Times New Roman" w:hAnsi="Times New Roman" w:cs="Times New Roman"/>
          <w:sz w:val="28"/>
          <w:szCs w:val="28"/>
          <w:lang w:val="ru-RU"/>
        </w:rPr>
        <w:t>Марковица</w:t>
      </w:r>
      <w:proofErr w:type="spellEnd"/>
      <w:r w:rsidRPr="00DA4464">
        <w:rPr>
          <w:rFonts w:ascii="Times New Roman" w:eastAsia="Times New Roman" w:hAnsi="Times New Roman" w:cs="Times New Roman"/>
          <w:sz w:val="28"/>
          <w:szCs w:val="28"/>
          <w:lang w:val="ru-RU"/>
        </w:rPr>
        <w:t xml:space="preserve">, позволяет перейти от задачи оптимизации портфеля к задаче ценообразования отдельных активов в условиях рыночного равновесия. Согласно </w:t>
      </w:r>
      <w:r>
        <w:rPr>
          <w:rFonts w:ascii="Times New Roman" w:eastAsia="Times New Roman" w:hAnsi="Times New Roman" w:cs="Times New Roman"/>
          <w:sz w:val="28"/>
          <w:szCs w:val="28"/>
        </w:rPr>
        <w:t>CAPM</w:t>
      </w:r>
      <w:r w:rsidRPr="00DA4464">
        <w:rPr>
          <w:rFonts w:ascii="Times New Roman" w:eastAsia="Times New Roman" w:hAnsi="Times New Roman" w:cs="Times New Roman"/>
          <w:sz w:val="28"/>
          <w:szCs w:val="28"/>
          <w:lang w:val="ru-RU"/>
        </w:rPr>
        <w:t>, ожидаемая доходность любого актива определяется следующим образом</w:t>
      </w:r>
      <w:r w:rsidR="00467F49">
        <w:rPr>
          <w:rFonts w:ascii="Times New Roman" w:eastAsia="Times New Roman" w:hAnsi="Times New Roman" w:cs="Times New Roman"/>
          <w:sz w:val="28"/>
          <w:szCs w:val="28"/>
          <w:lang w:val="ru-RU"/>
        </w:rPr>
        <w:t xml:space="preserve"> (3)</w:t>
      </w:r>
      <w:r w:rsidRPr="00DA4464">
        <w:rPr>
          <w:rFonts w:ascii="Times New Roman" w:eastAsia="Times New Roman" w:hAnsi="Times New Roman" w:cs="Times New Roman"/>
          <w:sz w:val="28"/>
          <w:szCs w:val="28"/>
          <w:lang w:val="ru-RU"/>
        </w:rPr>
        <w:t>:</w:t>
      </w:r>
    </w:p>
    <w:p w14:paraId="0B771CD1" w14:textId="63E07DD1" w:rsidR="00DA4464" w:rsidRPr="00BA0E02" w:rsidRDefault="00467F49" w:rsidP="00DA4464">
      <w:pPr>
        <w:spacing w:line="360" w:lineRule="auto"/>
        <w:jc w:val="center"/>
        <w:rPr>
          <w:rFonts w:ascii="Times New Roman" w:eastAsia="Times New Roman" w:hAnsi="Times New Roman" w:cs="Times New Roman"/>
          <w:sz w:val="28"/>
          <w:szCs w:val="28"/>
          <w:lang w:val="ru-RU"/>
        </w:rPr>
      </w:pPr>
      <w:r w:rsidRPr="00BA0E02">
        <w:rPr>
          <w:rFonts w:ascii="Times New Roman" w:eastAsia="Times New Roman" w:hAnsi="Times New Roman" w:cs="Times New Roman"/>
          <w:sz w:val="28"/>
          <w:szCs w:val="28"/>
          <w:lang w:val="ru-RU"/>
        </w:rPr>
        <w:t xml:space="preserve">                                           </w:t>
      </w:r>
      <w:r w:rsidR="00DA4464" w:rsidRPr="00467F49">
        <w:rPr>
          <w:rFonts w:ascii="Times New Roman" w:eastAsia="Times New Roman" w:hAnsi="Times New Roman" w:cs="Times New Roman"/>
          <w:sz w:val="28"/>
          <w:szCs w:val="28"/>
          <w:lang w:val="en-US"/>
        </w:rPr>
        <w:t>E</w:t>
      </w:r>
      <w:r w:rsidR="00DA4464" w:rsidRPr="00BA0E02">
        <w:rPr>
          <w:rFonts w:ascii="Times New Roman" w:eastAsia="Times New Roman" w:hAnsi="Times New Roman" w:cs="Times New Roman"/>
          <w:sz w:val="28"/>
          <w:szCs w:val="28"/>
          <w:lang w:val="ru-RU"/>
        </w:rPr>
        <w:t>(</w:t>
      </w:r>
      <w:r w:rsidR="00DA4464" w:rsidRPr="00467F49">
        <w:rPr>
          <w:rFonts w:ascii="Times New Roman" w:eastAsia="Times New Roman" w:hAnsi="Times New Roman" w:cs="Times New Roman"/>
          <w:sz w:val="28"/>
          <w:szCs w:val="28"/>
          <w:lang w:val="en-US"/>
        </w:rPr>
        <w:t>Ri</w:t>
      </w:r>
      <w:r w:rsidR="00DA4464" w:rsidRPr="00BA0E02">
        <w:rPr>
          <w:rFonts w:ascii="Times New Roman" w:eastAsia="Times New Roman" w:hAnsi="Times New Roman" w:cs="Times New Roman"/>
          <w:sz w:val="28"/>
          <w:szCs w:val="28"/>
          <w:lang w:val="ru-RU"/>
        </w:rPr>
        <w:t xml:space="preserve">) = </w:t>
      </w:r>
      <w:r w:rsidR="00DA4464" w:rsidRPr="00467F49">
        <w:rPr>
          <w:rFonts w:ascii="Times New Roman" w:eastAsia="Times New Roman" w:hAnsi="Times New Roman" w:cs="Times New Roman"/>
          <w:sz w:val="28"/>
          <w:szCs w:val="28"/>
          <w:lang w:val="en-US"/>
        </w:rPr>
        <w:t>Rf</w:t>
      </w:r>
      <w:r w:rsidR="00DA4464" w:rsidRPr="00BA0E02">
        <w:rPr>
          <w:rFonts w:ascii="Times New Roman" w:eastAsia="Times New Roman" w:hAnsi="Times New Roman" w:cs="Times New Roman"/>
          <w:sz w:val="28"/>
          <w:szCs w:val="28"/>
          <w:lang w:val="ru-RU"/>
        </w:rPr>
        <w:t xml:space="preserve"> + </w:t>
      </w:r>
      <w:r w:rsidR="00DA4464" w:rsidRPr="004F3E51">
        <w:rPr>
          <w:rFonts w:ascii="Times New Roman" w:eastAsia="Times New Roman" w:hAnsi="Times New Roman" w:cs="Times New Roman"/>
          <w:sz w:val="28"/>
          <w:szCs w:val="28"/>
          <w:lang w:val="ru-RU"/>
        </w:rPr>
        <w:t>β</w:t>
      </w:r>
      <w:proofErr w:type="spellStart"/>
      <w:r w:rsidR="00DA4464" w:rsidRPr="00467F49">
        <w:rPr>
          <w:rFonts w:ascii="Times New Roman" w:eastAsia="Times New Roman" w:hAnsi="Times New Roman" w:cs="Times New Roman"/>
          <w:sz w:val="28"/>
          <w:szCs w:val="28"/>
          <w:lang w:val="en-US"/>
        </w:rPr>
        <w:t>i</w:t>
      </w:r>
      <w:proofErr w:type="spellEnd"/>
      <w:r w:rsidR="00DA4464" w:rsidRPr="00BA0E02">
        <w:rPr>
          <w:rFonts w:ascii="Times New Roman" w:eastAsia="Times New Roman" w:hAnsi="Times New Roman" w:cs="Times New Roman"/>
          <w:sz w:val="28"/>
          <w:szCs w:val="28"/>
          <w:lang w:val="ru-RU"/>
        </w:rPr>
        <w:t xml:space="preserve"> · [</w:t>
      </w:r>
      <w:r w:rsidR="00DA4464" w:rsidRPr="00467F49">
        <w:rPr>
          <w:rFonts w:ascii="Times New Roman" w:eastAsia="Times New Roman" w:hAnsi="Times New Roman" w:cs="Times New Roman"/>
          <w:sz w:val="28"/>
          <w:szCs w:val="28"/>
          <w:lang w:val="en-US"/>
        </w:rPr>
        <w:t>E</w:t>
      </w:r>
      <w:r w:rsidR="00DA4464" w:rsidRPr="00BA0E02">
        <w:rPr>
          <w:rFonts w:ascii="Times New Roman" w:eastAsia="Times New Roman" w:hAnsi="Times New Roman" w:cs="Times New Roman"/>
          <w:sz w:val="28"/>
          <w:szCs w:val="28"/>
          <w:lang w:val="ru-RU"/>
        </w:rPr>
        <w:t>(</w:t>
      </w:r>
      <w:r w:rsidR="00DA4464" w:rsidRPr="00467F49">
        <w:rPr>
          <w:rFonts w:ascii="Times New Roman" w:eastAsia="Times New Roman" w:hAnsi="Times New Roman" w:cs="Times New Roman"/>
          <w:sz w:val="28"/>
          <w:szCs w:val="28"/>
          <w:lang w:val="en-US"/>
        </w:rPr>
        <w:t>Rm</w:t>
      </w:r>
      <w:r w:rsidR="00DA4464" w:rsidRPr="00BA0E02">
        <w:rPr>
          <w:rFonts w:ascii="Times New Roman" w:eastAsia="Times New Roman" w:hAnsi="Times New Roman" w:cs="Times New Roman"/>
          <w:sz w:val="28"/>
          <w:szCs w:val="28"/>
          <w:lang w:val="ru-RU"/>
        </w:rPr>
        <w:t xml:space="preserve">) − </w:t>
      </w:r>
      <w:r w:rsidR="00DA4464" w:rsidRPr="00467F49">
        <w:rPr>
          <w:rFonts w:ascii="Times New Roman" w:eastAsia="Times New Roman" w:hAnsi="Times New Roman" w:cs="Times New Roman"/>
          <w:sz w:val="28"/>
          <w:szCs w:val="28"/>
          <w:lang w:val="en-US"/>
        </w:rPr>
        <w:t>Rf</w:t>
      </w:r>
      <w:proofErr w:type="gramStart"/>
      <w:r w:rsidR="00DA4464" w:rsidRPr="00BA0E02">
        <w:rPr>
          <w:rFonts w:ascii="Times New Roman" w:eastAsia="Times New Roman" w:hAnsi="Times New Roman" w:cs="Times New Roman"/>
          <w:sz w:val="28"/>
          <w:szCs w:val="28"/>
          <w:lang w:val="ru-RU"/>
        </w:rPr>
        <w:t>]</w:t>
      </w:r>
      <w:r w:rsidRPr="00BA0E02">
        <w:rPr>
          <w:rFonts w:ascii="Times New Roman" w:eastAsia="Times New Roman" w:hAnsi="Times New Roman" w:cs="Times New Roman"/>
          <w:sz w:val="28"/>
          <w:szCs w:val="28"/>
          <w:lang w:val="ru-RU"/>
        </w:rPr>
        <w:t xml:space="preserve">,   </w:t>
      </w:r>
      <w:proofErr w:type="gramEnd"/>
      <w:r w:rsidRPr="00BA0E02">
        <w:rPr>
          <w:rFonts w:ascii="Times New Roman" w:eastAsia="Times New Roman" w:hAnsi="Times New Roman" w:cs="Times New Roman"/>
          <w:sz w:val="28"/>
          <w:szCs w:val="28"/>
          <w:lang w:val="ru-RU"/>
        </w:rPr>
        <w:t xml:space="preserve">                             </w:t>
      </w:r>
      <w:proofErr w:type="gramStart"/>
      <w:r w:rsidRPr="00BA0E02">
        <w:rPr>
          <w:rFonts w:ascii="Times New Roman" w:eastAsia="Times New Roman" w:hAnsi="Times New Roman" w:cs="Times New Roman"/>
          <w:sz w:val="28"/>
          <w:szCs w:val="28"/>
          <w:lang w:val="ru-RU"/>
        </w:rPr>
        <w:t xml:space="preserve">   (</w:t>
      </w:r>
      <w:proofErr w:type="gramEnd"/>
      <w:r w:rsidRPr="00BA0E02">
        <w:rPr>
          <w:rFonts w:ascii="Times New Roman" w:eastAsia="Times New Roman" w:hAnsi="Times New Roman" w:cs="Times New Roman"/>
          <w:sz w:val="28"/>
          <w:szCs w:val="28"/>
          <w:lang w:val="ru-RU"/>
        </w:rPr>
        <w:t>3)</w:t>
      </w:r>
    </w:p>
    <w:p w14:paraId="6A60D687" w14:textId="4872E2C9" w:rsidR="00631EF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Rf</w:t>
      </w:r>
      <w:r w:rsidRPr="00DA4464">
        <w:rPr>
          <w:rFonts w:ascii="Times New Roman" w:eastAsia="Times New Roman" w:hAnsi="Times New Roman" w:cs="Times New Roman"/>
          <w:sz w:val="28"/>
          <w:szCs w:val="28"/>
          <w:lang w:val="ru-RU"/>
        </w:rPr>
        <w:t xml:space="preserve"> — безрисковая ставка доходности; </w:t>
      </w:r>
      <w:r>
        <w:rPr>
          <w:rFonts w:ascii="Times New Roman" w:eastAsia="Times New Roman" w:hAnsi="Times New Roman" w:cs="Times New Roman"/>
          <w:sz w:val="28"/>
          <w:szCs w:val="28"/>
        </w:rPr>
        <w:t>E</w:t>
      </w:r>
      <w:r w:rsidRPr="00DA4464">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Rm</w:t>
      </w:r>
      <w:r w:rsidRPr="00DA4464">
        <w:rPr>
          <w:rFonts w:ascii="Times New Roman" w:eastAsia="Times New Roman" w:hAnsi="Times New Roman" w:cs="Times New Roman"/>
          <w:sz w:val="28"/>
          <w:szCs w:val="28"/>
          <w:lang w:val="ru-RU"/>
        </w:rPr>
        <w:t xml:space="preserve">) — ожидаемая доходность рыночного портфеля; </w:t>
      </w:r>
      <w:r>
        <w:rPr>
          <w:rFonts w:ascii="Times New Roman" w:eastAsia="Times New Roman" w:hAnsi="Times New Roman" w:cs="Times New Roman"/>
          <w:sz w:val="28"/>
          <w:szCs w:val="28"/>
        </w:rPr>
        <w:t>β</w:t>
      </w:r>
      <w:proofErr w:type="spellStart"/>
      <w:r>
        <w:rPr>
          <w:rFonts w:ascii="Times New Roman" w:eastAsia="Times New Roman" w:hAnsi="Times New Roman" w:cs="Times New Roman"/>
          <w:sz w:val="28"/>
          <w:szCs w:val="28"/>
        </w:rPr>
        <w:t>i</w:t>
      </w:r>
      <w:proofErr w:type="spellEnd"/>
      <w:r w:rsidRPr="00DA4464">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rPr>
        <w:t>Cov</w:t>
      </w:r>
      <w:r w:rsidRPr="00DA4464">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Ri</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Rm</w:t>
      </w:r>
      <w:r w:rsidRPr="00DA4464">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rPr>
        <w:t>Var</w:t>
      </w:r>
      <w:r w:rsidRPr="00DA4464">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Rm</w:t>
      </w:r>
      <w:r w:rsidRPr="00DA4464">
        <w:rPr>
          <w:rFonts w:ascii="Times New Roman" w:eastAsia="Times New Roman" w:hAnsi="Times New Roman" w:cs="Times New Roman"/>
          <w:sz w:val="28"/>
          <w:szCs w:val="28"/>
          <w:lang w:val="ru-RU"/>
        </w:rPr>
        <w:t xml:space="preserve">) — бета-коэффициент актива, измеряющий его систематический риск. Важнейшим следствием модели является разделение совокупного риска на </w:t>
      </w:r>
      <w:r w:rsidRPr="00DA4464">
        <w:rPr>
          <w:rFonts w:ascii="Times New Roman" w:eastAsia="Times New Roman" w:hAnsi="Times New Roman" w:cs="Times New Roman"/>
          <w:sz w:val="28"/>
          <w:szCs w:val="28"/>
          <w:lang w:val="ru-RU"/>
        </w:rPr>
        <w:lastRenderedPageBreak/>
        <w:t xml:space="preserve">систематический (рыночный, неустранимый диверсификацией) и несистематический (специфический для эмитента, устраняемый диверсификацией). </w:t>
      </w:r>
      <w:r>
        <w:rPr>
          <w:rFonts w:ascii="Times New Roman" w:eastAsia="Times New Roman" w:hAnsi="Times New Roman" w:cs="Times New Roman"/>
          <w:sz w:val="28"/>
          <w:szCs w:val="28"/>
        </w:rPr>
        <w:t>CAPM</w:t>
      </w:r>
      <w:r w:rsidRPr="00DA4464">
        <w:rPr>
          <w:rFonts w:ascii="Times New Roman" w:eastAsia="Times New Roman" w:hAnsi="Times New Roman" w:cs="Times New Roman"/>
          <w:sz w:val="28"/>
          <w:szCs w:val="28"/>
          <w:lang w:val="ru-RU"/>
        </w:rPr>
        <w:t xml:space="preserve"> утверждает, что рынок компенсирует инвестора лишь за принятие систематического риска, что оказало принципиальное влияние на практику управления активами и оценки эффективности портфелей [35].</w:t>
      </w:r>
    </w:p>
    <w:p w14:paraId="2012D761" w14:textId="77777777" w:rsidR="00FF3E0E" w:rsidRPr="00631EF4" w:rsidRDefault="00FF3E0E" w:rsidP="00FF3E0E">
      <w:pPr>
        <w:spacing w:line="360" w:lineRule="auto"/>
        <w:ind w:firstLine="709"/>
        <w:jc w:val="both"/>
        <w:rPr>
          <w:rFonts w:ascii="Times New Roman" w:hAnsi="Times New Roman" w:cs="Times New Roman"/>
          <w:sz w:val="28"/>
          <w:szCs w:val="28"/>
          <w:lang w:val="ru-RU"/>
        </w:rPr>
      </w:pPr>
    </w:p>
    <w:p w14:paraId="0DDD7204" w14:textId="77777777" w:rsidR="00631EF4" w:rsidRPr="00FF3E0E" w:rsidRDefault="00631EF4" w:rsidP="00BA0E02">
      <w:pPr>
        <w:pStyle w:val="2"/>
        <w:rPr>
          <w:lang w:val="ru-RU"/>
        </w:rPr>
      </w:pPr>
      <w:bookmarkStart w:id="5" w:name="_Toc232337639"/>
      <w:r w:rsidRPr="00FF3E0E">
        <w:rPr>
          <w:lang w:val="ru-RU"/>
        </w:rPr>
        <w:t>1.4. Методы определения инвестиционной привлекательности предприятия</w:t>
      </w:r>
      <w:bookmarkEnd w:id="5"/>
    </w:p>
    <w:p w14:paraId="036BCBC3" w14:textId="77777777" w:rsidR="00FF3E0E" w:rsidRPr="00631EF4" w:rsidRDefault="00FF3E0E" w:rsidP="00FF3E0E">
      <w:pPr>
        <w:spacing w:line="360" w:lineRule="auto"/>
        <w:ind w:firstLine="709"/>
        <w:jc w:val="both"/>
        <w:rPr>
          <w:rFonts w:ascii="Times New Roman" w:hAnsi="Times New Roman" w:cs="Times New Roman"/>
          <w:sz w:val="28"/>
          <w:szCs w:val="28"/>
          <w:lang w:val="ru-RU"/>
        </w:rPr>
      </w:pPr>
    </w:p>
    <w:p w14:paraId="3BABB358"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Для формирования обоснованного представления об инвестиционной привлекательности предприятия традиционно используется инструментарий фундаментального и финансового анализа [22, с. 54]. Такой анализ базируется на систематическом изучении финансовой отчетности эмитента, интерпретации ее статей с учетом учетной политики и отраслевой специфики, а также на сопоставлении результатов с альтернативными источниками информации (например, данными о рынках сбыта, инвестиционных программах и долговом профиле) [16, с. 12]. В рамках фундаментальной оценки обычно применяются коэффициентный анализ, расчет отдельных метрик, востребованных в портфельной практике, а также модели прогнозирования вероятности банкротства и финансовой несостоятельности [24, с. 218].</w:t>
      </w:r>
    </w:p>
    <w:p w14:paraId="450BF90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Коэффициентный анализ представляет собой метод исследования, основанный на расчете относительных показателей как соотношений между абсолютными величинами отчетности. Для инвестора наибольший </w:t>
      </w:r>
      <w:r w:rsidRPr="00AF1EBB">
        <w:rPr>
          <w:rFonts w:ascii="Times New Roman" w:eastAsia="Times New Roman" w:hAnsi="Times New Roman" w:cs="Times New Roman"/>
          <w:sz w:val="28"/>
          <w:szCs w:val="28"/>
          <w:lang w:val="ru-RU"/>
        </w:rPr>
        <w:lastRenderedPageBreak/>
        <w:t>практический интерес традиционно представляют четыре группы коэффициентов:</w:t>
      </w:r>
    </w:p>
    <w:p w14:paraId="775E6FDD"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Показатели ликвидности. Они характеризуют способность компании своевременно исполнять краткосрочные обязательства и отражают, насколько быстро активы могут быть трансформированы в денежные средства без существенной потери стоимости. Коэффициенты текущей, быстрой и абсолютной ликвидности позволяют оценить уязвимость предприятия к кассовым разрывам, зависимость от оборотного капитала и риск технического дефолта на ближайшем горизонте [15, с. 215].</w:t>
      </w:r>
    </w:p>
    <w:p w14:paraId="7CF6730F"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Показатели финансовой устойчивости. Эта группа описывает структуру капитала и степень зависимости компании от внешних источников финансирования в долгосрочном горизонте. Коэффициент автономии и показатели финансового левериджа отражают соотношение собственного и заемного капитала и позволяют оценить степень финансового риска, связанную с обслуживанием долга [21, с. 140].</w:t>
      </w:r>
    </w:p>
    <w:p w14:paraId="15A8F75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Показатели деловой активности. Эти коэффициенты измеряют эффективность использования ресурсов через скорость оборота активов и обязательств, а также через качество управления оборотным капиталом. Показатели оборачиваемости активов, запасов, дебиторской и кредиторской задолженности позволяют судить о том, как быстро вложенный капитал возвращается в денежной форме [16, с. 56].</w:t>
      </w:r>
    </w:p>
    <w:p w14:paraId="0E26A0CD"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Показатели рентабельности. Рентабельность отражает способность бизнеса генерировать прибыль и относится к ключевым характеристикам экономической эффективности. Для портфельного инвестора особенно информативны показатели рентабельности активов (</w:t>
      </w:r>
      <w:r>
        <w:rPr>
          <w:rFonts w:ascii="Times New Roman" w:eastAsia="Times New Roman" w:hAnsi="Times New Roman" w:cs="Times New Roman"/>
          <w:sz w:val="28"/>
          <w:szCs w:val="28"/>
        </w:rPr>
        <w:t>ROA</w:t>
      </w:r>
      <w:r w:rsidRPr="00AF1EBB">
        <w:rPr>
          <w:rFonts w:ascii="Times New Roman" w:eastAsia="Times New Roman" w:hAnsi="Times New Roman" w:cs="Times New Roman"/>
          <w:sz w:val="28"/>
          <w:szCs w:val="28"/>
          <w:lang w:val="ru-RU"/>
        </w:rPr>
        <w:t>), собственного капитала (</w:t>
      </w: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и продаж (</w:t>
      </w:r>
      <w:r>
        <w:rPr>
          <w:rFonts w:ascii="Times New Roman" w:eastAsia="Times New Roman" w:hAnsi="Times New Roman" w:cs="Times New Roman"/>
          <w:sz w:val="28"/>
          <w:szCs w:val="28"/>
        </w:rPr>
        <w:t>ROS</w:t>
      </w:r>
      <w:r w:rsidRPr="00AF1EBB">
        <w:rPr>
          <w:rFonts w:ascii="Times New Roman" w:eastAsia="Times New Roman" w:hAnsi="Times New Roman" w:cs="Times New Roman"/>
          <w:sz w:val="28"/>
          <w:szCs w:val="28"/>
          <w:lang w:val="ru-RU"/>
        </w:rPr>
        <w:t>) [13, с. 115].</w:t>
      </w:r>
    </w:p>
    <w:p w14:paraId="7AF38F2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 xml:space="preserve">Существенным элементом оценки выступает диагностика риска финансовой несостоятельности. Для прогнозирования банкротства применяются подходы многомерного дискриминантного анализа, позволяющие агрегировать несколько финансовых индикаторов в единую оценку риска. К классическим инструментам относится </w:t>
      </w: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-счет Э. Альтмана [43], основанный на комбинированном учете показателей ликвидности, рентабельности и структуры капитала. В прикладных исследованиях также используется модель Р. </w:t>
      </w:r>
      <w:proofErr w:type="spellStart"/>
      <w:r w:rsidRPr="00AF1EBB">
        <w:rPr>
          <w:rFonts w:ascii="Times New Roman" w:eastAsia="Times New Roman" w:hAnsi="Times New Roman" w:cs="Times New Roman"/>
          <w:sz w:val="28"/>
          <w:szCs w:val="28"/>
          <w:lang w:val="ru-RU"/>
        </w:rPr>
        <w:t>Таффлера</w:t>
      </w:r>
      <w:proofErr w:type="spellEnd"/>
      <w:r w:rsidRPr="00AF1EBB">
        <w:rPr>
          <w:rFonts w:ascii="Times New Roman" w:eastAsia="Times New Roman" w:hAnsi="Times New Roman" w:cs="Times New Roman"/>
          <w:sz w:val="28"/>
          <w:szCs w:val="28"/>
          <w:lang w:val="ru-RU"/>
        </w:rPr>
        <w:t>, представляющая собой линейную регрессионную конструкцию, оценивающую финансовое состояние по набору коэффициентов.</w:t>
      </w:r>
    </w:p>
    <w:p w14:paraId="6CC85563"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Наряду с фундаментальным анализом эмитентов значимую роль сохраняют методики оценки эффективности и качества инвестиционного портфеля как целостной системы. Их совокупность можно структурировать по двум группам: абсолютные показатели доходности и риска, а также риск-скорректированные коэффициенты эффективности управления.</w:t>
      </w:r>
    </w:p>
    <w:p w14:paraId="5C809F0A" w14:textId="0BC7F150"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Абсолютные показатели доходности и риска. Ожидаемая доходность портфеля рассчитывается как средневзвешенная величина ожидаемых доходностей составляющих его активов по формуле (10). Совокупный риск портфеля </w:t>
      </w:r>
      <w:proofErr w:type="spellStart"/>
      <w:r w:rsidRPr="00AF1EBB">
        <w:rPr>
          <w:rFonts w:ascii="Times New Roman" w:eastAsia="Times New Roman" w:hAnsi="Times New Roman" w:cs="Times New Roman"/>
          <w:sz w:val="28"/>
          <w:szCs w:val="28"/>
          <w:lang w:val="ru-RU"/>
        </w:rPr>
        <w:t>квантифицируется</w:t>
      </w:r>
      <w:proofErr w:type="spellEnd"/>
      <w:r w:rsidRPr="00AF1EBB">
        <w:rPr>
          <w:rFonts w:ascii="Times New Roman" w:eastAsia="Times New Roman" w:hAnsi="Times New Roman" w:cs="Times New Roman"/>
          <w:sz w:val="28"/>
          <w:szCs w:val="28"/>
          <w:lang w:val="ru-RU"/>
        </w:rPr>
        <w:t xml:space="preserve"> через стандартное отклонение (</w:t>
      </w:r>
      <w:proofErr w:type="spellStart"/>
      <w:r>
        <w:rPr>
          <w:rFonts w:ascii="Times New Roman" w:eastAsia="Times New Roman" w:hAnsi="Times New Roman" w:cs="Times New Roman"/>
          <w:sz w:val="28"/>
          <w:szCs w:val="28"/>
        </w:rPr>
        <w:t>σp</w:t>
      </w:r>
      <w:proofErr w:type="spellEnd"/>
      <w:r w:rsidRPr="00AF1EBB">
        <w:rPr>
          <w:rFonts w:ascii="Times New Roman" w:eastAsia="Times New Roman" w:hAnsi="Times New Roman" w:cs="Times New Roman"/>
          <w:sz w:val="28"/>
          <w:szCs w:val="28"/>
          <w:lang w:val="ru-RU"/>
        </w:rPr>
        <w:t>) — квадратный корень из дисперсии по формуле (11). Дополнительной мерой риска служит максимальная просадка (</w:t>
      </w:r>
      <w:r>
        <w:rPr>
          <w:rFonts w:ascii="Times New Roman" w:eastAsia="Times New Roman" w:hAnsi="Times New Roman" w:cs="Times New Roman"/>
          <w:sz w:val="28"/>
          <w:szCs w:val="28"/>
        </w:rPr>
        <w:t>Maximum</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Drawdown</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MDD</w:t>
      </w:r>
      <w:r w:rsidRPr="00AF1EBB">
        <w:rPr>
          <w:rFonts w:ascii="Times New Roman" w:eastAsia="Times New Roman" w:hAnsi="Times New Roman" w:cs="Times New Roman"/>
          <w:sz w:val="28"/>
          <w:szCs w:val="28"/>
          <w:lang w:val="ru-RU"/>
        </w:rPr>
        <w:t>) — наибольшее относительное снижение стоимости портфеля от исторического пика до последующего минимума</w:t>
      </w:r>
      <w:r w:rsidR="00CD00E9">
        <w:rPr>
          <w:rFonts w:ascii="Times New Roman" w:eastAsia="Times New Roman" w:hAnsi="Times New Roman" w:cs="Times New Roman"/>
          <w:sz w:val="28"/>
          <w:szCs w:val="28"/>
          <w:lang w:val="ru-RU"/>
        </w:rPr>
        <w:t xml:space="preserve"> (4)</w:t>
      </w:r>
      <w:r w:rsidRPr="00AF1EBB">
        <w:rPr>
          <w:rFonts w:ascii="Times New Roman" w:eastAsia="Times New Roman" w:hAnsi="Times New Roman" w:cs="Times New Roman"/>
          <w:sz w:val="28"/>
          <w:szCs w:val="28"/>
          <w:lang w:val="ru-RU"/>
        </w:rPr>
        <w:t>:</w:t>
      </w:r>
    </w:p>
    <w:p w14:paraId="4D622803" w14:textId="06CD486C" w:rsidR="00AF1EBB" w:rsidRPr="00467F49"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467F49">
        <w:rPr>
          <w:rFonts w:ascii="Times New Roman" w:eastAsia="Times New Roman" w:hAnsi="Times New Roman" w:cs="Times New Roman"/>
          <w:sz w:val="28"/>
          <w:szCs w:val="28"/>
          <w:lang w:val="ru-RU"/>
        </w:rPr>
        <w:t>MDD = (</w:t>
      </w:r>
      <w:proofErr w:type="spellStart"/>
      <w:r w:rsidR="00AF1EBB" w:rsidRPr="00467F49">
        <w:rPr>
          <w:rFonts w:ascii="Times New Roman" w:eastAsia="Times New Roman" w:hAnsi="Times New Roman" w:cs="Times New Roman"/>
          <w:sz w:val="28"/>
          <w:szCs w:val="28"/>
          <w:lang w:val="ru-RU"/>
        </w:rPr>
        <w:t>Vpeak</w:t>
      </w:r>
      <w:proofErr w:type="spellEnd"/>
      <w:r w:rsidR="00AF1EBB" w:rsidRPr="00467F49">
        <w:rPr>
          <w:rFonts w:ascii="Times New Roman" w:eastAsia="Times New Roman" w:hAnsi="Times New Roman" w:cs="Times New Roman"/>
          <w:sz w:val="28"/>
          <w:szCs w:val="28"/>
          <w:lang w:val="ru-RU"/>
        </w:rPr>
        <w:t xml:space="preserve"> − </w:t>
      </w:r>
      <w:proofErr w:type="spellStart"/>
      <w:r w:rsidR="00AF1EBB" w:rsidRPr="00467F49">
        <w:rPr>
          <w:rFonts w:ascii="Times New Roman" w:eastAsia="Times New Roman" w:hAnsi="Times New Roman" w:cs="Times New Roman"/>
          <w:sz w:val="28"/>
          <w:szCs w:val="28"/>
          <w:lang w:val="ru-RU"/>
        </w:rPr>
        <w:t>Vtrough</w:t>
      </w:r>
      <w:proofErr w:type="spellEnd"/>
      <w:r w:rsidR="00AF1EBB" w:rsidRPr="00467F49">
        <w:rPr>
          <w:rFonts w:ascii="Times New Roman" w:eastAsia="Times New Roman" w:hAnsi="Times New Roman" w:cs="Times New Roman"/>
          <w:sz w:val="28"/>
          <w:szCs w:val="28"/>
          <w:lang w:val="ru-RU"/>
        </w:rPr>
        <w:t xml:space="preserve">) / </w:t>
      </w:r>
      <w:proofErr w:type="spellStart"/>
      <w:proofErr w:type="gramStart"/>
      <w:r w:rsidR="00AF1EBB" w:rsidRPr="00467F49">
        <w:rPr>
          <w:rFonts w:ascii="Times New Roman" w:eastAsia="Times New Roman" w:hAnsi="Times New Roman" w:cs="Times New Roman"/>
          <w:sz w:val="28"/>
          <w:szCs w:val="28"/>
          <w:lang w:val="ru-RU"/>
        </w:rPr>
        <w:t>Vpeak</w:t>
      </w:r>
      <w:proofErr w:type="spellEnd"/>
      <w:r w:rsidR="00AF1EBB" w:rsidRPr="00467F4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r w:rsidR="00AF1EBB" w:rsidRPr="00467F49">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4</w:t>
      </w:r>
      <w:r w:rsidR="00AF1EBB" w:rsidRPr="00467F49">
        <w:rPr>
          <w:rFonts w:ascii="Times New Roman" w:eastAsia="Times New Roman" w:hAnsi="Times New Roman" w:cs="Times New Roman"/>
          <w:sz w:val="28"/>
          <w:szCs w:val="28"/>
          <w:lang w:val="ru-RU"/>
        </w:rPr>
        <w:t>)</w:t>
      </w:r>
    </w:p>
    <w:p w14:paraId="49A5CBB6" w14:textId="4D6255DB"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Vpeak</w:t>
      </w:r>
      <w:proofErr w:type="spellEnd"/>
      <w:r w:rsidRPr="00AF1EBB">
        <w:rPr>
          <w:rFonts w:ascii="Times New Roman" w:eastAsia="Times New Roman" w:hAnsi="Times New Roman" w:cs="Times New Roman"/>
          <w:sz w:val="28"/>
          <w:szCs w:val="28"/>
          <w:lang w:val="ru-RU"/>
        </w:rPr>
        <w:t xml:space="preserve"> — максимальная стоимость портфеля за наблюдаемый период, </w:t>
      </w:r>
      <w:proofErr w:type="spellStart"/>
      <w:r>
        <w:rPr>
          <w:rFonts w:ascii="Times New Roman" w:eastAsia="Times New Roman" w:hAnsi="Times New Roman" w:cs="Times New Roman"/>
          <w:sz w:val="28"/>
          <w:szCs w:val="28"/>
        </w:rPr>
        <w:t>Vtrough</w:t>
      </w:r>
      <w:proofErr w:type="spellEnd"/>
      <w:r w:rsidRPr="00AF1EBB">
        <w:rPr>
          <w:rFonts w:ascii="Times New Roman" w:eastAsia="Times New Roman" w:hAnsi="Times New Roman" w:cs="Times New Roman"/>
          <w:sz w:val="28"/>
          <w:szCs w:val="28"/>
          <w:lang w:val="ru-RU"/>
        </w:rPr>
        <w:t xml:space="preserve"> — минимальная стоимость, достигнутая после данного пика. </w:t>
      </w:r>
      <w:r w:rsidRPr="00AF1EBB">
        <w:rPr>
          <w:rFonts w:ascii="Times New Roman" w:eastAsia="Times New Roman" w:hAnsi="Times New Roman" w:cs="Times New Roman"/>
          <w:sz w:val="28"/>
          <w:szCs w:val="28"/>
          <w:lang w:val="ru-RU"/>
        </w:rPr>
        <w:lastRenderedPageBreak/>
        <w:t>Ошибка слежения (</w:t>
      </w:r>
      <w:r>
        <w:rPr>
          <w:rFonts w:ascii="Times New Roman" w:eastAsia="Times New Roman" w:hAnsi="Times New Roman" w:cs="Times New Roman"/>
          <w:sz w:val="28"/>
          <w:szCs w:val="28"/>
        </w:rPr>
        <w:t>Tracking</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Error</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TE</w:t>
      </w:r>
      <w:r w:rsidRPr="00AF1EBB">
        <w:rPr>
          <w:rFonts w:ascii="Times New Roman" w:eastAsia="Times New Roman" w:hAnsi="Times New Roman" w:cs="Times New Roman"/>
          <w:sz w:val="28"/>
          <w:szCs w:val="28"/>
          <w:lang w:val="ru-RU"/>
        </w:rPr>
        <w:t>) измеряет степень отклонения динамики портфеля от базового индекса</w:t>
      </w:r>
      <w:r w:rsidR="00CD00E9">
        <w:rPr>
          <w:rFonts w:ascii="Times New Roman" w:eastAsia="Times New Roman" w:hAnsi="Times New Roman" w:cs="Times New Roman"/>
          <w:sz w:val="28"/>
          <w:szCs w:val="28"/>
          <w:lang w:val="ru-RU"/>
        </w:rPr>
        <w:t xml:space="preserve"> (5)</w:t>
      </w:r>
      <w:r w:rsidRPr="00AF1EBB">
        <w:rPr>
          <w:rFonts w:ascii="Times New Roman" w:eastAsia="Times New Roman" w:hAnsi="Times New Roman" w:cs="Times New Roman"/>
          <w:sz w:val="28"/>
          <w:szCs w:val="28"/>
          <w:lang w:val="ru-RU"/>
        </w:rPr>
        <w:t>:</w:t>
      </w:r>
    </w:p>
    <w:p w14:paraId="7884F009" w14:textId="7CF94E1E" w:rsidR="00AF1EBB" w:rsidRPr="00CD00E9"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 xml:space="preserve">TE = </w:t>
      </w:r>
      <w:proofErr w:type="gramStart"/>
      <w:r w:rsidR="00AF1EBB" w:rsidRPr="00CD00E9">
        <w:rPr>
          <w:rFonts w:ascii="Times New Roman" w:eastAsia="Times New Roman" w:hAnsi="Times New Roman" w:cs="Times New Roman"/>
          <w:sz w:val="28"/>
          <w:szCs w:val="28"/>
          <w:lang w:val="ru-RU"/>
        </w:rPr>
        <w:t>σ(</w:t>
      </w:r>
      <w:proofErr w:type="spellStart"/>
      <w:proofErr w:type="gramEnd"/>
      <w:r w:rsidR="00AF1EBB" w:rsidRPr="00CD00E9">
        <w:rPr>
          <w:rFonts w:ascii="Times New Roman" w:eastAsia="Times New Roman" w:hAnsi="Times New Roman" w:cs="Times New Roman"/>
          <w:sz w:val="28"/>
          <w:szCs w:val="28"/>
          <w:lang w:val="ru-RU"/>
        </w:rPr>
        <w:t>rp</w:t>
      </w:r>
      <w:proofErr w:type="spellEnd"/>
      <w:r w:rsidR="00AF1EBB" w:rsidRPr="00CD00E9">
        <w:rPr>
          <w:rFonts w:ascii="Times New Roman" w:eastAsia="Times New Roman" w:hAnsi="Times New Roman" w:cs="Times New Roman"/>
          <w:sz w:val="28"/>
          <w:szCs w:val="28"/>
          <w:lang w:val="ru-RU"/>
        </w:rPr>
        <w:t xml:space="preserve"> − </w:t>
      </w:r>
      <w:proofErr w:type="spellStart"/>
      <w:r w:rsidR="00AF1EBB" w:rsidRPr="00CD00E9">
        <w:rPr>
          <w:rFonts w:ascii="Times New Roman" w:eastAsia="Times New Roman" w:hAnsi="Times New Roman" w:cs="Times New Roman"/>
          <w:sz w:val="28"/>
          <w:szCs w:val="28"/>
          <w:lang w:val="ru-RU"/>
        </w:rPr>
        <w:t>rm</w:t>
      </w:r>
      <w:proofErr w:type="spellEnd"/>
      <w:proofErr w:type="gramStart"/>
      <w:r w:rsidR="00AF1EBB" w:rsidRPr="00CD00E9">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5</w:t>
      </w:r>
      <w:r w:rsidR="00AF1EBB" w:rsidRPr="00CD00E9">
        <w:rPr>
          <w:rFonts w:ascii="Times New Roman" w:eastAsia="Times New Roman" w:hAnsi="Times New Roman" w:cs="Times New Roman"/>
          <w:sz w:val="28"/>
          <w:szCs w:val="28"/>
          <w:lang w:val="ru-RU"/>
        </w:rPr>
        <w:t>)</w:t>
      </w:r>
    </w:p>
    <w:p w14:paraId="1EF99131"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Методологической основой риск-скорректированных показателей выступает модель </w:t>
      </w:r>
      <w:r>
        <w:rPr>
          <w:rFonts w:ascii="Times New Roman" w:eastAsia="Times New Roman" w:hAnsi="Times New Roman" w:cs="Times New Roman"/>
          <w:sz w:val="28"/>
          <w:szCs w:val="28"/>
        </w:rPr>
        <w:t>CAPM</w:t>
      </w:r>
      <w:r w:rsidRPr="00AF1EBB">
        <w:rPr>
          <w:rFonts w:ascii="Times New Roman" w:eastAsia="Times New Roman" w:hAnsi="Times New Roman" w:cs="Times New Roman"/>
          <w:sz w:val="28"/>
          <w:szCs w:val="28"/>
          <w:lang w:val="ru-RU"/>
        </w:rPr>
        <w:t>, разделяющая риск на систематический и несистематический. В классическом изложении используются следующие показатели [25, с. 156—158]:</w:t>
      </w:r>
    </w:p>
    <w:p w14:paraId="6743CB75" w14:textId="75D28FE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Коэффициент Шарпа (</w:t>
      </w:r>
      <w:r>
        <w:rPr>
          <w:rFonts w:ascii="Times New Roman" w:eastAsia="Times New Roman" w:hAnsi="Times New Roman" w:cs="Times New Roman"/>
          <w:sz w:val="28"/>
          <w:szCs w:val="28"/>
        </w:rPr>
        <w:t>Sharpe</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sidRPr="00AF1EBB">
        <w:rPr>
          <w:rFonts w:ascii="Times New Roman" w:eastAsia="Times New Roman" w:hAnsi="Times New Roman" w:cs="Times New Roman"/>
          <w:sz w:val="28"/>
          <w:szCs w:val="28"/>
          <w:lang w:val="ru-RU"/>
        </w:rPr>
        <w:t>) измеряет избыточную доходность портфеля на единицу совокупного риска</w:t>
      </w:r>
      <w:r w:rsidR="00CD00E9">
        <w:rPr>
          <w:rFonts w:ascii="Times New Roman" w:eastAsia="Times New Roman" w:hAnsi="Times New Roman" w:cs="Times New Roman"/>
          <w:sz w:val="28"/>
          <w:szCs w:val="28"/>
          <w:lang w:val="ru-RU"/>
        </w:rPr>
        <w:t xml:space="preserve"> (6)</w:t>
      </w:r>
      <w:r w:rsidRPr="00AF1EBB">
        <w:rPr>
          <w:rFonts w:ascii="Times New Roman" w:eastAsia="Times New Roman" w:hAnsi="Times New Roman" w:cs="Times New Roman"/>
          <w:sz w:val="28"/>
          <w:szCs w:val="28"/>
          <w:lang w:val="ru-RU"/>
        </w:rPr>
        <w:t>:</w:t>
      </w:r>
    </w:p>
    <w:p w14:paraId="2EE12C5C" w14:textId="52E3E94A" w:rsidR="00AF1EBB" w:rsidRPr="00BA0E02"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rPr>
        <w:t>K</w:t>
      </w:r>
      <w:r w:rsidR="00BA0E02" w:rsidRPr="00BA0E02">
        <w:rPr>
          <w:rFonts w:ascii="Times New Roman" w:eastAsia="Times New Roman" w:hAnsi="Times New Roman" w:cs="Times New Roman"/>
          <w:sz w:val="28"/>
          <w:szCs w:val="28"/>
          <w:lang w:val="ru-RU"/>
        </w:rPr>
        <w:t xml:space="preserve"> </w:t>
      </w:r>
      <w:r w:rsidR="00BA0E02">
        <w:rPr>
          <w:rFonts w:ascii="Times New Roman" w:eastAsia="Times New Roman" w:hAnsi="Times New Roman" w:cs="Times New Roman"/>
          <w:sz w:val="28"/>
          <w:szCs w:val="28"/>
          <w:lang w:val="ru-RU"/>
        </w:rPr>
        <w:t>Ша</w:t>
      </w:r>
      <w:r w:rsidR="00AF1EBB" w:rsidRPr="00BA0E02">
        <w:rPr>
          <w:rFonts w:ascii="Times New Roman" w:eastAsia="Times New Roman" w:hAnsi="Times New Roman" w:cs="Times New Roman"/>
          <w:sz w:val="28"/>
          <w:szCs w:val="28"/>
          <w:lang w:val="ru-RU"/>
        </w:rPr>
        <w:t>рпа = (</w:t>
      </w:r>
      <w:proofErr w:type="spellStart"/>
      <w:r w:rsidR="00AF1EBB" w:rsidRPr="00CD00E9">
        <w:rPr>
          <w:rFonts w:ascii="Times New Roman" w:eastAsia="Times New Roman" w:hAnsi="Times New Roman" w:cs="Times New Roman"/>
          <w:sz w:val="28"/>
          <w:szCs w:val="28"/>
        </w:rPr>
        <w:t>rp</w:t>
      </w:r>
      <w:proofErr w:type="spellEnd"/>
      <w:r w:rsidR="00AF1EBB" w:rsidRPr="00BA0E02">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rf</w:t>
      </w:r>
      <w:r w:rsidR="00AF1EBB" w:rsidRPr="00BA0E02">
        <w:rPr>
          <w:rFonts w:ascii="Times New Roman" w:eastAsia="Times New Roman" w:hAnsi="Times New Roman" w:cs="Times New Roman"/>
          <w:sz w:val="28"/>
          <w:szCs w:val="28"/>
          <w:lang w:val="ru-RU"/>
        </w:rPr>
        <w:t xml:space="preserve">) / </w:t>
      </w:r>
      <w:proofErr w:type="spellStart"/>
      <w:r w:rsidR="00AF1EBB" w:rsidRPr="00CD00E9">
        <w:rPr>
          <w:rFonts w:ascii="Times New Roman" w:eastAsia="Times New Roman" w:hAnsi="Times New Roman" w:cs="Times New Roman"/>
          <w:sz w:val="28"/>
          <w:szCs w:val="28"/>
        </w:rPr>
        <w:t>σ</w:t>
      </w:r>
      <w:proofErr w:type="gramStart"/>
      <w:r w:rsidR="00AF1EBB" w:rsidRPr="00CD00E9">
        <w:rPr>
          <w:rFonts w:ascii="Times New Roman" w:eastAsia="Times New Roman" w:hAnsi="Times New Roman" w:cs="Times New Roman"/>
          <w:sz w:val="28"/>
          <w:szCs w:val="28"/>
        </w:rPr>
        <w:t>p</w:t>
      </w:r>
      <w:proofErr w:type="spellEnd"/>
      <w:r w:rsidR="00AF1EBB" w:rsidRPr="00BA0E02">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6</w:t>
      </w:r>
      <w:r w:rsidR="00AF1EBB" w:rsidRPr="00BA0E02">
        <w:rPr>
          <w:rFonts w:ascii="Times New Roman" w:eastAsia="Times New Roman" w:hAnsi="Times New Roman" w:cs="Times New Roman"/>
          <w:sz w:val="28"/>
          <w:szCs w:val="28"/>
          <w:lang w:val="ru-RU"/>
        </w:rPr>
        <w:t>)</w:t>
      </w:r>
    </w:p>
    <w:p w14:paraId="0F6F8BA2"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rp</w:t>
      </w:r>
      <w:proofErr w:type="spellEnd"/>
      <w:r w:rsidRPr="00AF1EBB">
        <w:rPr>
          <w:rFonts w:ascii="Times New Roman" w:eastAsia="Times New Roman" w:hAnsi="Times New Roman" w:cs="Times New Roman"/>
          <w:sz w:val="28"/>
          <w:szCs w:val="28"/>
          <w:lang w:val="ru-RU"/>
        </w:rPr>
        <w:t xml:space="preserve"> — средняя доходность портфеля; </w:t>
      </w:r>
      <w:r>
        <w:rPr>
          <w:rFonts w:ascii="Times New Roman" w:eastAsia="Times New Roman" w:hAnsi="Times New Roman" w:cs="Times New Roman"/>
          <w:sz w:val="28"/>
          <w:szCs w:val="28"/>
        </w:rPr>
        <w:t>rf</w:t>
      </w:r>
      <w:r w:rsidRPr="00AF1EBB">
        <w:rPr>
          <w:rFonts w:ascii="Times New Roman" w:eastAsia="Times New Roman" w:hAnsi="Times New Roman" w:cs="Times New Roman"/>
          <w:sz w:val="28"/>
          <w:szCs w:val="28"/>
          <w:lang w:val="ru-RU"/>
        </w:rPr>
        <w:t xml:space="preserve"> — доходность безрискового актива; </w:t>
      </w:r>
      <w:proofErr w:type="spellStart"/>
      <w:r>
        <w:rPr>
          <w:rFonts w:ascii="Times New Roman" w:eastAsia="Times New Roman" w:hAnsi="Times New Roman" w:cs="Times New Roman"/>
          <w:sz w:val="28"/>
          <w:szCs w:val="28"/>
        </w:rPr>
        <w:t>σp</w:t>
      </w:r>
      <w:proofErr w:type="spellEnd"/>
      <w:r w:rsidRPr="00AF1EBB">
        <w:rPr>
          <w:rFonts w:ascii="Times New Roman" w:eastAsia="Times New Roman" w:hAnsi="Times New Roman" w:cs="Times New Roman"/>
          <w:sz w:val="28"/>
          <w:szCs w:val="28"/>
          <w:lang w:val="ru-RU"/>
        </w:rPr>
        <w:t xml:space="preserve"> — стандартное отклонение доходностей портфеля. Значения, превышающие единицу, в типовой трактовке могут рассматриваться как признак сравнительно высокой эффективности управления при выбранных допущениях.</w:t>
      </w:r>
    </w:p>
    <w:p w14:paraId="454C80E5" w14:textId="158BD1F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Коэффициент </w:t>
      </w:r>
      <w:proofErr w:type="spellStart"/>
      <w:r w:rsidRPr="00AF1EBB">
        <w:rPr>
          <w:rFonts w:ascii="Times New Roman" w:eastAsia="Times New Roman" w:hAnsi="Times New Roman" w:cs="Times New Roman"/>
          <w:sz w:val="28"/>
          <w:szCs w:val="28"/>
          <w:lang w:val="ru-RU"/>
        </w:rPr>
        <w:t>Сортино</w:t>
      </w:r>
      <w:proofErr w:type="spellEnd"/>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Sortino</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sidRPr="00AF1EBB">
        <w:rPr>
          <w:rFonts w:ascii="Times New Roman" w:eastAsia="Times New Roman" w:hAnsi="Times New Roman" w:cs="Times New Roman"/>
          <w:sz w:val="28"/>
          <w:szCs w:val="28"/>
          <w:lang w:val="ru-RU"/>
        </w:rPr>
        <w:t xml:space="preserve">) уточняет оценку риска, используя </w:t>
      </w:r>
      <w:proofErr w:type="spellStart"/>
      <w:r w:rsidRPr="00AF1EBB">
        <w:rPr>
          <w:rFonts w:ascii="Times New Roman" w:eastAsia="Times New Roman" w:hAnsi="Times New Roman" w:cs="Times New Roman"/>
          <w:sz w:val="28"/>
          <w:szCs w:val="28"/>
          <w:lang w:val="ru-RU"/>
        </w:rPr>
        <w:t>полудисперсию</w:t>
      </w:r>
      <w:proofErr w:type="spellEnd"/>
      <w:r w:rsidRPr="00AF1EBB">
        <w:rPr>
          <w:rFonts w:ascii="Times New Roman" w:eastAsia="Times New Roman" w:hAnsi="Times New Roman" w:cs="Times New Roman"/>
          <w:sz w:val="28"/>
          <w:szCs w:val="28"/>
          <w:lang w:val="ru-RU"/>
        </w:rPr>
        <w:t xml:space="preserve"> и фокусируясь исключительно на отрицательных отклонениях (</w:t>
      </w:r>
      <w:r>
        <w:rPr>
          <w:rFonts w:ascii="Times New Roman" w:eastAsia="Times New Roman" w:hAnsi="Times New Roman" w:cs="Times New Roman"/>
          <w:sz w:val="28"/>
          <w:szCs w:val="28"/>
        </w:rPr>
        <w:t>downside</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sidRPr="00AF1EBB">
        <w:rPr>
          <w:rFonts w:ascii="Times New Roman" w:eastAsia="Times New Roman" w:hAnsi="Times New Roman" w:cs="Times New Roman"/>
          <w:sz w:val="28"/>
          <w:szCs w:val="28"/>
          <w:lang w:val="ru-RU"/>
        </w:rPr>
        <w:t>)</w:t>
      </w:r>
      <w:r w:rsidR="00CD00E9">
        <w:rPr>
          <w:rFonts w:ascii="Times New Roman" w:eastAsia="Times New Roman" w:hAnsi="Times New Roman" w:cs="Times New Roman"/>
          <w:sz w:val="28"/>
          <w:szCs w:val="28"/>
          <w:lang w:val="ru-RU"/>
        </w:rPr>
        <w:t xml:space="preserve"> (7)</w:t>
      </w:r>
      <w:r w:rsidRPr="00AF1EBB">
        <w:rPr>
          <w:rFonts w:ascii="Times New Roman" w:eastAsia="Times New Roman" w:hAnsi="Times New Roman" w:cs="Times New Roman"/>
          <w:sz w:val="28"/>
          <w:szCs w:val="28"/>
          <w:lang w:val="ru-RU"/>
        </w:rPr>
        <w:t>:</w:t>
      </w:r>
    </w:p>
    <w:p w14:paraId="22F9B021" w14:textId="51FA97F3" w:rsidR="00AF1EBB" w:rsidRPr="00CD00E9"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K</w:t>
      </w:r>
      <w:r w:rsidR="00BA0E02" w:rsidRPr="00BA0E02">
        <w:rPr>
          <w:rFonts w:ascii="Times New Roman" w:eastAsia="Times New Roman" w:hAnsi="Times New Roman" w:cs="Times New Roman"/>
          <w:sz w:val="28"/>
          <w:szCs w:val="28"/>
          <w:lang w:val="ru-RU"/>
        </w:rPr>
        <w:t xml:space="preserve"> </w:t>
      </w:r>
      <w:proofErr w:type="spellStart"/>
      <w:r w:rsidR="00AF1EBB" w:rsidRPr="00CD00E9">
        <w:rPr>
          <w:rFonts w:ascii="Times New Roman" w:eastAsia="Times New Roman" w:hAnsi="Times New Roman" w:cs="Times New Roman"/>
          <w:sz w:val="28"/>
          <w:szCs w:val="28"/>
          <w:lang w:val="ru-RU"/>
        </w:rPr>
        <w:t>Сортино</w:t>
      </w:r>
      <w:proofErr w:type="spellEnd"/>
      <w:r w:rsidR="00AF1EBB" w:rsidRPr="00CD00E9">
        <w:rPr>
          <w:rFonts w:ascii="Times New Roman" w:eastAsia="Times New Roman" w:hAnsi="Times New Roman" w:cs="Times New Roman"/>
          <w:sz w:val="28"/>
          <w:szCs w:val="28"/>
          <w:lang w:val="ru-RU"/>
        </w:rPr>
        <w:t xml:space="preserve"> = (</w:t>
      </w:r>
      <w:proofErr w:type="spellStart"/>
      <w:r w:rsidR="00AF1EBB" w:rsidRPr="00CD00E9">
        <w:rPr>
          <w:rFonts w:ascii="Times New Roman" w:eastAsia="Times New Roman" w:hAnsi="Times New Roman" w:cs="Times New Roman"/>
          <w:sz w:val="28"/>
          <w:szCs w:val="28"/>
          <w:lang w:val="ru-RU"/>
        </w:rPr>
        <w:t>rp</w:t>
      </w:r>
      <w:proofErr w:type="spellEnd"/>
      <w:r w:rsidR="00AF1EBB" w:rsidRPr="00CD00E9">
        <w:rPr>
          <w:rFonts w:ascii="Times New Roman" w:eastAsia="Times New Roman" w:hAnsi="Times New Roman" w:cs="Times New Roman"/>
          <w:sz w:val="28"/>
          <w:szCs w:val="28"/>
          <w:lang w:val="ru-RU"/>
        </w:rPr>
        <w:t xml:space="preserve"> − </w:t>
      </w:r>
      <w:proofErr w:type="spellStart"/>
      <w:r w:rsidR="00AF1EBB" w:rsidRPr="00CD00E9">
        <w:rPr>
          <w:rFonts w:ascii="Times New Roman" w:eastAsia="Times New Roman" w:hAnsi="Times New Roman" w:cs="Times New Roman"/>
          <w:sz w:val="28"/>
          <w:szCs w:val="28"/>
          <w:lang w:val="ru-RU"/>
        </w:rPr>
        <w:t>rf</w:t>
      </w:r>
      <w:proofErr w:type="spellEnd"/>
      <w:r w:rsidR="00AF1EBB" w:rsidRPr="00CD00E9">
        <w:rPr>
          <w:rFonts w:ascii="Times New Roman" w:eastAsia="Times New Roman" w:hAnsi="Times New Roman" w:cs="Times New Roman"/>
          <w:sz w:val="28"/>
          <w:szCs w:val="28"/>
          <w:lang w:val="ru-RU"/>
        </w:rPr>
        <w:t xml:space="preserve">) / </w:t>
      </w:r>
      <w:proofErr w:type="spellStart"/>
      <w:r w:rsidR="00AF1EBB" w:rsidRPr="00CD00E9">
        <w:rPr>
          <w:rFonts w:ascii="Times New Roman" w:eastAsia="Times New Roman" w:hAnsi="Times New Roman" w:cs="Times New Roman"/>
          <w:sz w:val="28"/>
          <w:szCs w:val="28"/>
          <w:lang w:val="ru-RU"/>
        </w:rPr>
        <w:t>σd</w:t>
      </w:r>
      <w:proofErr w:type="spellEnd"/>
      <w:r w:rsidR="00AF1EBB" w:rsidRPr="00CD00E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7</w:t>
      </w:r>
      <w:r w:rsidR="00AF1EBB" w:rsidRPr="00CD00E9">
        <w:rPr>
          <w:rFonts w:ascii="Times New Roman" w:eastAsia="Times New Roman" w:hAnsi="Times New Roman" w:cs="Times New Roman"/>
          <w:sz w:val="28"/>
          <w:szCs w:val="28"/>
          <w:lang w:val="ru-RU"/>
        </w:rPr>
        <w:t>)</w:t>
      </w:r>
    </w:p>
    <w:p w14:paraId="5FE69AC8"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σd</w:t>
      </w:r>
      <w:proofErr w:type="spellEnd"/>
      <w:r w:rsidRPr="00AF1EBB">
        <w:rPr>
          <w:rFonts w:ascii="Times New Roman" w:eastAsia="Times New Roman" w:hAnsi="Times New Roman" w:cs="Times New Roman"/>
          <w:sz w:val="28"/>
          <w:szCs w:val="28"/>
          <w:lang w:val="ru-RU"/>
        </w:rPr>
        <w:t xml:space="preserve"> — стандартное отклонение убытков (</w:t>
      </w:r>
      <w:r>
        <w:rPr>
          <w:rFonts w:ascii="Times New Roman" w:eastAsia="Times New Roman" w:hAnsi="Times New Roman" w:cs="Times New Roman"/>
          <w:sz w:val="28"/>
          <w:szCs w:val="28"/>
        </w:rPr>
        <w:t>downside</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deviation</w:t>
      </w:r>
      <w:r w:rsidRPr="00AF1EBB">
        <w:rPr>
          <w:rFonts w:ascii="Times New Roman" w:eastAsia="Times New Roman" w:hAnsi="Times New Roman" w:cs="Times New Roman"/>
          <w:sz w:val="28"/>
          <w:szCs w:val="28"/>
          <w:lang w:val="ru-RU"/>
        </w:rPr>
        <w:t>). Данный коэффициент часто рассматривается как более чувствительный к риску потерь капитала по сравнению с коэффициентом Шарпа, поскольку он исключает «наказание» за положительные отклонения [40].</w:t>
      </w:r>
    </w:p>
    <w:p w14:paraId="2CCCDEB9" w14:textId="5E14793F"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Коэффициент </w:t>
      </w:r>
      <w:proofErr w:type="spellStart"/>
      <w:r w:rsidRPr="00AF1EBB">
        <w:rPr>
          <w:rFonts w:ascii="Times New Roman" w:eastAsia="Times New Roman" w:hAnsi="Times New Roman" w:cs="Times New Roman"/>
          <w:sz w:val="28"/>
          <w:szCs w:val="28"/>
          <w:lang w:val="ru-RU"/>
        </w:rPr>
        <w:t>Трейнора</w:t>
      </w:r>
      <w:proofErr w:type="spellEnd"/>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Treynor</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sidRPr="00AF1EBB">
        <w:rPr>
          <w:rFonts w:ascii="Times New Roman" w:eastAsia="Times New Roman" w:hAnsi="Times New Roman" w:cs="Times New Roman"/>
          <w:sz w:val="28"/>
          <w:szCs w:val="28"/>
          <w:lang w:val="ru-RU"/>
        </w:rPr>
        <w:t>) соотносит избыточную доходность с величиной систематического риска</w:t>
      </w:r>
      <w:r w:rsidR="00CD00E9">
        <w:rPr>
          <w:rFonts w:ascii="Times New Roman" w:eastAsia="Times New Roman" w:hAnsi="Times New Roman" w:cs="Times New Roman"/>
          <w:sz w:val="28"/>
          <w:szCs w:val="28"/>
          <w:lang w:val="ru-RU"/>
        </w:rPr>
        <w:t xml:space="preserve"> (8)</w:t>
      </w:r>
      <w:r w:rsidRPr="00AF1EBB">
        <w:rPr>
          <w:rFonts w:ascii="Times New Roman" w:eastAsia="Times New Roman" w:hAnsi="Times New Roman" w:cs="Times New Roman"/>
          <w:sz w:val="28"/>
          <w:szCs w:val="28"/>
          <w:lang w:val="ru-RU"/>
        </w:rPr>
        <w:t>:</w:t>
      </w:r>
    </w:p>
    <w:p w14:paraId="4A89208B" w14:textId="0CAFDE94" w:rsidR="00AF1EBB" w:rsidRPr="00CD00E9"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K</w:t>
      </w:r>
      <w:r w:rsidR="00BA0E02" w:rsidRPr="00BA0E02">
        <w:rPr>
          <w:rFonts w:ascii="Times New Roman" w:eastAsia="Times New Roman" w:hAnsi="Times New Roman" w:cs="Times New Roman"/>
          <w:sz w:val="28"/>
          <w:szCs w:val="28"/>
          <w:lang w:val="ru-RU"/>
        </w:rPr>
        <w:t xml:space="preserve"> </w:t>
      </w:r>
      <w:proofErr w:type="spellStart"/>
      <w:r w:rsidR="00AF1EBB" w:rsidRPr="00CD00E9">
        <w:rPr>
          <w:rFonts w:ascii="Times New Roman" w:eastAsia="Times New Roman" w:hAnsi="Times New Roman" w:cs="Times New Roman"/>
          <w:sz w:val="28"/>
          <w:szCs w:val="28"/>
          <w:lang w:val="ru-RU"/>
        </w:rPr>
        <w:t>Трейнора</w:t>
      </w:r>
      <w:proofErr w:type="spellEnd"/>
      <w:r w:rsidR="00AF1EBB" w:rsidRPr="00CD00E9">
        <w:rPr>
          <w:rFonts w:ascii="Times New Roman" w:eastAsia="Times New Roman" w:hAnsi="Times New Roman" w:cs="Times New Roman"/>
          <w:sz w:val="28"/>
          <w:szCs w:val="28"/>
          <w:lang w:val="ru-RU"/>
        </w:rPr>
        <w:t xml:space="preserve"> = (</w:t>
      </w:r>
      <w:proofErr w:type="spellStart"/>
      <w:r w:rsidR="00AF1EBB" w:rsidRPr="00CD00E9">
        <w:rPr>
          <w:rFonts w:ascii="Times New Roman" w:eastAsia="Times New Roman" w:hAnsi="Times New Roman" w:cs="Times New Roman"/>
          <w:sz w:val="28"/>
          <w:szCs w:val="28"/>
          <w:lang w:val="ru-RU"/>
        </w:rPr>
        <w:t>rp</w:t>
      </w:r>
      <w:proofErr w:type="spellEnd"/>
      <w:r w:rsidR="00AF1EBB" w:rsidRPr="00CD00E9">
        <w:rPr>
          <w:rFonts w:ascii="Times New Roman" w:eastAsia="Times New Roman" w:hAnsi="Times New Roman" w:cs="Times New Roman"/>
          <w:sz w:val="28"/>
          <w:szCs w:val="28"/>
          <w:lang w:val="ru-RU"/>
        </w:rPr>
        <w:t xml:space="preserve"> − </w:t>
      </w:r>
      <w:proofErr w:type="spellStart"/>
      <w:r w:rsidR="00AF1EBB" w:rsidRPr="00CD00E9">
        <w:rPr>
          <w:rFonts w:ascii="Times New Roman" w:eastAsia="Times New Roman" w:hAnsi="Times New Roman" w:cs="Times New Roman"/>
          <w:sz w:val="28"/>
          <w:szCs w:val="28"/>
          <w:lang w:val="ru-RU"/>
        </w:rPr>
        <w:t>rf</w:t>
      </w:r>
      <w:proofErr w:type="spellEnd"/>
      <w:r w:rsidR="00AF1EBB" w:rsidRPr="00CD00E9">
        <w:rPr>
          <w:rFonts w:ascii="Times New Roman" w:eastAsia="Times New Roman" w:hAnsi="Times New Roman" w:cs="Times New Roman"/>
          <w:sz w:val="28"/>
          <w:szCs w:val="28"/>
          <w:lang w:val="ru-RU"/>
        </w:rPr>
        <w:t xml:space="preserve">) / βp,  </w:t>
      </w: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8</w:t>
      </w:r>
      <w:r w:rsidR="00AF1EBB" w:rsidRPr="00CD00E9">
        <w:rPr>
          <w:rFonts w:ascii="Times New Roman" w:eastAsia="Times New Roman" w:hAnsi="Times New Roman" w:cs="Times New Roman"/>
          <w:sz w:val="28"/>
          <w:szCs w:val="28"/>
          <w:lang w:val="ru-RU"/>
        </w:rPr>
        <w:t>)</w:t>
      </w:r>
    </w:p>
    <w:p w14:paraId="09B25D53"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 xml:space="preserve">где </w:t>
      </w:r>
      <w:r>
        <w:rPr>
          <w:rFonts w:ascii="Times New Roman" w:eastAsia="Times New Roman" w:hAnsi="Times New Roman" w:cs="Times New Roman"/>
          <w:sz w:val="28"/>
          <w:szCs w:val="28"/>
        </w:rPr>
        <w:t>βp</w:t>
      </w:r>
      <w:r w:rsidRPr="00AF1EBB">
        <w:rPr>
          <w:rFonts w:ascii="Times New Roman" w:eastAsia="Times New Roman" w:hAnsi="Times New Roman" w:cs="Times New Roman"/>
          <w:sz w:val="28"/>
          <w:szCs w:val="28"/>
          <w:lang w:val="ru-RU"/>
        </w:rPr>
        <w:t xml:space="preserve"> — бета-коэффициент портфеля. Данный показатель уместен в тех случаях, когда предполагается, что несистематический риск в портфеле в значительной степени диверсифицирован [41].</w:t>
      </w:r>
    </w:p>
    <w:p w14:paraId="1AB2F10D" w14:textId="56B8C5E9"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Альфа Дженсена (</w:t>
      </w:r>
      <w:r>
        <w:rPr>
          <w:rFonts w:ascii="Times New Roman" w:eastAsia="Times New Roman" w:hAnsi="Times New Roman" w:cs="Times New Roman"/>
          <w:sz w:val="28"/>
          <w:szCs w:val="28"/>
        </w:rPr>
        <w:t>Jensen</w:t>
      </w:r>
      <w:r w:rsidRPr="00AF1EBB">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alpha</w:t>
      </w:r>
      <w:r w:rsidRPr="00AF1EBB">
        <w:rPr>
          <w:rFonts w:ascii="Times New Roman" w:eastAsia="Times New Roman" w:hAnsi="Times New Roman" w:cs="Times New Roman"/>
          <w:sz w:val="28"/>
          <w:szCs w:val="28"/>
          <w:lang w:val="ru-RU"/>
        </w:rPr>
        <w:t xml:space="preserve">) оценивает абсолютную величину сверхдоходности относительно прогнозируемой </w:t>
      </w:r>
      <w:r>
        <w:rPr>
          <w:rFonts w:ascii="Times New Roman" w:eastAsia="Times New Roman" w:hAnsi="Times New Roman" w:cs="Times New Roman"/>
          <w:sz w:val="28"/>
          <w:szCs w:val="28"/>
        </w:rPr>
        <w:t>CAPM</w:t>
      </w:r>
      <w:r w:rsidR="00E528FF">
        <w:rPr>
          <w:rFonts w:ascii="Times New Roman" w:eastAsia="Times New Roman" w:hAnsi="Times New Roman" w:cs="Times New Roman"/>
          <w:sz w:val="28"/>
          <w:szCs w:val="28"/>
          <w:lang w:val="ru-RU"/>
        </w:rPr>
        <w:t xml:space="preserve"> (9)</w:t>
      </w:r>
      <w:r w:rsidRPr="00AF1EBB">
        <w:rPr>
          <w:rFonts w:ascii="Times New Roman" w:eastAsia="Times New Roman" w:hAnsi="Times New Roman" w:cs="Times New Roman"/>
          <w:sz w:val="28"/>
          <w:szCs w:val="28"/>
          <w:lang w:val="ru-RU"/>
        </w:rPr>
        <w:t>:</w:t>
      </w:r>
    </w:p>
    <w:p w14:paraId="5DD64687" w14:textId="55433289" w:rsidR="00AF1EBB" w:rsidRPr="00E528FF" w:rsidRDefault="00E528FF"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rPr>
        <w:t>α</w:t>
      </w:r>
      <w:r w:rsidR="00AF1EBB" w:rsidRPr="00E528FF">
        <w:rPr>
          <w:rFonts w:ascii="Times New Roman" w:eastAsia="Times New Roman" w:hAnsi="Times New Roman" w:cs="Times New Roman"/>
          <w:sz w:val="28"/>
          <w:szCs w:val="28"/>
          <w:lang w:val="ru-RU"/>
        </w:rPr>
        <w:t xml:space="preserve"> = </w:t>
      </w:r>
      <w:proofErr w:type="spellStart"/>
      <w:r w:rsidR="00AF1EBB" w:rsidRPr="00CD00E9">
        <w:rPr>
          <w:rFonts w:ascii="Times New Roman" w:eastAsia="Times New Roman" w:hAnsi="Times New Roman" w:cs="Times New Roman"/>
          <w:sz w:val="28"/>
          <w:szCs w:val="28"/>
        </w:rPr>
        <w:t>rp</w:t>
      </w:r>
      <w:proofErr w:type="spellEnd"/>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rf</w:t>
      </w:r>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βp</w:t>
      </w:r>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rm</w:t>
      </w:r>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rf</w:t>
      </w:r>
      <w:r w:rsidR="00AF1EBB" w:rsidRPr="00E528FF">
        <w:rPr>
          <w:rFonts w:ascii="Times New Roman" w:eastAsia="Times New Roman" w:hAnsi="Times New Roman" w:cs="Times New Roman"/>
          <w:sz w:val="28"/>
          <w:szCs w:val="28"/>
          <w:lang w:val="ru-RU"/>
        </w:rPr>
        <w:t>)</w:t>
      </w:r>
      <w:proofErr w:type="gramStart"/>
      <w:r w:rsidR="00AF1EBB" w:rsidRPr="00E528FF">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r w:rsidR="00AF1EBB" w:rsidRPr="00E528FF">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9</w:t>
      </w:r>
      <w:r w:rsidR="00AF1EBB" w:rsidRPr="00E528FF">
        <w:rPr>
          <w:rFonts w:ascii="Times New Roman" w:eastAsia="Times New Roman" w:hAnsi="Times New Roman" w:cs="Times New Roman"/>
          <w:sz w:val="28"/>
          <w:szCs w:val="28"/>
          <w:lang w:val="ru-RU"/>
        </w:rPr>
        <w:t>)</w:t>
      </w:r>
    </w:p>
    <w:p w14:paraId="005C9BD6"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rm</w:t>
      </w:r>
      <w:r w:rsidRPr="00AF1EBB">
        <w:rPr>
          <w:rFonts w:ascii="Times New Roman" w:eastAsia="Times New Roman" w:hAnsi="Times New Roman" w:cs="Times New Roman"/>
          <w:sz w:val="28"/>
          <w:szCs w:val="28"/>
          <w:lang w:val="ru-RU"/>
        </w:rPr>
        <w:t xml:space="preserve"> — ожидаемая среднерыночная доходность. Положительная альфа обычно трактуется как свидетельство превышения портфелем рыночных ожиданий при заданной величине систематического риска [42].</w:t>
      </w:r>
    </w:p>
    <w:p w14:paraId="7BD31EB4" w14:textId="768E0182"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Бета-коэффициент (</w:t>
      </w:r>
      <w:r>
        <w:rPr>
          <w:rFonts w:ascii="Times New Roman" w:eastAsia="Times New Roman" w:hAnsi="Times New Roman" w:cs="Times New Roman"/>
          <w:sz w:val="28"/>
          <w:szCs w:val="28"/>
        </w:rPr>
        <w:t>beta</w:t>
      </w:r>
      <w:r w:rsidRPr="00AF1EBB">
        <w:rPr>
          <w:rFonts w:ascii="Times New Roman" w:eastAsia="Times New Roman" w:hAnsi="Times New Roman" w:cs="Times New Roman"/>
          <w:sz w:val="28"/>
          <w:szCs w:val="28"/>
          <w:lang w:val="ru-RU"/>
        </w:rPr>
        <w:t>) отражает чувствительность портфеля к изменению рыночного бенчмарка</w:t>
      </w:r>
      <w:r w:rsidR="00E528FF">
        <w:rPr>
          <w:rFonts w:ascii="Times New Roman" w:eastAsia="Times New Roman" w:hAnsi="Times New Roman" w:cs="Times New Roman"/>
          <w:sz w:val="28"/>
          <w:szCs w:val="28"/>
          <w:lang w:val="ru-RU"/>
        </w:rPr>
        <w:t xml:space="preserve"> (10)</w:t>
      </w:r>
      <w:r w:rsidRPr="00AF1EBB">
        <w:rPr>
          <w:rFonts w:ascii="Times New Roman" w:eastAsia="Times New Roman" w:hAnsi="Times New Roman" w:cs="Times New Roman"/>
          <w:sz w:val="28"/>
          <w:szCs w:val="28"/>
          <w:lang w:val="ru-RU"/>
        </w:rPr>
        <w:t>:</w:t>
      </w:r>
    </w:p>
    <w:p w14:paraId="6D4DE7E9" w14:textId="10BD59B0" w:rsidR="00AF1EBB" w:rsidRPr="00E528FF" w:rsidRDefault="00E528FF" w:rsidP="00AF1EBB">
      <w:pPr>
        <w:spacing w:line="360" w:lineRule="auto"/>
        <w:jc w:val="center"/>
        <w:rPr>
          <w:rFonts w:ascii="Times New Roman" w:eastAsia="Times New Roman" w:hAnsi="Times New Roman" w:cs="Times New Roman"/>
          <w:sz w:val="28"/>
          <w:szCs w:val="28"/>
          <w:lang w:val="en-US"/>
        </w:rPr>
      </w:pPr>
      <w:r w:rsidRPr="00BA0E02">
        <w:rPr>
          <w:rFonts w:ascii="Times New Roman" w:eastAsia="Times New Roman" w:hAnsi="Times New Roman" w:cs="Times New Roman"/>
          <w:sz w:val="28"/>
          <w:szCs w:val="28"/>
          <w:lang w:val="ru-RU"/>
        </w:rPr>
        <w:t xml:space="preserve">                                                      </w:t>
      </w:r>
      <w:r w:rsidR="00AF1EBB" w:rsidRPr="00E528FF">
        <w:rPr>
          <w:rFonts w:ascii="Times New Roman" w:eastAsia="Times New Roman" w:hAnsi="Times New Roman" w:cs="Times New Roman"/>
          <w:sz w:val="28"/>
          <w:szCs w:val="28"/>
          <w:lang w:val="ru-RU"/>
        </w:rPr>
        <w:t>β</w:t>
      </w:r>
      <w:r w:rsidR="00AF1EBB" w:rsidRPr="00E528FF">
        <w:rPr>
          <w:rFonts w:ascii="Times New Roman" w:eastAsia="Times New Roman" w:hAnsi="Times New Roman" w:cs="Times New Roman"/>
          <w:sz w:val="28"/>
          <w:szCs w:val="28"/>
          <w:lang w:val="en-US"/>
        </w:rPr>
        <w:t xml:space="preserve">p = </w:t>
      </w:r>
      <w:proofErr w:type="gramStart"/>
      <w:r w:rsidR="00AF1EBB" w:rsidRPr="00E528FF">
        <w:rPr>
          <w:rFonts w:ascii="Times New Roman" w:eastAsia="Times New Roman" w:hAnsi="Times New Roman" w:cs="Times New Roman"/>
          <w:sz w:val="28"/>
          <w:szCs w:val="28"/>
          <w:lang w:val="en-US"/>
        </w:rPr>
        <w:t>Cov(</w:t>
      </w:r>
      <w:proofErr w:type="spellStart"/>
      <w:proofErr w:type="gramEnd"/>
      <w:r w:rsidR="00AF1EBB" w:rsidRPr="00E528FF">
        <w:rPr>
          <w:rFonts w:ascii="Times New Roman" w:eastAsia="Times New Roman" w:hAnsi="Times New Roman" w:cs="Times New Roman"/>
          <w:sz w:val="28"/>
          <w:szCs w:val="28"/>
          <w:lang w:val="en-US"/>
        </w:rPr>
        <w:t>rp</w:t>
      </w:r>
      <w:proofErr w:type="spellEnd"/>
      <w:r w:rsidR="00AF1EBB" w:rsidRPr="00E528FF">
        <w:rPr>
          <w:rFonts w:ascii="Times New Roman" w:eastAsia="Times New Roman" w:hAnsi="Times New Roman" w:cs="Times New Roman"/>
          <w:sz w:val="28"/>
          <w:szCs w:val="28"/>
          <w:lang w:val="en-US"/>
        </w:rPr>
        <w:t>, rm) / Var(rm</w:t>
      </w:r>
      <w:proofErr w:type="gramStart"/>
      <w:r w:rsidR="00AF1EBB" w:rsidRPr="00E528FF">
        <w:rPr>
          <w:rFonts w:ascii="Times New Roman" w:eastAsia="Times New Roman" w:hAnsi="Times New Roman" w:cs="Times New Roman"/>
          <w:sz w:val="28"/>
          <w:szCs w:val="28"/>
          <w:lang w:val="en-US"/>
        </w:rPr>
        <w:t xml:space="preserve">),  </w:t>
      </w:r>
      <w:r w:rsidRPr="00E528FF">
        <w:rPr>
          <w:rFonts w:ascii="Times New Roman" w:eastAsia="Times New Roman" w:hAnsi="Times New Roman" w:cs="Times New Roman"/>
          <w:sz w:val="28"/>
          <w:szCs w:val="28"/>
          <w:lang w:val="en-US"/>
        </w:rPr>
        <w:t xml:space="preserve"> </w:t>
      </w:r>
      <w:proofErr w:type="gramEnd"/>
      <w:r w:rsidRPr="00E528FF">
        <w:rPr>
          <w:rFonts w:ascii="Times New Roman" w:eastAsia="Times New Roman" w:hAnsi="Times New Roman" w:cs="Times New Roman"/>
          <w:sz w:val="28"/>
          <w:szCs w:val="28"/>
          <w:lang w:val="en-US"/>
        </w:rPr>
        <w:t xml:space="preserve">                     </w:t>
      </w:r>
      <w:proofErr w:type="gramStart"/>
      <w:r w:rsidRPr="00E528FF">
        <w:rPr>
          <w:rFonts w:ascii="Times New Roman" w:eastAsia="Times New Roman" w:hAnsi="Times New Roman" w:cs="Times New Roman"/>
          <w:sz w:val="28"/>
          <w:szCs w:val="28"/>
          <w:lang w:val="en-US"/>
        </w:rPr>
        <w:t xml:space="preserve">  </w:t>
      </w:r>
      <w:r w:rsidR="00AF1EBB" w:rsidRPr="00E528FF">
        <w:rPr>
          <w:rFonts w:ascii="Times New Roman" w:eastAsia="Times New Roman" w:hAnsi="Times New Roman" w:cs="Times New Roman"/>
          <w:sz w:val="28"/>
          <w:szCs w:val="28"/>
          <w:lang w:val="en-US"/>
        </w:rPr>
        <w:t xml:space="preserve"> (</w:t>
      </w:r>
      <w:proofErr w:type="gramEnd"/>
      <w:r w:rsidRPr="00E528FF">
        <w:rPr>
          <w:rFonts w:ascii="Times New Roman" w:eastAsia="Times New Roman" w:hAnsi="Times New Roman" w:cs="Times New Roman"/>
          <w:sz w:val="28"/>
          <w:szCs w:val="28"/>
          <w:lang w:val="en-US"/>
        </w:rPr>
        <w:t>10</w:t>
      </w:r>
      <w:r w:rsidR="00AF1EBB" w:rsidRPr="00E528FF">
        <w:rPr>
          <w:rFonts w:ascii="Times New Roman" w:eastAsia="Times New Roman" w:hAnsi="Times New Roman" w:cs="Times New Roman"/>
          <w:sz w:val="28"/>
          <w:szCs w:val="28"/>
          <w:lang w:val="en-US"/>
        </w:rPr>
        <w:t>)</w:t>
      </w:r>
    </w:p>
    <w:p w14:paraId="43242453" w14:textId="4B266CE9" w:rsidR="00AF1EBB" w:rsidRPr="00AF1EBB" w:rsidRDefault="00AF1EBB" w:rsidP="00E528FF">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Значения </w:t>
      </w:r>
      <w:proofErr w:type="gramStart"/>
      <w:r>
        <w:rPr>
          <w:rFonts w:ascii="Times New Roman" w:eastAsia="Times New Roman" w:hAnsi="Times New Roman" w:cs="Times New Roman"/>
          <w:sz w:val="28"/>
          <w:szCs w:val="28"/>
        </w:rPr>
        <w:t>β</w:t>
      </w:r>
      <w:r w:rsidRPr="00AF1EBB">
        <w:rPr>
          <w:rFonts w:ascii="Times New Roman" w:eastAsia="Times New Roman" w:hAnsi="Times New Roman" w:cs="Times New Roman"/>
          <w:sz w:val="28"/>
          <w:szCs w:val="28"/>
          <w:lang w:val="ru-RU"/>
        </w:rPr>
        <w:t xml:space="preserve"> &gt;</w:t>
      </w:r>
      <w:proofErr w:type="gramEnd"/>
      <w:r w:rsidRPr="00AF1EBB">
        <w:rPr>
          <w:rFonts w:ascii="Times New Roman" w:eastAsia="Times New Roman" w:hAnsi="Times New Roman" w:cs="Times New Roman"/>
          <w:sz w:val="28"/>
          <w:szCs w:val="28"/>
          <w:lang w:val="ru-RU"/>
        </w:rPr>
        <w:t xml:space="preserve"> 1 традиционно связывают с более высокой волатильностью портфеля относительно рынка, что соответствует более «агрессивному» профилю. Совокупность перечисленных методик образует взаимодополняющий инструментарий: абсолютные показатели измеряют масштаб риска и доходности, а риск-скорректированные коэффициенты позволяют оценить качество управленческих решений по принятию этого риска [25, с. 880].</w:t>
      </w:r>
    </w:p>
    <w:p w14:paraId="5C926AF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Вывод по первой главе: завершая теоретическое рассмотрение, представляется обоснованным подчеркнуть, что традиционный подход к оценке и управлению паевыми инвестиционными фондами не во всех случаях обеспечивает комплексное описание качества портфеля.</w:t>
      </w:r>
    </w:p>
    <w:p w14:paraId="781DF492"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Преимущественная ориентация на ретроспективные портфельные метрики способна приводить к недоучету фундаментальных драйверов стоимости бизнеса и внутренних рисков эмитентов, которые не сводятся к историческим колебаниям котировок и могут проявляться с временным лагом.</w:t>
      </w:r>
    </w:p>
    <w:p w14:paraId="303C6E6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Более аргументированная оценка качества инвестиционного портфеля предполагает совместное применение инструментов портфельной теории и фундаментального финансового анализа объектов инвестирования. Использование коэффициентного анализа, диагностики кредитных рисков и расчета портфельных индикаторов позволяет уточнить представление об инвестиционной привлекательности базовых активов и связать рыночные показатели с финансово-экономическим содержанием деятельности эмитентов [20, с. 135].</w:t>
      </w:r>
    </w:p>
    <w:p w14:paraId="1963B4C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Именно интегрированный методологический подход далее целесообразно использовать в аналитической части дипломной работы при оценке и разработке направлений повышения качества инвестиционного портфеля ОПИФ РФИ «ВИМ-Металлургия».</w:t>
      </w:r>
    </w:p>
    <w:p w14:paraId="7DF0E4A8" w14:textId="4517C349" w:rsidR="00DA4464" w:rsidRPr="00DA4464" w:rsidRDefault="00DA4464" w:rsidP="00DA4464">
      <w:pPr>
        <w:spacing w:line="360" w:lineRule="auto"/>
        <w:ind w:firstLine="709"/>
        <w:jc w:val="both"/>
        <w:rPr>
          <w:lang w:val="ru-RU"/>
        </w:rPr>
      </w:pPr>
    </w:p>
    <w:p w14:paraId="29B4BD74" w14:textId="565556E6" w:rsidR="00631EF4" w:rsidRPr="00631EF4" w:rsidRDefault="00631EF4" w:rsidP="00631EF4">
      <w:pPr>
        <w:spacing w:line="360" w:lineRule="auto"/>
        <w:ind w:firstLine="709"/>
        <w:jc w:val="both"/>
        <w:rPr>
          <w:rFonts w:ascii="Times New Roman" w:hAnsi="Times New Roman" w:cs="Times New Roman"/>
          <w:sz w:val="28"/>
          <w:szCs w:val="28"/>
          <w:lang w:val="ru-RU"/>
        </w:rPr>
      </w:pPr>
    </w:p>
    <w:p w14:paraId="15D4CC68" w14:textId="77777777" w:rsidR="00631EF4" w:rsidRPr="00631EF4" w:rsidRDefault="00631EF4" w:rsidP="00631EF4">
      <w:pPr>
        <w:rPr>
          <w:rFonts w:ascii="Times New Roman" w:hAnsi="Times New Roman" w:cs="Times New Roman"/>
          <w:sz w:val="28"/>
          <w:szCs w:val="28"/>
          <w:lang w:val="ru-RU"/>
        </w:rPr>
      </w:pPr>
    </w:p>
    <w:p w14:paraId="1FB26D47" w14:textId="77777777" w:rsidR="00631EF4" w:rsidRPr="00631EF4" w:rsidRDefault="00631EF4" w:rsidP="00631EF4">
      <w:pPr>
        <w:rPr>
          <w:rFonts w:ascii="Times New Roman" w:hAnsi="Times New Roman" w:cs="Times New Roman"/>
          <w:sz w:val="28"/>
          <w:szCs w:val="28"/>
          <w:lang w:val="ru-RU"/>
        </w:rPr>
      </w:pPr>
    </w:p>
    <w:p w14:paraId="1B16F8D0" w14:textId="77777777" w:rsidR="005F2182" w:rsidRPr="005F2182" w:rsidRDefault="00793D47" w:rsidP="005F2182">
      <w:pPr>
        <w:rPr>
          <w:rFonts w:ascii="Times New Roman" w:hAnsi="Times New Roman"/>
          <w:b/>
          <w:i/>
          <w:sz w:val="28"/>
          <w:szCs w:val="32"/>
          <w:lang w:val="ru-RU"/>
        </w:rPr>
      </w:pPr>
      <w:r>
        <w:rPr>
          <w:lang w:val="ru-RU"/>
        </w:rPr>
        <w:br w:type="page"/>
      </w:r>
    </w:p>
    <w:p w14:paraId="5B5409FE" w14:textId="35DF791E" w:rsidR="005F2182" w:rsidRPr="005F2182" w:rsidRDefault="005F2182" w:rsidP="004605F7">
      <w:pPr>
        <w:pStyle w:val="1"/>
        <w:spacing w:before="0" w:after="0" w:line="360" w:lineRule="auto"/>
        <w:rPr>
          <w:lang w:val="ru-RU"/>
        </w:rPr>
      </w:pPr>
      <w:bookmarkStart w:id="6" w:name="_Toc232337640"/>
      <w:r w:rsidRPr="005F2182">
        <w:rPr>
          <w:lang w:val="ru-RU"/>
        </w:rPr>
        <w:lastRenderedPageBreak/>
        <w:t xml:space="preserve">Глава 2. </w:t>
      </w:r>
      <w:r w:rsidR="00BA0E02">
        <w:rPr>
          <w:lang w:val="ru-RU"/>
        </w:rPr>
        <w:t>Анализ</w:t>
      </w:r>
      <w:r w:rsidRPr="005F2182">
        <w:rPr>
          <w:lang w:val="ru-RU"/>
        </w:rPr>
        <w:t xml:space="preserve"> качества инвестиционного портфеля ОПИФ РФИ «ВИМ-Металлургия»</w:t>
      </w:r>
      <w:bookmarkEnd w:id="6"/>
    </w:p>
    <w:p w14:paraId="42104B96" w14:textId="77777777" w:rsidR="005F2182" w:rsidRDefault="005F2182" w:rsidP="004605F7">
      <w:pPr>
        <w:pStyle w:val="2"/>
        <w:spacing w:before="0" w:after="0" w:line="360" w:lineRule="auto"/>
        <w:ind w:firstLine="709"/>
        <w:rPr>
          <w:lang w:val="ru-RU"/>
        </w:rPr>
      </w:pPr>
      <w:bookmarkStart w:id="7" w:name="_Toc232337641"/>
      <w:r w:rsidRPr="005F2182">
        <w:rPr>
          <w:lang w:val="ru-RU"/>
        </w:rPr>
        <w:t>2.1. Финансово-экономическая характеристика ОПИФ РФИ «ВИМ-Металлургия»</w:t>
      </w:r>
      <w:bookmarkEnd w:id="7"/>
    </w:p>
    <w:p w14:paraId="06308C11" w14:textId="77777777" w:rsidR="005F2182" w:rsidRPr="005F2182" w:rsidRDefault="005F2182" w:rsidP="004605F7">
      <w:pPr>
        <w:spacing w:line="360" w:lineRule="auto"/>
        <w:ind w:firstLine="709"/>
        <w:jc w:val="both"/>
        <w:rPr>
          <w:lang w:val="ru-RU"/>
        </w:rPr>
      </w:pPr>
    </w:p>
    <w:p w14:paraId="700F1BB1"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Открытый паевой инвестиционный фонд рыночных финансовых инструментов (ОПИФ РФИ) «ВИМ-Металлургия» представляет собой отраслевой механизм коллективного инвестирования, функционирующий под управлением АО «ВИМ Инвестиции» и ориентированный на формирование долгосрочной экспозиции к российскому металлургическому и горнодобывающему сегменту [4; 50]. Правила доверительного управления фондом зарегистрированы ФСФР России 13.09.2007 за № 0961-94131104; фонд сформирован в период с 01.10.2007 по 06.11.2007 и с момента создания котируется на Московской бирже (</w:t>
      </w:r>
      <w:r>
        <w:rPr>
          <w:rFonts w:ascii="Times New Roman" w:eastAsia="Times New Roman" w:hAnsi="Times New Roman" w:cs="Times New Roman"/>
          <w:sz w:val="28"/>
          <w:szCs w:val="28"/>
        </w:rPr>
        <w:t>ISIN</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RU</w:t>
      </w:r>
      <w:r w:rsidRPr="00AF1EBB">
        <w:rPr>
          <w:rFonts w:ascii="Times New Roman" w:eastAsia="Times New Roman" w:hAnsi="Times New Roman" w:cs="Times New Roman"/>
          <w:sz w:val="28"/>
          <w:szCs w:val="28"/>
          <w:lang w:val="ru-RU"/>
        </w:rPr>
        <w:t>000</w:t>
      </w:r>
      <w:r>
        <w:rPr>
          <w:rFonts w:ascii="Times New Roman" w:eastAsia="Times New Roman" w:hAnsi="Times New Roman" w:cs="Times New Roman"/>
          <w:sz w:val="28"/>
          <w:szCs w:val="28"/>
        </w:rPr>
        <w:t>A</w:t>
      </w:r>
      <w:r w:rsidRPr="00AF1EBB">
        <w:rPr>
          <w:rFonts w:ascii="Times New Roman" w:eastAsia="Times New Roman" w:hAnsi="Times New Roman" w:cs="Times New Roman"/>
          <w:sz w:val="28"/>
          <w:szCs w:val="28"/>
          <w:lang w:val="ru-RU"/>
        </w:rPr>
        <w:t>0</w:t>
      </w:r>
      <w:r>
        <w:rPr>
          <w:rFonts w:ascii="Times New Roman" w:eastAsia="Times New Roman" w:hAnsi="Times New Roman" w:cs="Times New Roman"/>
          <w:sz w:val="28"/>
          <w:szCs w:val="28"/>
        </w:rPr>
        <w:t>JS</w:t>
      </w:r>
      <w:r w:rsidRPr="00AF1EBB">
        <w:rPr>
          <w:rFonts w:ascii="Times New Roman" w:eastAsia="Times New Roman" w:hAnsi="Times New Roman" w:cs="Times New Roman"/>
          <w:sz w:val="28"/>
          <w:szCs w:val="28"/>
          <w:lang w:val="ru-RU"/>
        </w:rPr>
        <w:t>9</w:t>
      </w:r>
      <w:r>
        <w:rPr>
          <w:rFonts w:ascii="Times New Roman" w:eastAsia="Times New Roman" w:hAnsi="Times New Roman" w:cs="Times New Roman"/>
          <w:sz w:val="28"/>
          <w:szCs w:val="28"/>
        </w:rPr>
        <w:t>R</w:t>
      </w:r>
      <w:r w:rsidRPr="00AF1EBB">
        <w:rPr>
          <w:rFonts w:ascii="Times New Roman" w:eastAsia="Times New Roman" w:hAnsi="Times New Roman" w:cs="Times New Roman"/>
          <w:sz w:val="28"/>
          <w:szCs w:val="28"/>
          <w:lang w:val="ru-RU"/>
        </w:rPr>
        <w:t xml:space="preserve">3). Инвестиционная политика управляющей компании предполагает преимущественно долгосрочное вложение средств в акции компаний металлургической отрасли и депозитарные расписки на такие ценные бумаги, а также краткосрочное вложение в производные финансовые инструменты. Бенчмарком, по отношению к которому оценивается результативность стратегии активного управления, служит Индекс </w:t>
      </w:r>
      <w:proofErr w:type="spellStart"/>
      <w:r w:rsidRPr="00AF1EBB">
        <w:rPr>
          <w:rFonts w:ascii="Times New Roman" w:eastAsia="Times New Roman" w:hAnsi="Times New Roman" w:cs="Times New Roman"/>
          <w:sz w:val="28"/>
          <w:szCs w:val="28"/>
          <w:lang w:val="ru-RU"/>
        </w:rPr>
        <w:t>МосБиржи</w:t>
      </w:r>
      <w:proofErr w:type="spellEnd"/>
      <w:r w:rsidRPr="00AF1EBB">
        <w:rPr>
          <w:rFonts w:ascii="Times New Roman" w:eastAsia="Times New Roman" w:hAnsi="Times New Roman" w:cs="Times New Roman"/>
          <w:sz w:val="28"/>
          <w:szCs w:val="28"/>
          <w:lang w:val="ru-RU"/>
        </w:rPr>
        <w:t xml:space="preserve"> металлов и добычи (</w:t>
      </w:r>
      <w:r>
        <w:rPr>
          <w:rFonts w:ascii="Times New Roman" w:eastAsia="Times New Roman" w:hAnsi="Times New Roman" w:cs="Times New Roman"/>
          <w:sz w:val="28"/>
          <w:szCs w:val="28"/>
        </w:rPr>
        <w:t>MOEXMM</w:t>
      </w:r>
      <w:r w:rsidRPr="00AF1EBB">
        <w:rPr>
          <w:rFonts w:ascii="Times New Roman" w:eastAsia="Times New Roman" w:hAnsi="Times New Roman" w:cs="Times New Roman"/>
          <w:sz w:val="28"/>
          <w:szCs w:val="28"/>
          <w:lang w:val="ru-RU"/>
        </w:rPr>
        <w:t>) [47].</w:t>
      </w:r>
    </w:p>
    <w:p w14:paraId="0EA64745"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Тем самым фонд фактически воспроизводит логику отраслевого портфеля: ожидаемый результат связывается с длительным горизонтом удержания активов и с предпосылкой, что фундаментальные параметры компаний базовых сырьевых отраслей способны обеспечивать рост курсовой стоимости [33, с. 11]. Дополнительный источник накопления капитала формируется через дивидендные выплаты, однако их вклад носит условный </w:t>
      </w:r>
      <w:r w:rsidRPr="00AF1EBB">
        <w:rPr>
          <w:rFonts w:ascii="Times New Roman" w:eastAsia="Times New Roman" w:hAnsi="Times New Roman" w:cs="Times New Roman"/>
          <w:sz w:val="28"/>
          <w:szCs w:val="28"/>
          <w:lang w:val="ru-RU"/>
        </w:rPr>
        <w:lastRenderedPageBreak/>
        <w:t>характер и зависит от корпоративной политики эмитентов, инвестиционных программ и ограничений, диктуемых рыночной конъюнктурой.</w:t>
      </w:r>
    </w:p>
    <w:p w14:paraId="1C08E02F"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Стоимость чистых активов (СЧА) и расчётная стоимость инвестиционного пая. Ключевым агрегированным показателем, используемым для оценки масштаба операций фонда и качества управления, выступает динамика СЧА, поскольку она интегрирует как изменение рыночной стоимости портфеля, так и поведение пайщиков [7, с. 115]. По состоянию на 10 июня 2026 года СЧА ОПИФ РФИ «ВИМ-Металлургия» составила 734 847 410,91 руб. (около 0,73 млрд руб.), а расчётная стоимость одного инвестиционного пая — 12,54 руб. [47]. Число пайщиков по состоянию на 31 марта 2026 года достигло 5 625 человек, что характеризует фонд как инструмент розничного коллективного инвестирования умеренного масштаба [47].</w:t>
      </w:r>
    </w:p>
    <w:p w14:paraId="1B8D34C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Изменение СЧА объясняется действием двух базовых компонент: во-первых, переоценкой стоимости ценных бумаг вследствие движения котировок (рыночный фактор), во-вторых, результатом операций по выдаче и погашению инвестиционных паев, отражающим чистый приток либо отток средств инвесторов [15, с. 300]. Сопоставление текущего уровня СЧА с историческими значениями свидетельствует о значительном сокращении объёма активов под управлением: снижение расчётной стоимости пая с исторических максимумов наглядно отражает накопленное обесценение капитала участников фонда.</w:t>
      </w:r>
    </w:p>
    <w:p w14:paraId="132F927D" w14:textId="77777777" w:rsidR="00AF1EBB" w:rsidRPr="00BA0E02"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 xml:space="preserve">Динамика доходности. Анализ доходности фонда в разрезе временных горизонтов демонстрирует устойчивую отрицательную динамику. По данным на 10 июня 2026 года, расчётная стоимость пая снизилась: за последний месяц — на 2,20%, за три месяца — на 15,90%, за шесть месяцев — на 5,71%, за один год — на 6,56%. На более длительных горизонтах картина ещё более </w:t>
      </w:r>
      <w:r w:rsidRPr="00BA0E02">
        <w:rPr>
          <w:rFonts w:ascii="Times New Roman" w:eastAsia="Times New Roman" w:hAnsi="Times New Roman" w:cs="Times New Roman"/>
          <w:sz w:val="28"/>
          <w:szCs w:val="28"/>
          <w:lang w:val="ru-RU"/>
        </w:rPr>
        <w:lastRenderedPageBreak/>
        <w:t>неблагоприятна: за три года стоимость пая сократилась на 21,43%, за пять лет — на 52,45% [47]. Указанные результаты свидетельствуют о глубокой эрозии стоимости активов под управлением на фоне структурной слабости металлургического сектора, ужесточения денежно-кредитной политики и переориентации экспортных потоков российских производителей.</w:t>
      </w:r>
    </w:p>
    <w:p w14:paraId="23137C1C" w14:textId="77777777" w:rsidR="00AF1EBB" w:rsidRPr="00BA0E02" w:rsidRDefault="00AF1EBB" w:rsidP="00AF1EBB">
      <w:pPr>
        <w:spacing w:line="360" w:lineRule="auto"/>
        <w:ind w:firstLine="709"/>
        <w:jc w:val="both"/>
        <w:rPr>
          <w:rFonts w:ascii="Times New Roman" w:eastAsia="Times New Roman" w:hAnsi="Times New Roman" w:cs="Times New Roman"/>
          <w:sz w:val="28"/>
          <w:szCs w:val="28"/>
          <w:lang w:val="ru-RU"/>
        </w:rPr>
      </w:pPr>
      <w:r w:rsidRPr="00BA0E02">
        <w:rPr>
          <w:rFonts w:ascii="Times New Roman" w:eastAsia="Times New Roman" w:hAnsi="Times New Roman" w:cs="Times New Roman"/>
          <w:sz w:val="28"/>
          <w:szCs w:val="28"/>
          <w:lang w:val="ru-RU"/>
        </w:rPr>
        <w:t>Не менее показательна динамика СЧА, отражающая помимо рыночных потерь также чистое поведение пайщиков. За год СЧА сократилась на 21,76%, за три года — на 60,66%, за пять лет — на 75,13% [47]. Существенное расхождение между темпами снижения стоимости пая (−52,45% за пять лет) и темпами снижения СЧА (−75,13% за аналогичный период) прямо указывает на значительный нетто-отток средств пайщиков, не объяснимый одной лишь рыночной переоценкой. Данный факт свидетельствует о снижении доверия инвесторов к фонду и перераспределении капитала в пользу иных инструментов.</w:t>
      </w:r>
    </w:p>
    <w:p w14:paraId="3D8D0893"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На коротких горизонтах доходность, как правило, характеризуется значительной изменчивостью, отражающей общую волатильность фондового рынка и специфические отраслевые риски [24, с. 230]. На более продолжительных интервалах результаты фонда в существенной степени определяются фундаментальной устойчивостью эмитентов, их маржинальностью, долговой нагрузкой, доступом к рынкам сбыта и способностью поддерживать инвестиционный и дивидендный циклы [13, с. 132].</w:t>
      </w:r>
    </w:p>
    <w:p w14:paraId="668ED767" w14:textId="69BFDDC1"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Таблица 1 – Динамика стоимости пая и СЧА ОПИФ РФИ «ВИМ-Металлургия» на 10.06.2026</w:t>
      </w:r>
    </w:p>
    <w:tbl>
      <w:tblPr>
        <w:tblW w:w="10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100"/>
        <w:gridCol w:w="1100"/>
        <w:gridCol w:w="1100"/>
        <w:gridCol w:w="1100"/>
        <w:gridCol w:w="1100"/>
        <w:gridCol w:w="1926"/>
      </w:tblGrid>
      <w:tr w:rsidR="00AF1EBB" w:rsidRPr="008521AF" w14:paraId="5CC74C34" w14:textId="77777777" w:rsidTr="009A785B">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A68C2"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b/>
                <w:bCs/>
                <w:sz w:val="24"/>
                <w:szCs w:val="24"/>
              </w:rPr>
              <w:t>Показатель</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181E4"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 xml:space="preserve">1 </w:t>
            </w:r>
            <w:proofErr w:type="spellStart"/>
            <w:r w:rsidRPr="008521AF">
              <w:rPr>
                <w:rFonts w:ascii="Times New Roman" w:eastAsia="Times New Roman" w:hAnsi="Times New Roman" w:cs="Times New Roman"/>
                <w:b/>
                <w:bCs/>
                <w:sz w:val="24"/>
                <w:szCs w:val="24"/>
              </w:rPr>
              <w:t>мес</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0D023"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 xml:space="preserve">3 </w:t>
            </w:r>
            <w:proofErr w:type="spellStart"/>
            <w:r w:rsidRPr="008521AF">
              <w:rPr>
                <w:rFonts w:ascii="Times New Roman" w:eastAsia="Times New Roman" w:hAnsi="Times New Roman" w:cs="Times New Roman"/>
                <w:b/>
                <w:bCs/>
                <w:sz w:val="24"/>
                <w:szCs w:val="24"/>
              </w:rPr>
              <w:t>мес</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D8D0E"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 xml:space="preserve">6 </w:t>
            </w:r>
            <w:proofErr w:type="spellStart"/>
            <w:r w:rsidRPr="008521AF">
              <w:rPr>
                <w:rFonts w:ascii="Times New Roman" w:eastAsia="Times New Roman" w:hAnsi="Times New Roman" w:cs="Times New Roman"/>
                <w:b/>
                <w:bCs/>
                <w:sz w:val="24"/>
                <w:szCs w:val="24"/>
              </w:rPr>
              <w:t>мес</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930B9"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 xml:space="preserve">1 </w:t>
            </w:r>
            <w:proofErr w:type="spellStart"/>
            <w:r w:rsidRPr="008521AF">
              <w:rPr>
                <w:rFonts w:ascii="Times New Roman" w:eastAsia="Times New Roman" w:hAnsi="Times New Roman" w:cs="Times New Roman"/>
                <w:b/>
                <w:bCs/>
                <w:sz w:val="24"/>
                <w:szCs w:val="24"/>
              </w:rPr>
              <w:t>год</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EEC7F"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 xml:space="preserve">3 </w:t>
            </w:r>
            <w:proofErr w:type="spellStart"/>
            <w:r w:rsidRPr="008521AF">
              <w:rPr>
                <w:rFonts w:ascii="Times New Roman" w:eastAsia="Times New Roman" w:hAnsi="Times New Roman" w:cs="Times New Roman"/>
                <w:b/>
                <w:bCs/>
                <w:sz w:val="24"/>
                <w:szCs w:val="24"/>
              </w:rPr>
              <w:t>года</w:t>
            </w:r>
            <w:proofErr w:type="spellEnd"/>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37BF5"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 xml:space="preserve">5 </w:t>
            </w:r>
            <w:proofErr w:type="spellStart"/>
            <w:r w:rsidRPr="008521AF">
              <w:rPr>
                <w:rFonts w:ascii="Times New Roman" w:eastAsia="Times New Roman" w:hAnsi="Times New Roman" w:cs="Times New Roman"/>
                <w:b/>
                <w:bCs/>
                <w:sz w:val="24"/>
                <w:szCs w:val="24"/>
              </w:rPr>
              <w:t>лет</w:t>
            </w:r>
            <w:proofErr w:type="spellEnd"/>
          </w:p>
        </w:tc>
      </w:tr>
      <w:tr w:rsidR="00AF1EBB" w:rsidRPr="008521AF" w14:paraId="617991AB" w14:textId="77777777" w:rsidTr="009A785B">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5DCD"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Изменение</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стоимости</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пая</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2656E"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9EC47"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−15,90%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A25EC"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−5,71%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DCF88"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−6,56%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F9DE6"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−21,43%</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96662"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−52,45%</w:t>
            </w:r>
          </w:p>
        </w:tc>
      </w:tr>
      <w:tr w:rsidR="00AF1EBB" w:rsidRPr="008521AF" w14:paraId="54A23C0F" w14:textId="77777777" w:rsidTr="009A785B">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645AF"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lastRenderedPageBreak/>
              <w:t>Изменение</w:t>
            </w:r>
            <w:proofErr w:type="spellEnd"/>
            <w:r w:rsidRPr="008521AF">
              <w:rPr>
                <w:rFonts w:ascii="Times New Roman" w:eastAsia="Times New Roman" w:hAnsi="Times New Roman" w:cs="Times New Roman"/>
                <w:sz w:val="24"/>
                <w:szCs w:val="24"/>
              </w:rPr>
              <w:t xml:space="preserve"> СЧА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C0804"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+0,76%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C5931"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−20,01%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6A18A"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−14,65%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04D3"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−21,76%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5D664"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−60,66%</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E7599"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−75,13%</w:t>
            </w:r>
          </w:p>
        </w:tc>
      </w:tr>
    </w:tbl>
    <w:p w14:paraId="6EE6DE3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Источник: составлено автором по данным </w:t>
      </w:r>
      <w:proofErr w:type="spellStart"/>
      <w:r>
        <w:rPr>
          <w:rFonts w:ascii="Times New Roman" w:eastAsia="Times New Roman" w:hAnsi="Times New Roman" w:cs="Times New Roman"/>
          <w:sz w:val="28"/>
          <w:szCs w:val="28"/>
        </w:rPr>
        <w:t>investfunds</w:t>
      </w:r>
      <w:proofErr w:type="spellEnd"/>
      <w:r w:rsidRPr="00AF1EBB">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ru</w:t>
      </w:r>
      <w:proofErr w:type="spellEnd"/>
      <w:r w:rsidRPr="00AF1EBB">
        <w:rPr>
          <w:rFonts w:ascii="Times New Roman" w:eastAsia="Times New Roman" w:hAnsi="Times New Roman" w:cs="Times New Roman"/>
          <w:sz w:val="28"/>
          <w:szCs w:val="28"/>
          <w:lang w:val="ru-RU"/>
        </w:rPr>
        <w:t xml:space="preserve"> на 10.06.2026 [47].</w:t>
      </w:r>
    </w:p>
    <w:p w14:paraId="29E8E5B7" w14:textId="77777777" w:rsidR="00AF1EBB" w:rsidRPr="00AF1EBB" w:rsidRDefault="00AF1EBB" w:rsidP="00AF1EBB">
      <w:pPr>
        <w:spacing w:line="360" w:lineRule="auto"/>
        <w:rPr>
          <w:lang w:val="ru-RU"/>
        </w:rPr>
      </w:pPr>
    </w:p>
    <w:p w14:paraId="66C15440"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Структура портфеля. По состоянию на 30 апреля 2026 года состав десяти крупнейших позиций портфеля фонда характеризуется относительно равномерным распределением весов в диапазоне от 6,32% до 9,80%, что формально свидетельствует об отсутствии гипертрофированной концентрации на отдельном эмитенте [47]. Вместе с тем все включённые позиции принадлежат к единому сырьевому кластеру — металлургии, горной добыче и смежным секторам — что обусловливает высокую положительную </w:t>
      </w:r>
      <w:proofErr w:type="spellStart"/>
      <w:r w:rsidRPr="00AF1EBB">
        <w:rPr>
          <w:rFonts w:ascii="Times New Roman" w:eastAsia="Times New Roman" w:hAnsi="Times New Roman" w:cs="Times New Roman"/>
          <w:sz w:val="28"/>
          <w:szCs w:val="28"/>
          <w:lang w:val="ru-RU"/>
        </w:rPr>
        <w:t>межактивную</w:t>
      </w:r>
      <w:proofErr w:type="spellEnd"/>
      <w:r w:rsidRPr="00AF1EBB">
        <w:rPr>
          <w:rFonts w:ascii="Times New Roman" w:eastAsia="Times New Roman" w:hAnsi="Times New Roman" w:cs="Times New Roman"/>
          <w:sz w:val="28"/>
          <w:szCs w:val="28"/>
          <w:lang w:val="ru-RU"/>
        </w:rPr>
        <w:t xml:space="preserve"> корреляцию и существенно ограничивает реальный </w:t>
      </w:r>
      <w:proofErr w:type="spellStart"/>
      <w:r w:rsidRPr="00AF1EBB">
        <w:rPr>
          <w:rFonts w:ascii="Times New Roman" w:eastAsia="Times New Roman" w:hAnsi="Times New Roman" w:cs="Times New Roman"/>
          <w:sz w:val="28"/>
          <w:szCs w:val="28"/>
          <w:lang w:val="ru-RU"/>
        </w:rPr>
        <w:t>диверсификационный</w:t>
      </w:r>
      <w:proofErr w:type="spellEnd"/>
      <w:r w:rsidRPr="00AF1EBB">
        <w:rPr>
          <w:rFonts w:ascii="Times New Roman" w:eastAsia="Times New Roman" w:hAnsi="Times New Roman" w:cs="Times New Roman"/>
          <w:sz w:val="28"/>
          <w:szCs w:val="28"/>
          <w:lang w:val="ru-RU"/>
        </w:rPr>
        <w:t xml:space="preserve"> эффект. Состав топ-10 активов представлен в таблице ниже.</w:t>
      </w:r>
    </w:p>
    <w:p w14:paraId="21CA12FD" w14:textId="1EA0EBDF"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 xml:space="preserve">Таблица </w:t>
      </w:r>
      <w:r w:rsidR="008521AF">
        <w:rPr>
          <w:rFonts w:ascii="Times New Roman" w:eastAsia="Times New Roman" w:hAnsi="Times New Roman" w:cs="Times New Roman"/>
          <w:sz w:val="28"/>
          <w:szCs w:val="28"/>
          <w:lang w:val="ru-RU"/>
        </w:rPr>
        <w:t>2</w:t>
      </w:r>
      <w:r w:rsidRPr="00AF1EBB">
        <w:rPr>
          <w:rFonts w:ascii="Times New Roman" w:eastAsia="Times New Roman" w:hAnsi="Times New Roman" w:cs="Times New Roman"/>
          <w:sz w:val="28"/>
          <w:szCs w:val="28"/>
          <w:lang w:val="ru-RU"/>
        </w:rPr>
        <w:t xml:space="preserve"> – Топ-10 активов портфеля ОПИФ РФИ «ВИМ-Металлургия» на 30.04.2026</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26"/>
        <w:gridCol w:w="2500"/>
      </w:tblGrid>
      <w:tr w:rsidR="00AF1EBB" w:rsidRPr="008521AF" w14:paraId="007EFDF5"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7316D" w14:textId="77777777" w:rsidR="00AF1EBB" w:rsidRPr="008521AF" w:rsidRDefault="00AF1EBB" w:rsidP="009A785B">
            <w:pPr>
              <w:spacing w:line="300" w:lineRule="auto"/>
              <w:rPr>
                <w:sz w:val="24"/>
                <w:szCs w:val="24"/>
              </w:rPr>
            </w:pPr>
            <w:proofErr w:type="spellStart"/>
            <w:r w:rsidRPr="008521AF">
              <w:rPr>
                <w:rFonts w:ascii="Times New Roman" w:eastAsia="Times New Roman" w:hAnsi="Times New Roman" w:cs="Times New Roman"/>
                <w:b/>
                <w:bCs/>
                <w:sz w:val="24"/>
                <w:szCs w:val="24"/>
              </w:rPr>
              <w:t>Эмитент</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0014F" w14:textId="77777777" w:rsidR="00AF1EBB" w:rsidRPr="008521AF" w:rsidRDefault="00AF1EBB" w:rsidP="009A785B">
            <w:pPr>
              <w:spacing w:line="300" w:lineRule="auto"/>
              <w:jc w:val="center"/>
              <w:rPr>
                <w:sz w:val="24"/>
                <w:szCs w:val="24"/>
              </w:rPr>
            </w:pPr>
            <w:proofErr w:type="spellStart"/>
            <w:r w:rsidRPr="008521AF">
              <w:rPr>
                <w:rFonts w:ascii="Times New Roman" w:eastAsia="Times New Roman" w:hAnsi="Times New Roman" w:cs="Times New Roman"/>
                <w:b/>
                <w:bCs/>
                <w:sz w:val="24"/>
                <w:szCs w:val="24"/>
              </w:rPr>
              <w:t>Доля</w:t>
            </w:r>
            <w:proofErr w:type="spellEnd"/>
            <w:r w:rsidRPr="008521AF">
              <w:rPr>
                <w:rFonts w:ascii="Times New Roman" w:eastAsia="Times New Roman" w:hAnsi="Times New Roman" w:cs="Times New Roman"/>
                <w:b/>
                <w:bCs/>
                <w:sz w:val="24"/>
                <w:szCs w:val="24"/>
              </w:rPr>
              <w:t xml:space="preserve"> в </w:t>
            </w:r>
            <w:proofErr w:type="spellStart"/>
            <w:r w:rsidRPr="008521AF">
              <w:rPr>
                <w:rFonts w:ascii="Times New Roman" w:eastAsia="Times New Roman" w:hAnsi="Times New Roman" w:cs="Times New Roman"/>
                <w:b/>
                <w:bCs/>
                <w:sz w:val="24"/>
                <w:szCs w:val="24"/>
              </w:rPr>
              <w:t>портфеле</w:t>
            </w:r>
            <w:proofErr w:type="spellEnd"/>
            <w:r w:rsidRPr="008521AF">
              <w:rPr>
                <w:rFonts w:ascii="Times New Roman" w:eastAsia="Times New Roman" w:hAnsi="Times New Roman" w:cs="Times New Roman"/>
                <w:b/>
                <w:bCs/>
                <w:sz w:val="24"/>
                <w:szCs w:val="24"/>
              </w:rPr>
              <w:t>, %</w:t>
            </w:r>
          </w:p>
        </w:tc>
      </w:tr>
      <w:tr w:rsidR="00AF1EBB" w:rsidRPr="008521AF" w14:paraId="0DF930A0"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153B5"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w:t>
            </w:r>
            <w:proofErr w:type="spellStart"/>
            <w:r w:rsidRPr="008521AF">
              <w:rPr>
                <w:rFonts w:ascii="Times New Roman" w:eastAsia="Times New Roman" w:hAnsi="Times New Roman" w:cs="Times New Roman"/>
                <w:sz w:val="24"/>
                <w:szCs w:val="24"/>
              </w:rPr>
              <w:t>ФосАгро</w:t>
            </w:r>
            <w:proofErr w:type="spellEnd"/>
            <w:r w:rsidRPr="008521AF">
              <w:rPr>
                <w:rFonts w:ascii="Times New Roman" w:eastAsia="Times New Roman" w:hAnsi="Times New Roman" w:cs="Times New Roman"/>
                <w:sz w:val="24"/>
                <w:szCs w:val="24"/>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506F8"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9,80</w:t>
            </w:r>
          </w:p>
        </w:tc>
      </w:tr>
      <w:tr w:rsidR="00AF1EBB" w:rsidRPr="008521AF" w14:paraId="76303CC5"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B21B9"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«ГМК «</w:t>
            </w:r>
            <w:proofErr w:type="spellStart"/>
            <w:r w:rsidRPr="008521AF">
              <w:rPr>
                <w:rFonts w:ascii="Times New Roman" w:eastAsia="Times New Roman" w:hAnsi="Times New Roman" w:cs="Times New Roman"/>
                <w:sz w:val="24"/>
                <w:szCs w:val="24"/>
              </w:rPr>
              <w:t>Норильский</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никель</w:t>
            </w:r>
            <w:proofErr w:type="spellEnd"/>
            <w:r w:rsidRPr="008521AF">
              <w:rPr>
                <w:rFonts w:ascii="Times New Roman" w:eastAsia="Times New Roman" w:hAnsi="Times New Roman" w:cs="Times New Roman"/>
                <w:sz w:val="24"/>
                <w:szCs w:val="24"/>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98781"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9,52</w:t>
            </w:r>
          </w:p>
        </w:tc>
      </w:tr>
      <w:tr w:rsidR="00AF1EBB" w:rsidRPr="008521AF" w14:paraId="58CAB44C"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85AC3"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w:t>
            </w:r>
            <w:proofErr w:type="spellStart"/>
            <w:r w:rsidRPr="008521AF">
              <w:rPr>
                <w:rFonts w:ascii="Times New Roman" w:eastAsia="Times New Roman" w:hAnsi="Times New Roman" w:cs="Times New Roman"/>
                <w:sz w:val="24"/>
                <w:szCs w:val="24"/>
              </w:rPr>
              <w:t>Полюс</w:t>
            </w:r>
            <w:proofErr w:type="spellEnd"/>
            <w:r w:rsidRPr="008521AF">
              <w:rPr>
                <w:rFonts w:ascii="Times New Roman" w:eastAsia="Times New Roman" w:hAnsi="Times New Roman" w:cs="Times New Roman"/>
                <w:sz w:val="24"/>
                <w:szCs w:val="24"/>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EB4CB"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9,37</w:t>
            </w:r>
          </w:p>
        </w:tc>
      </w:tr>
      <w:tr w:rsidR="00AF1EBB" w:rsidRPr="008521AF" w14:paraId="696F5C74"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3BED1"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«ММК»</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C57C1"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9,26</w:t>
            </w:r>
          </w:p>
        </w:tc>
      </w:tr>
      <w:tr w:rsidR="00AF1EBB" w:rsidRPr="008521AF" w14:paraId="7C51F445"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CA12"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«РУСАЛ»</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6FF04"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9,17</w:t>
            </w:r>
          </w:p>
        </w:tc>
      </w:tr>
      <w:tr w:rsidR="00AF1EBB" w:rsidRPr="008521AF" w14:paraId="6FAD0715"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07A1"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w:t>
            </w:r>
            <w:proofErr w:type="spellStart"/>
            <w:r w:rsidRPr="008521AF">
              <w:rPr>
                <w:rFonts w:ascii="Times New Roman" w:eastAsia="Times New Roman" w:hAnsi="Times New Roman" w:cs="Times New Roman"/>
                <w:sz w:val="24"/>
                <w:szCs w:val="24"/>
              </w:rPr>
              <w:t>Северсталь</w:t>
            </w:r>
            <w:proofErr w:type="spellEnd"/>
            <w:r w:rsidRPr="008521AF">
              <w:rPr>
                <w:rFonts w:ascii="Times New Roman" w:eastAsia="Times New Roman" w:hAnsi="Times New Roman" w:cs="Times New Roman"/>
                <w:sz w:val="24"/>
                <w:szCs w:val="24"/>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2A267"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9,12</w:t>
            </w:r>
          </w:p>
        </w:tc>
      </w:tr>
      <w:tr w:rsidR="00AF1EBB" w:rsidRPr="008521AF" w14:paraId="17706F65"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59D46"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«НЛМК»</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F6EF4"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9,04</w:t>
            </w:r>
          </w:p>
        </w:tc>
      </w:tr>
      <w:tr w:rsidR="00AF1EBB" w:rsidRPr="008521AF" w14:paraId="4CFF6222"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E26C5"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«АЛРОСА»</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22C6E"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7,23</w:t>
            </w:r>
          </w:p>
        </w:tc>
      </w:tr>
      <w:tr w:rsidR="00AF1EBB" w:rsidRPr="008521AF" w14:paraId="260548E2"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49AF3"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МКПАО «ЭН+ ГРУП»</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94BFF"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6,36</w:t>
            </w:r>
          </w:p>
        </w:tc>
      </w:tr>
      <w:tr w:rsidR="00AF1EBB" w:rsidRPr="008521AF" w14:paraId="51B18724" w14:textId="77777777" w:rsidTr="009A785B">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9D860" w14:textId="77777777" w:rsidR="00AF1EBB" w:rsidRPr="008521AF" w:rsidRDefault="00AF1EBB" w:rsidP="009A785B">
            <w:pPr>
              <w:spacing w:line="300" w:lineRule="auto"/>
              <w:rPr>
                <w:sz w:val="24"/>
                <w:szCs w:val="24"/>
              </w:rPr>
            </w:pPr>
            <w:r w:rsidRPr="008521AF">
              <w:rPr>
                <w:rFonts w:ascii="Times New Roman" w:eastAsia="Times New Roman" w:hAnsi="Times New Roman" w:cs="Times New Roman"/>
                <w:sz w:val="24"/>
                <w:szCs w:val="24"/>
              </w:rPr>
              <w:t>ПАО «</w:t>
            </w:r>
            <w:proofErr w:type="spellStart"/>
            <w:r w:rsidRPr="008521AF">
              <w:rPr>
                <w:rFonts w:ascii="Times New Roman" w:eastAsia="Times New Roman" w:hAnsi="Times New Roman" w:cs="Times New Roman"/>
                <w:sz w:val="24"/>
                <w:szCs w:val="24"/>
              </w:rPr>
              <w:t>Корпорация</w:t>
            </w:r>
            <w:proofErr w:type="spellEnd"/>
            <w:r w:rsidRPr="008521AF">
              <w:rPr>
                <w:rFonts w:ascii="Times New Roman" w:eastAsia="Times New Roman" w:hAnsi="Times New Roman" w:cs="Times New Roman"/>
                <w:sz w:val="24"/>
                <w:szCs w:val="24"/>
              </w:rPr>
              <w:t xml:space="preserve"> ВСМПО-АВИСМА»</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7E9F48" w14:textId="77777777" w:rsidR="00AF1EBB" w:rsidRPr="008521AF" w:rsidRDefault="00AF1EBB" w:rsidP="009A785B">
            <w:pPr>
              <w:spacing w:line="300" w:lineRule="auto"/>
              <w:jc w:val="center"/>
              <w:rPr>
                <w:sz w:val="24"/>
                <w:szCs w:val="24"/>
              </w:rPr>
            </w:pPr>
            <w:r w:rsidRPr="008521AF">
              <w:rPr>
                <w:rFonts w:ascii="Times New Roman" w:eastAsia="Times New Roman" w:hAnsi="Times New Roman" w:cs="Times New Roman"/>
                <w:sz w:val="24"/>
                <w:szCs w:val="24"/>
              </w:rPr>
              <w:t>6,32</w:t>
            </w:r>
          </w:p>
        </w:tc>
      </w:tr>
    </w:tbl>
    <w:p w14:paraId="229A3ED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 xml:space="preserve">Источник: составлено автором по данным </w:t>
      </w:r>
      <w:proofErr w:type="spellStart"/>
      <w:r>
        <w:rPr>
          <w:rFonts w:ascii="Times New Roman" w:eastAsia="Times New Roman" w:hAnsi="Times New Roman" w:cs="Times New Roman"/>
          <w:sz w:val="28"/>
          <w:szCs w:val="28"/>
        </w:rPr>
        <w:t>investfunds</w:t>
      </w:r>
      <w:proofErr w:type="spellEnd"/>
      <w:r w:rsidRPr="00AF1EBB">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ru</w:t>
      </w:r>
      <w:proofErr w:type="spellEnd"/>
      <w:r w:rsidRPr="00AF1EBB">
        <w:rPr>
          <w:rFonts w:ascii="Times New Roman" w:eastAsia="Times New Roman" w:hAnsi="Times New Roman" w:cs="Times New Roman"/>
          <w:sz w:val="28"/>
          <w:szCs w:val="28"/>
          <w:lang w:val="ru-RU"/>
        </w:rPr>
        <w:t xml:space="preserve"> на 30.04.2026 [47].</w:t>
      </w:r>
    </w:p>
    <w:p w14:paraId="12692130" w14:textId="77777777" w:rsidR="00AF1EBB" w:rsidRPr="00AF1EBB" w:rsidRDefault="00AF1EBB" w:rsidP="00AF1EBB">
      <w:pPr>
        <w:spacing w:line="360" w:lineRule="auto"/>
        <w:rPr>
          <w:lang w:val="ru-RU"/>
        </w:rPr>
      </w:pPr>
    </w:p>
    <w:p w14:paraId="662ADD91"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Примечательно, что в составе портфеля присутствуют ПАО «ФосАгро» (химическая промышленность, 9,80%) и ПАО «Полюс» (золотодобыча, 9,37%), что указывает на постепенное расширение отраслевого охвата фонда за пределы узкого сегмента чёрной металлургии. Данные позиции обладают иными факторами доходности по сравнению с металлургическими эмитентами и теоретически способны снижать </w:t>
      </w:r>
      <w:proofErr w:type="spellStart"/>
      <w:r w:rsidRPr="00AF1EBB">
        <w:rPr>
          <w:rFonts w:ascii="Times New Roman" w:eastAsia="Times New Roman" w:hAnsi="Times New Roman" w:cs="Times New Roman"/>
          <w:sz w:val="28"/>
          <w:szCs w:val="28"/>
          <w:lang w:val="ru-RU"/>
        </w:rPr>
        <w:t>внутрипортфельную</w:t>
      </w:r>
      <w:proofErr w:type="spellEnd"/>
      <w:r w:rsidRPr="00AF1EBB">
        <w:rPr>
          <w:rFonts w:ascii="Times New Roman" w:eastAsia="Times New Roman" w:hAnsi="Times New Roman" w:cs="Times New Roman"/>
          <w:sz w:val="28"/>
          <w:szCs w:val="28"/>
          <w:lang w:val="ru-RU"/>
        </w:rPr>
        <w:t xml:space="preserve"> корреляцию. Тем не менее совокупная корреляция доходностей эмитентов сырьевого кластера остаётся высокой ввиду их общей чувствительности к глобальным товарным рынкам, валютному курсу и санкционному фону. Такая структура фактически означает, что фонд воспроизводит риск-профиль сырьевого кластера в целом, а не формирует подлинно диверсифицированный портфель [7, с. 112].</w:t>
      </w:r>
    </w:p>
    <w:p w14:paraId="1582E72F"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Резюмируя параметры структуры и инвестиционной направленности, уместно заключить, что ОПИФ РФИ «ВИМ-Металлургия» соответствует модели узкоспециализированного, слабо диверсифицированного отраслевого фонда. Концентрация подавляющей части активов в секторе сырья означает, что портфель в меньшей степени пользуется защитными эффектами межотраслевой диверсификации и, следовательно, в большей мере подвержен систематическим отраслевым рискам [29, с. 14].</w:t>
      </w:r>
    </w:p>
    <w:p w14:paraId="59EBB1F1"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Инфраструктурные расходы. Инвестиционная привлекательность и итоговое качество паевого инвестиционного фонда для конечного инвестора определяются не только валовой доходностью базовых активов, но и совокупным бременем инфраструктурных издержек, которые систематически снижают чистый финансовый результат [11, с. 42]. Согласно Правилам </w:t>
      </w:r>
      <w:r w:rsidRPr="00AF1EBB">
        <w:rPr>
          <w:rFonts w:ascii="Times New Roman" w:eastAsia="Times New Roman" w:hAnsi="Times New Roman" w:cs="Times New Roman"/>
          <w:sz w:val="28"/>
          <w:szCs w:val="28"/>
          <w:lang w:val="ru-RU"/>
        </w:rPr>
        <w:lastRenderedPageBreak/>
        <w:t>доверительного управления ОПИФ РФИ «ВИМ-Металлургия», вознаграждение управляющей компании установлено на уровне не более 3,00% от среднегодовой стоимости чистых активов фонда [50]. Совокупные вознаграждения специализированному депозитарию, регистратору и аудитору ограничены максимальным размером прочих расходов, оплачиваемых за счёт имущества фонда, на уровне не более 0,05% от среднегодовой СЧА (с учётом НДС) [50].</w:t>
      </w:r>
    </w:p>
    <w:p w14:paraId="42164969" w14:textId="6ABF69C8"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Таким образом, предельная суммарная нагрузка на активы фонда по статье вознаграждений и инфраструктурных расходов достигает порядка 3,05% годовых от СЧА. В современной практике для агрегированной оценки подобных расходов используется совокупный коэффициент затрат (</w:t>
      </w:r>
      <w:r>
        <w:rPr>
          <w:rFonts w:ascii="Times New Roman" w:eastAsia="Times New Roman" w:hAnsi="Times New Roman" w:cs="Times New Roman"/>
          <w:sz w:val="28"/>
          <w:szCs w:val="28"/>
        </w:rPr>
        <w:t>Total</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Expense</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TER</w:t>
      </w:r>
      <w:r w:rsidRPr="00AF1EBB">
        <w:rPr>
          <w:rFonts w:ascii="Times New Roman" w:eastAsia="Times New Roman" w:hAnsi="Times New Roman" w:cs="Times New Roman"/>
          <w:sz w:val="28"/>
          <w:szCs w:val="28"/>
          <w:lang w:val="ru-RU"/>
        </w:rPr>
        <w:t>). Наиболее существенное математическое воздействие инфраструктурные издержки оказывают на долгосрочный результат через искажение эффекта сложного процента. В стандартной формализации будущая стоимость инвестиции (</w:t>
      </w:r>
      <w:r>
        <w:rPr>
          <w:rFonts w:ascii="Times New Roman" w:eastAsia="Times New Roman" w:hAnsi="Times New Roman" w:cs="Times New Roman"/>
          <w:sz w:val="28"/>
          <w:szCs w:val="28"/>
        </w:rPr>
        <w:t>FV</w:t>
      </w:r>
      <w:r w:rsidRPr="00AF1EBB">
        <w:rPr>
          <w:rFonts w:ascii="Times New Roman" w:eastAsia="Times New Roman" w:hAnsi="Times New Roman" w:cs="Times New Roman"/>
          <w:sz w:val="28"/>
          <w:szCs w:val="28"/>
          <w:lang w:val="ru-RU"/>
        </w:rPr>
        <w:t xml:space="preserve">) при наличии ежегодных комиссий </w:t>
      </w:r>
      <w:r>
        <w:rPr>
          <w:rFonts w:ascii="Times New Roman" w:eastAsia="Times New Roman" w:hAnsi="Times New Roman" w:cs="Times New Roman"/>
          <w:sz w:val="28"/>
          <w:szCs w:val="28"/>
        </w:rPr>
        <w:t>c</w:t>
      </w:r>
      <w:r w:rsidRPr="00AF1EBB">
        <w:rPr>
          <w:rFonts w:ascii="Times New Roman" w:eastAsia="Times New Roman" w:hAnsi="Times New Roman" w:cs="Times New Roman"/>
          <w:sz w:val="28"/>
          <w:szCs w:val="28"/>
          <w:lang w:val="ru-RU"/>
        </w:rPr>
        <w:t xml:space="preserve"> аппроксимируется зависимостью</w:t>
      </w:r>
      <w:r w:rsidR="008521AF">
        <w:rPr>
          <w:rFonts w:ascii="Times New Roman" w:eastAsia="Times New Roman" w:hAnsi="Times New Roman" w:cs="Times New Roman"/>
          <w:sz w:val="28"/>
          <w:szCs w:val="28"/>
          <w:lang w:val="ru-RU"/>
        </w:rPr>
        <w:t xml:space="preserve"> (11)</w:t>
      </w:r>
      <w:r w:rsidRPr="00AF1EBB">
        <w:rPr>
          <w:rFonts w:ascii="Times New Roman" w:eastAsia="Times New Roman" w:hAnsi="Times New Roman" w:cs="Times New Roman"/>
          <w:sz w:val="28"/>
          <w:szCs w:val="28"/>
          <w:lang w:val="ru-RU"/>
        </w:rPr>
        <w:t>:</w:t>
      </w:r>
    </w:p>
    <w:p w14:paraId="6C0B1955" w14:textId="6B73DD2C" w:rsidR="00AF1EBB" w:rsidRPr="00AF1EBB" w:rsidRDefault="008521AF" w:rsidP="00AF1EBB">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AF1EBB" w:rsidRPr="00AF1EBB">
        <w:rPr>
          <w:rFonts w:ascii="Times New Roman" w:hAnsi="Times New Roman" w:cs="Times New Roman"/>
          <w:sz w:val="28"/>
          <w:szCs w:val="28"/>
          <w:lang w:val="ru-RU"/>
        </w:rPr>
        <w:t xml:space="preserve">FV = PV · (1 + r − </w:t>
      </w:r>
      <w:proofErr w:type="gramStart"/>
      <w:r w:rsidR="00AF1EBB" w:rsidRPr="00AF1EBB">
        <w:rPr>
          <w:rFonts w:ascii="Times New Roman" w:hAnsi="Times New Roman" w:cs="Times New Roman"/>
          <w:sz w:val="28"/>
          <w:szCs w:val="28"/>
          <w:lang w:val="ru-RU"/>
        </w:rPr>
        <w:t>c)n</w:t>
      </w:r>
      <w:proofErr w:type="gramEnd"/>
      <w:r w:rsidR="00AF1EBB" w:rsidRPr="00AF1EB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 xml:space="preserve">  </w:t>
      </w:r>
      <w:r w:rsidR="00AF1EBB" w:rsidRPr="00AF1EBB">
        <w:rPr>
          <w:rFonts w:ascii="Times New Roman" w:hAnsi="Times New Roman" w:cs="Times New Roman"/>
          <w:sz w:val="28"/>
          <w:szCs w:val="28"/>
          <w:lang w:val="ru-RU"/>
        </w:rPr>
        <w:t xml:space="preserve"> (</w:t>
      </w:r>
      <w:proofErr w:type="gramEnd"/>
      <w:r>
        <w:rPr>
          <w:rFonts w:ascii="Times New Roman" w:hAnsi="Times New Roman" w:cs="Times New Roman"/>
          <w:sz w:val="28"/>
          <w:szCs w:val="28"/>
          <w:lang w:val="ru-RU"/>
        </w:rPr>
        <w:t>11</w:t>
      </w:r>
      <w:r w:rsidR="00AF1EBB" w:rsidRPr="00AF1EBB">
        <w:rPr>
          <w:rFonts w:ascii="Times New Roman" w:hAnsi="Times New Roman" w:cs="Times New Roman"/>
          <w:sz w:val="28"/>
          <w:szCs w:val="28"/>
          <w:lang w:val="ru-RU"/>
        </w:rPr>
        <w:t>)</w:t>
      </w:r>
    </w:p>
    <w:p w14:paraId="00D7CA11" w14:textId="77777777" w:rsidR="00AF1EBB" w:rsidRPr="00AF1EBB" w:rsidRDefault="00AF1EBB" w:rsidP="00AF1EBB">
      <w:pPr>
        <w:spacing w:line="360" w:lineRule="auto"/>
        <w:ind w:firstLine="709"/>
        <w:jc w:val="both"/>
        <w:rPr>
          <w:rFonts w:ascii="Times New Roman" w:hAnsi="Times New Roman" w:cs="Times New Roman"/>
          <w:sz w:val="28"/>
          <w:szCs w:val="28"/>
          <w:lang w:val="ru-RU"/>
        </w:rPr>
      </w:pPr>
      <w:r w:rsidRPr="00AF1EBB">
        <w:rPr>
          <w:rFonts w:ascii="Times New Roman" w:hAnsi="Times New Roman" w:cs="Times New Roman"/>
          <w:sz w:val="28"/>
          <w:szCs w:val="28"/>
          <w:lang w:val="ru-RU"/>
        </w:rPr>
        <w:t xml:space="preserve">Поскольку n выступает экспоненциальным множителем, даже умеренные по величине ежегодные удержания способны сформировать кумулятивный эффект, особенно заметный на длинных временных интервалах. В условиях зафиксированной отрицательной доходности портфеля (−6,56% за год, −52,45% за пять лет) уровень инфраструктурных издержек в размере ~3,05% годовых оказывает дополнительное угнетающее воздействие на чистый финансовый результат пайщика. Реальная (инфляционно скорректированная) доходность вложений принимает тем самым глубоко отрицательные значения, что придаёт особую актуальность </w:t>
      </w:r>
      <w:r w:rsidRPr="00AF1EBB">
        <w:rPr>
          <w:rFonts w:ascii="Times New Roman" w:hAnsi="Times New Roman" w:cs="Times New Roman"/>
          <w:sz w:val="28"/>
          <w:szCs w:val="28"/>
          <w:lang w:val="ru-RU"/>
        </w:rPr>
        <w:lastRenderedPageBreak/>
        <w:t>разработке мер по повышению качества портфеля, рассматриваемых в главе 3 [47].</w:t>
      </w:r>
    </w:p>
    <w:p w14:paraId="499E50DD" w14:textId="77777777" w:rsidR="00EC4086" w:rsidRPr="00EC4086" w:rsidRDefault="00EC4086" w:rsidP="00AF1EBB">
      <w:pPr>
        <w:pStyle w:val="2"/>
        <w:spacing w:before="0" w:after="0" w:line="360" w:lineRule="auto"/>
        <w:jc w:val="left"/>
        <w:rPr>
          <w:bCs/>
          <w:lang w:val="ru-RU"/>
        </w:rPr>
      </w:pPr>
    </w:p>
    <w:p w14:paraId="599109D9" w14:textId="77777777" w:rsidR="005F2182" w:rsidRPr="00EC4086" w:rsidRDefault="005F2182" w:rsidP="004605F7">
      <w:pPr>
        <w:pStyle w:val="2"/>
        <w:spacing w:before="0" w:after="0" w:line="360" w:lineRule="auto"/>
        <w:rPr>
          <w:bCs/>
          <w:lang w:val="ru-RU"/>
        </w:rPr>
      </w:pPr>
      <w:bookmarkStart w:id="8" w:name="_Toc232337642"/>
      <w:r w:rsidRPr="00EC4086">
        <w:rPr>
          <w:bCs/>
          <w:lang w:val="ru-RU"/>
        </w:rPr>
        <w:t>2.2. Оценка инвестиционной привлекательности крупнейших объектов инвестирования ОПИФ РФИ «ВИМ-Металлургия»</w:t>
      </w:r>
      <w:bookmarkEnd w:id="8"/>
    </w:p>
    <w:p w14:paraId="2C33A253" w14:textId="77777777" w:rsidR="005F2182" w:rsidRPr="00EC4086" w:rsidRDefault="005F2182" w:rsidP="004605F7">
      <w:pPr>
        <w:spacing w:line="360" w:lineRule="auto"/>
        <w:jc w:val="both"/>
        <w:rPr>
          <w:rFonts w:ascii="Times New Roman" w:hAnsi="Times New Roman" w:cs="Times New Roman"/>
          <w:sz w:val="28"/>
          <w:szCs w:val="28"/>
          <w:lang w:val="ru-RU"/>
        </w:rPr>
      </w:pPr>
    </w:p>
    <w:p w14:paraId="411CC222"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Риск-профиль и потенциальная динамика стоимости чистых активов в значительной степени определяются фундаментальными характеристиками предприятий-эмитентов, которые формируют ядро рассматриваемого портфеля. В настоящем параграфе представлен развернутый финансовый анализ пяти компаний, обладающих наибольшим удельным весом в структуре активов фонда; анализ опирается на консолидированную отчетность, подготовленную по МСФО и РСБУ, за последние доступные отчетные периоды [11, с. 132].</w:t>
      </w:r>
    </w:p>
    <w:p w14:paraId="35952B7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ПАО «Северсталь» представляет собой вертикально интегрированную металлургическую и горнодобывающую группу и традиционно рассматривается как один из системообразующих участников российской черной металлургии [33, с. 15]. Ниже приведены подробные расчёты ключевых финансовых показателей на основе годовой консолидированной отчётности по МСФО за 2023 год [48].</w:t>
      </w:r>
    </w:p>
    <w:p w14:paraId="36B1D05F" w14:textId="3E325AFD"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Коэффициент текущей ликвидности рассчитывается по общей формуле</w:t>
      </w:r>
      <w:r w:rsidR="008521AF">
        <w:rPr>
          <w:rFonts w:ascii="Times New Roman" w:eastAsia="Times New Roman" w:hAnsi="Times New Roman" w:cs="Times New Roman"/>
          <w:sz w:val="28"/>
          <w:szCs w:val="28"/>
          <w:lang w:val="ru-RU"/>
        </w:rPr>
        <w:t xml:space="preserve"> (12)</w:t>
      </w:r>
      <w:r w:rsidRPr="00AF1EBB">
        <w:rPr>
          <w:rFonts w:ascii="Times New Roman" w:eastAsia="Times New Roman" w:hAnsi="Times New Roman" w:cs="Times New Roman"/>
          <w:sz w:val="28"/>
          <w:szCs w:val="28"/>
          <w:lang w:val="ru-RU"/>
        </w:rPr>
        <w:t>:</w:t>
      </w:r>
    </w:p>
    <w:p w14:paraId="5E939950" w14:textId="0D420159" w:rsidR="00AF1EBB" w:rsidRPr="008521AF" w:rsidRDefault="008521AF"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proofErr w:type="spellStart"/>
      <w:r w:rsidR="00AF1EBB" w:rsidRPr="008521AF">
        <w:rPr>
          <w:rFonts w:ascii="Times New Roman" w:eastAsia="Times New Roman" w:hAnsi="Times New Roman" w:cs="Times New Roman"/>
          <w:sz w:val="28"/>
          <w:szCs w:val="28"/>
          <w:lang w:val="ru-RU"/>
        </w:rPr>
        <w:t>Ктл</w:t>
      </w:r>
      <w:proofErr w:type="spellEnd"/>
      <w:r w:rsidR="00AF1EBB" w:rsidRPr="008521AF">
        <w:rPr>
          <w:rFonts w:ascii="Times New Roman" w:eastAsia="Times New Roman" w:hAnsi="Times New Roman" w:cs="Times New Roman"/>
          <w:sz w:val="28"/>
          <w:szCs w:val="28"/>
          <w:lang w:val="ru-RU"/>
        </w:rPr>
        <w:t xml:space="preserve"> = Оборотные активы / Краткосрочные обязательства</w:t>
      </w:r>
      <w:r>
        <w:rPr>
          <w:rFonts w:ascii="Times New Roman" w:eastAsia="Times New Roman" w:hAnsi="Times New Roman" w:cs="Times New Roman"/>
          <w:sz w:val="28"/>
          <w:szCs w:val="28"/>
          <w:lang w:val="ru-RU"/>
        </w:rPr>
        <w:t>,        (12)</w:t>
      </w:r>
    </w:p>
    <w:p w14:paraId="5F6D72DE" w14:textId="1EA02E45"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Подставляя данные отчётности ПАО «Северсталь» за 2023 г. (оборотные активы — 408,3 млрд руб.; краткосрочные обязательства — 185,5 млрд руб.) [48]</w:t>
      </w:r>
      <w:r w:rsidR="008521AF">
        <w:rPr>
          <w:rFonts w:ascii="Times New Roman" w:eastAsia="Times New Roman" w:hAnsi="Times New Roman" w:cs="Times New Roman"/>
          <w:sz w:val="28"/>
          <w:szCs w:val="28"/>
          <w:lang w:val="ru-RU"/>
        </w:rPr>
        <w:t xml:space="preserve"> </w:t>
      </w:r>
      <w:r w:rsidR="008521AF" w:rsidRPr="008521AF">
        <w:rPr>
          <w:rFonts w:ascii="Times New Roman" w:eastAsia="Times New Roman" w:hAnsi="Times New Roman" w:cs="Times New Roman"/>
          <w:sz w:val="28"/>
          <w:szCs w:val="28"/>
          <w:lang w:val="ru-RU"/>
        </w:rPr>
        <w:t>(13)</w:t>
      </w:r>
      <w:r w:rsidRPr="00AF1EBB">
        <w:rPr>
          <w:rFonts w:ascii="Times New Roman" w:eastAsia="Times New Roman" w:hAnsi="Times New Roman" w:cs="Times New Roman"/>
          <w:sz w:val="28"/>
          <w:szCs w:val="28"/>
          <w:lang w:val="ru-RU"/>
        </w:rPr>
        <w:t>:</w:t>
      </w:r>
    </w:p>
    <w:p w14:paraId="04DCA291" w14:textId="294031C0" w:rsidR="00AF1EBB" w:rsidRPr="00AF1EBB" w:rsidRDefault="008521AF" w:rsidP="00AF1EBB">
      <w:pPr>
        <w:spacing w:line="360" w:lineRule="auto"/>
        <w:jc w:val="center"/>
        <w:rPr>
          <w:lang w:val="ru-RU"/>
        </w:rPr>
      </w:pPr>
      <w:r>
        <w:rPr>
          <w:rFonts w:ascii="Times New Roman" w:eastAsia="Times New Roman" w:hAnsi="Times New Roman" w:cs="Times New Roman"/>
          <w:sz w:val="28"/>
          <w:szCs w:val="28"/>
          <w:lang w:val="ru-RU"/>
        </w:rPr>
        <w:t xml:space="preserve">                                                  </w:t>
      </w:r>
      <w:proofErr w:type="spellStart"/>
      <w:r w:rsidR="00AF1EBB" w:rsidRPr="00AF1EBB">
        <w:rPr>
          <w:rFonts w:ascii="Times New Roman" w:eastAsia="Times New Roman" w:hAnsi="Times New Roman" w:cs="Times New Roman"/>
          <w:sz w:val="28"/>
          <w:szCs w:val="28"/>
          <w:lang w:val="ru-RU"/>
        </w:rPr>
        <w:t>Ктл</w:t>
      </w:r>
      <w:proofErr w:type="spellEnd"/>
      <w:r w:rsidR="00AF1EBB" w:rsidRPr="00AF1EBB">
        <w:rPr>
          <w:rFonts w:ascii="Times New Roman" w:eastAsia="Times New Roman" w:hAnsi="Times New Roman" w:cs="Times New Roman"/>
          <w:sz w:val="28"/>
          <w:szCs w:val="28"/>
          <w:lang w:val="ru-RU"/>
        </w:rPr>
        <w:t xml:space="preserve"> = 408,3 / 185,5 = 2,20</w:t>
      </w:r>
      <w:r>
        <w:rPr>
          <w:rFonts w:ascii="Times New Roman" w:eastAsia="Times New Roman" w:hAnsi="Times New Roman" w:cs="Times New Roman"/>
          <w:sz w:val="28"/>
          <w:szCs w:val="28"/>
          <w:lang w:val="ru-RU"/>
        </w:rPr>
        <w:t>,                                 (13)</w:t>
      </w:r>
    </w:p>
    <w:p w14:paraId="1F55481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Результат 2,20 устойчиво превышает ориентир 2,0, что характеризует высокий запас краткосрочной платежеспособности.</w:t>
      </w:r>
    </w:p>
    <w:p w14:paraId="25BAF1F9" w14:textId="3DF058DF"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Рентабельность собственного капитала (</w:t>
      </w: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w:t>
      </w:r>
      <w:r w:rsidR="008521AF">
        <w:rPr>
          <w:rFonts w:ascii="Times New Roman" w:eastAsia="Times New Roman" w:hAnsi="Times New Roman" w:cs="Times New Roman"/>
          <w:sz w:val="28"/>
          <w:szCs w:val="28"/>
          <w:lang w:val="ru-RU"/>
        </w:rPr>
        <w:t xml:space="preserve"> (14)</w:t>
      </w:r>
      <w:r w:rsidRPr="00AF1EBB">
        <w:rPr>
          <w:rFonts w:ascii="Times New Roman" w:eastAsia="Times New Roman" w:hAnsi="Times New Roman" w:cs="Times New Roman"/>
          <w:sz w:val="28"/>
          <w:szCs w:val="28"/>
          <w:lang w:val="ru-RU"/>
        </w:rPr>
        <w:t>:</w:t>
      </w:r>
    </w:p>
    <w:p w14:paraId="0FE1949C" w14:textId="2953495A" w:rsidR="00AF1EBB" w:rsidRPr="008521AF" w:rsidRDefault="008521AF"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ROE = Чистая прибыль / Собственный капитал × 100</w:t>
      </w:r>
      <w:proofErr w:type="gramStart"/>
      <w:r w:rsidR="00AF1EBB" w:rsidRPr="008521A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14)</w:t>
      </w:r>
    </w:p>
    <w:p w14:paraId="5C0ECC28" w14:textId="3324C7E0"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Чистая прибыль ПАО «Северсталь» за 2023 г. — 193,4 млрд руб.; среднегодовой собственный капитал — 613,7 млрд руб. [48]</w:t>
      </w:r>
      <w:r w:rsidR="008521AF">
        <w:rPr>
          <w:rFonts w:ascii="Times New Roman" w:eastAsia="Times New Roman" w:hAnsi="Times New Roman" w:cs="Times New Roman"/>
          <w:sz w:val="28"/>
          <w:szCs w:val="28"/>
          <w:lang w:val="ru-RU"/>
        </w:rPr>
        <w:t xml:space="preserve"> (15)</w:t>
      </w:r>
      <w:r w:rsidRPr="00AF1EBB">
        <w:rPr>
          <w:rFonts w:ascii="Times New Roman" w:eastAsia="Times New Roman" w:hAnsi="Times New Roman" w:cs="Times New Roman"/>
          <w:sz w:val="28"/>
          <w:szCs w:val="28"/>
          <w:lang w:val="ru-RU"/>
        </w:rPr>
        <w:t>:</w:t>
      </w:r>
    </w:p>
    <w:p w14:paraId="3EBB102B" w14:textId="67EDF8B7" w:rsidR="00AF1EBB" w:rsidRPr="00AF1EBB" w:rsidRDefault="008521AF" w:rsidP="00AF1EBB">
      <w:pPr>
        <w:spacing w:line="360" w:lineRule="auto"/>
        <w:jc w:val="center"/>
        <w:rPr>
          <w:lang w:val="ru-RU"/>
        </w:rPr>
      </w:pPr>
      <w:r>
        <w:rPr>
          <w:rFonts w:ascii="Times New Roman" w:eastAsia="Times New Roman" w:hAnsi="Times New Roman" w:cs="Times New Roman"/>
          <w:sz w:val="28"/>
          <w:szCs w:val="28"/>
          <w:lang w:val="ru-RU"/>
        </w:rPr>
        <w:t xml:space="preserve">                              </w:t>
      </w:r>
      <w:r w:rsidR="00AF1EBB">
        <w:rPr>
          <w:rFonts w:ascii="Times New Roman" w:eastAsia="Times New Roman" w:hAnsi="Times New Roman" w:cs="Times New Roman"/>
          <w:sz w:val="28"/>
          <w:szCs w:val="28"/>
        </w:rPr>
        <w:t>ROE</w:t>
      </w:r>
      <w:r w:rsidR="00AF1EBB" w:rsidRPr="00AF1EBB">
        <w:rPr>
          <w:rFonts w:ascii="Times New Roman" w:eastAsia="Times New Roman" w:hAnsi="Times New Roman" w:cs="Times New Roman"/>
          <w:sz w:val="28"/>
          <w:szCs w:val="28"/>
          <w:lang w:val="ru-RU"/>
        </w:rPr>
        <w:t xml:space="preserve"> = 193,4 / 613,7 × 100% = 31,5</w:t>
      </w:r>
      <w:proofErr w:type="gramStart"/>
      <w:r w:rsidR="00AF1EBB" w:rsidRPr="00AF1EBB">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15)</w:t>
      </w:r>
    </w:p>
    <w:p w14:paraId="29682235"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Рентабельность активов (</w:t>
      </w:r>
      <w:r>
        <w:rPr>
          <w:rFonts w:ascii="Times New Roman" w:eastAsia="Times New Roman" w:hAnsi="Times New Roman" w:cs="Times New Roman"/>
          <w:sz w:val="28"/>
          <w:szCs w:val="28"/>
        </w:rPr>
        <w:t>ROA</w:t>
      </w:r>
      <w:r w:rsidRPr="00AF1EBB">
        <w:rPr>
          <w:rFonts w:ascii="Times New Roman" w:eastAsia="Times New Roman" w:hAnsi="Times New Roman" w:cs="Times New Roman"/>
          <w:sz w:val="28"/>
          <w:szCs w:val="28"/>
          <w:lang w:val="ru-RU"/>
        </w:rPr>
        <w:t xml:space="preserve"> = Чистая прибыль / Активы × 100%): 193,4 / 992,1 × 100% = 19,5%. Маржинальность по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устойчиво превосходит среднеотраслевые значения, что согласуется с гипотезой о контроле издержек и масштабном эффекте.</w:t>
      </w:r>
    </w:p>
    <w:p w14:paraId="1AF503E7" w14:textId="6711CB51" w:rsidR="00AF1EBB" w:rsidRPr="008521AF" w:rsidRDefault="008521AF"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Для оценки </w:t>
      </w:r>
      <w:r w:rsidR="00AF1EBB" w:rsidRPr="008521AF">
        <w:rPr>
          <w:rFonts w:ascii="Times New Roman" w:eastAsia="Times New Roman" w:hAnsi="Times New Roman" w:cs="Times New Roman"/>
          <w:sz w:val="28"/>
          <w:szCs w:val="28"/>
          <w:lang w:val="ru-RU"/>
        </w:rPr>
        <w:t>риска банкротства (</w:t>
      </w:r>
      <w:r w:rsidR="00AF1EBB" w:rsidRPr="008521AF">
        <w:rPr>
          <w:rFonts w:ascii="Times New Roman" w:eastAsia="Times New Roman" w:hAnsi="Times New Roman" w:cs="Times New Roman"/>
          <w:sz w:val="28"/>
          <w:szCs w:val="28"/>
        </w:rPr>
        <w:t>Z</w:t>
      </w:r>
      <w:r w:rsidR="00AF1EBB" w:rsidRPr="008521AF">
        <w:rPr>
          <w:rFonts w:ascii="Times New Roman" w:eastAsia="Times New Roman" w:hAnsi="Times New Roman" w:cs="Times New Roman"/>
          <w:sz w:val="28"/>
          <w:szCs w:val="28"/>
          <w:lang w:val="ru-RU"/>
        </w:rPr>
        <w:t>-счёт Альтмана)</w:t>
      </w:r>
      <w:r w:rsidRPr="008521AF">
        <w:rPr>
          <w:rFonts w:ascii="Times New Roman" w:eastAsia="Times New Roman" w:hAnsi="Times New Roman" w:cs="Times New Roman"/>
          <w:sz w:val="28"/>
          <w:szCs w:val="28"/>
          <w:lang w:val="ru-RU"/>
        </w:rPr>
        <w:t xml:space="preserve"> и</w:t>
      </w:r>
      <w:r w:rsidR="00AF1EBB" w:rsidRPr="008521AF">
        <w:rPr>
          <w:rFonts w:ascii="Times New Roman" w:eastAsia="Times New Roman" w:hAnsi="Times New Roman" w:cs="Times New Roman"/>
          <w:sz w:val="28"/>
          <w:szCs w:val="28"/>
          <w:lang w:val="ru-RU"/>
        </w:rPr>
        <w:t>спользуется пятифакторная модель для публичных компаний [43]</w:t>
      </w:r>
      <w:r>
        <w:rPr>
          <w:rFonts w:ascii="Times New Roman" w:eastAsia="Times New Roman" w:hAnsi="Times New Roman" w:cs="Times New Roman"/>
          <w:sz w:val="28"/>
          <w:szCs w:val="28"/>
          <w:lang w:val="ru-RU"/>
        </w:rPr>
        <w:t xml:space="preserve"> (16)</w:t>
      </w:r>
      <w:r w:rsidR="00AF1EBB" w:rsidRPr="008521AF">
        <w:rPr>
          <w:rFonts w:ascii="Times New Roman" w:eastAsia="Times New Roman" w:hAnsi="Times New Roman" w:cs="Times New Roman"/>
          <w:sz w:val="28"/>
          <w:szCs w:val="28"/>
          <w:lang w:val="ru-RU"/>
        </w:rPr>
        <w:t>:</w:t>
      </w:r>
    </w:p>
    <w:p w14:paraId="44A374AF" w14:textId="378835F6" w:rsidR="00AF1EBB" w:rsidRPr="008521AF" w:rsidRDefault="008521AF" w:rsidP="00AF1EBB">
      <w:pPr>
        <w:spacing w:line="360" w:lineRule="auto"/>
        <w:jc w:val="center"/>
        <w:rPr>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rPr>
        <w:t>Z</w:t>
      </w:r>
      <w:r w:rsidR="00AF1EBB" w:rsidRPr="008521AF">
        <w:rPr>
          <w:rFonts w:ascii="Times New Roman" w:eastAsia="Times New Roman" w:hAnsi="Times New Roman" w:cs="Times New Roman"/>
          <w:sz w:val="28"/>
          <w:szCs w:val="28"/>
          <w:lang w:val="ru-RU"/>
        </w:rPr>
        <w:t xml:space="preserve"> = 1,2·</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1 + 1,4·</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2 + 3,3·</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3 + 0,6·</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4 + 1,0·</w:t>
      </w:r>
      <w:r w:rsidR="00AF1EBB" w:rsidRPr="008521AF">
        <w:rPr>
          <w:rFonts w:ascii="Times New Roman" w:eastAsia="Times New Roman" w:hAnsi="Times New Roman" w:cs="Times New Roman"/>
          <w:sz w:val="28"/>
          <w:szCs w:val="28"/>
        </w:rPr>
        <w:t>X</w:t>
      </w:r>
      <w:proofErr w:type="gramStart"/>
      <w:r w:rsidR="00AF1EBB" w:rsidRPr="008521AF">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16)</w:t>
      </w:r>
    </w:p>
    <w:p w14:paraId="4DC02727"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1 = Оборотный капитал / Активы;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2 = Нераспределённая прибыль / Активы;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3 = </w:t>
      </w:r>
      <w:r>
        <w:rPr>
          <w:rFonts w:ascii="Times New Roman" w:eastAsia="Times New Roman" w:hAnsi="Times New Roman" w:cs="Times New Roman"/>
          <w:sz w:val="28"/>
          <w:szCs w:val="28"/>
        </w:rPr>
        <w:t>EBIT</w:t>
      </w:r>
      <w:r w:rsidRPr="00AF1EBB">
        <w:rPr>
          <w:rFonts w:ascii="Times New Roman" w:eastAsia="Times New Roman" w:hAnsi="Times New Roman" w:cs="Times New Roman"/>
          <w:sz w:val="28"/>
          <w:szCs w:val="28"/>
          <w:lang w:val="ru-RU"/>
        </w:rPr>
        <w:t xml:space="preserve"> / Активы;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4 = Рыночная капитализация / Обязательства;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5 = Выручка / Активы.</w:t>
      </w:r>
    </w:p>
    <w:p w14:paraId="5FAAEB3E" w14:textId="74A1EEED"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Расчёт на основе данных [48]: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1 = 0,23;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2 = 0,41;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3 = 0,24;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4 = 1,18;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5 = 0,85. Итог</w:t>
      </w:r>
      <w:r w:rsidR="008521AF">
        <w:rPr>
          <w:rFonts w:ascii="Times New Roman" w:eastAsia="Times New Roman" w:hAnsi="Times New Roman" w:cs="Times New Roman"/>
          <w:sz w:val="28"/>
          <w:szCs w:val="28"/>
          <w:lang w:val="ru-RU"/>
        </w:rPr>
        <w:t xml:space="preserve"> (17)</w:t>
      </w:r>
      <w:r w:rsidRPr="00AF1EBB">
        <w:rPr>
          <w:rFonts w:ascii="Times New Roman" w:eastAsia="Times New Roman" w:hAnsi="Times New Roman" w:cs="Times New Roman"/>
          <w:sz w:val="28"/>
          <w:szCs w:val="28"/>
          <w:lang w:val="ru-RU"/>
        </w:rPr>
        <w:t>:</w:t>
      </w:r>
    </w:p>
    <w:p w14:paraId="3B0F8ED4" w14:textId="2FD7A7A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1,2·0,23 + 1,4·0,41 + 3,3·0,24 + 0,6·1,18 + 1,0·0,85 = 0,276 + 0,574 + 0,792 </w:t>
      </w:r>
      <w:proofErr w:type="gramStart"/>
      <w:r w:rsidRPr="00AF1EBB">
        <w:rPr>
          <w:rFonts w:ascii="Times New Roman" w:eastAsia="Times New Roman" w:hAnsi="Times New Roman" w:cs="Times New Roman"/>
          <w:sz w:val="28"/>
          <w:szCs w:val="28"/>
          <w:lang w:val="ru-RU"/>
        </w:rPr>
        <w:t xml:space="preserve">+ </w:t>
      </w:r>
      <w:r w:rsidR="008521AF">
        <w:rPr>
          <w:rFonts w:ascii="Times New Roman" w:eastAsia="Times New Roman" w:hAnsi="Times New Roman" w:cs="Times New Roman"/>
          <w:sz w:val="28"/>
          <w:szCs w:val="28"/>
          <w:lang w:val="ru-RU"/>
        </w:rPr>
        <w:t xml:space="preserve"> </w:t>
      </w:r>
      <w:r w:rsidRPr="00AF1EBB">
        <w:rPr>
          <w:rFonts w:ascii="Times New Roman" w:eastAsia="Times New Roman" w:hAnsi="Times New Roman" w:cs="Times New Roman"/>
          <w:sz w:val="28"/>
          <w:szCs w:val="28"/>
          <w:lang w:val="ru-RU"/>
        </w:rPr>
        <w:t>0,708</w:t>
      </w:r>
      <w:proofErr w:type="gramEnd"/>
      <w:r w:rsidRPr="00AF1EBB">
        <w:rPr>
          <w:rFonts w:ascii="Times New Roman" w:eastAsia="Times New Roman" w:hAnsi="Times New Roman" w:cs="Times New Roman"/>
          <w:sz w:val="28"/>
          <w:szCs w:val="28"/>
          <w:lang w:val="ru-RU"/>
        </w:rPr>
        <w:t xml:space="preserve"> + 0,850 = 3,</w:t>
      </w:r>
      <w:proofErr w:type="gramStart"/>
      <w:r w:rsidRPr="00AF1EBB">
        <w:rPr>
          <w:rFonts w:ascii="Times New Roman" w:eastAsia="Times New Roman" w:hAnsi="Times New Roman" w:cs="Times New Roman"/>
          <w:sz w:val="28"/>
          <w:szCs w:val="28"/>
          <w:lang w:val="ru-RU"/>
        </w:rPr>
        <w:t>20</w:t>
      </w:r>
      <w:r w:rsidR="008521AF">
        <w:rPr>
          <w:rFonts w:ascii="Times New Roman" w:eastAsia="Times New Roman" w:hAnsi="Times New Roman" w:cs="Times New Roman"/>
          <w:sz w:val="28"/>
          <w:szCs w:val="28"/>
          <w:lang w:val="ru-RU"/>
        </w:rPr>
        <w:t xml:space="preserve">,   </w:t>
      </w:r>
      <w:proofErr w:type="gramEnd"/>
      <w:r w:rsidR="008521AF">
        <w:rPr>
          <w:rFonts w:ascii="Times New Roman" w:eastAsia="Times New Roman" w:hAnsi="Times New Roman" w:cs="Times New Roman"/>
          <w:sz w:val="28"/>
          <w:szCs w:val="28"/>
          <w:lang w:val="ru-RU"/>
        </w:rPr>
        <w:t xml:space="preserve">                                                                                     </w:t>
      </w:r>
      <w:proofErr w:type="gramStart"/>
      <w:r w:rsidR="008521AF">
        <w:rPr>
          <w:rFonts w:ascii="Times New Roman" w:eastAsia="Times New Roman" w:hAnsi="Times New Roman" w:cs="Times New Roman"/>
          <w:sz w:val="28"/>
          <w:szCs w:val="28"/>
          <w:lang w:val="ru-RU"/>
        </w:rPr>
        <w:t xml:space="preserve">   (</w:t>
      </w:r>
      <w:proofErr w:type="gramEnd"/>
      <w:r w:rsidR="008521AF">
        <w:rPr>
          <w:rFonts w:ascii="Times New Roman" w:eastAsia="Times New Roman" w:hAnsi="Times New Roman" w:cs="Times New Roman"/>
          <w:sz w:val="28"/>
          <w:szCs w:val="28"/>
          <w:lang w:val="ru-RU"/>
        </w:rPr>
        <w:t>17)</w:t>
      </w:r>
    </w:p>
    <w:p w14:paraId="5EE724A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Значение </w:t>
      </w: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3,20 существенно превышает порог 2,99, соответствующий «безопасной зоне». Вероятность банкротства оценивается как крайне низкая. Коэффициент автономии (Собственный капитал / Активы) = 613,7 / 992,1 = 0,62, что подтверждает консервативную структуру капитала.</w:t>
      </w:r>
    </w:p>
    <w:p w14:paraId="5E19B01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ПАО «ММК» относится к крупнейшим российским производителям стали и исторически ориентировано на внутренний рынок [33, с. 17]. Расчёты выполнены на основе консолидированной отчётности МСФО за 2023 г. [50].</w:t>
      </w:r>
    </w:p>
    <w:p w14:paraId="1A84DACA" w14:textId="2BAF612F"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Коэффициент текущей ликвидности</w:t>
      </w:r>
      <w:r w:rsidR="008521AF">
        <w:rPr>
          <w:rFonts w:ascii="Times New Roman" w:eastAsia="Times New Roman" w:hAnsi="Times New Roman" w:cs="Times New Roman"/>
          <w:sz w:val="28"/>
          <w:szCs w:val="28"/>
          <w:lang w:val="ru-RU"/>
        </w:rPr>
        <w:t xml:space="preserve"> (18)</w:t>
      </w:r>
      <w:r w:rsidRPr="00AF1EBB">
        <w:rPr>
          <w:rFonts w:ascii="Times New Roman" w:eastAsia="Times New Roman" w:hAnsi="Times New Roman" w:cs="Times New Roman"/>
          <w:sz w:val="28"/>
          <w:szCs w:val="28"/>
          <w:lang w:val="ru-RU"/>
        </w:rPr>
        <w:t>:</w:t>
      </w:r>
    </w:p>
    <w:p w14:paraId="75CA43F5" w14:textId="19A2418D" w:rsidR="00AF1EBB" w:rsidRPr="00AF1EBB" w:rsidRDefault="00AF1EBB" w:rsidP="00AF1EBB">
      <w:pPr>
        <w:spacing w:line="360" w:lineRule="auto"/>
        <w:jc w:val="center"/>
        <w:rPr>
          <w:lang w:val="ru-RU"/>
        </w:rPr>
      </w:pPr>
      <w:proofErr w:type="spellStart"/>
      <w:r w:rsidRPr="00AF1EBB">
        <w:rPr>
          <w:rFonts w:ascii="Times New Roman" w:eastAsia="Times New Roman" w:hAnsi="Times New Roman" w:cs="Times New Roman"/>
          <w:sz w:val="28"/>
          <w:szCs w:val="28"/>
          <w:lang w:val="ru-RU"/>
        </w:rPr>
        <w:t>Ктл</w:t>
      </w:r>
      <w:proofErr w:type="spellEnd"/>
      <w:r w:rsidRPr="00AF1EBB">
        <w:rPr>
          <w:rFonts w:ascii="Times New Roman" w:eastAsia="Times New Roman" w:hAnsi="Times New Roman" w:cs="Times New Roman"/>
          <w:sz w:val="28"/>
          <w:szCs w:val="28"/>
          <w:lang w:val="ru-RU"/>
        </w:rPr>
        <w:t xml:space="preserve"> = Оборотные активы / Краткосрочные обязательства = 286,4 / 124,5 = 2,30</w:t>
      </w:r>
      <w:r w:rsidR="008521AF">
        <w:rPr>
          <w:rFonts w:ascii="Times New Roman" w:eastAsia="Times New Roman" w:hAnsi="Times New Roman" w:cs="Times New Roman"/>
          <w:sz w:val="28"/>
          <w:szCs w:val="28"/>
          <w:lang w:val="ru-RU"/>
        </w:rPr>
        <w:t>,                                                                                                                     (18)</w:t>
      </w:r>
    </w:p>
    <w:p w14:paraId="6B9E004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2,30 свидетельствует о значительном запасе ликвидности. Объём денежных средств и эквивалентов составляет 74,2 млрд руб., что снижает вероятность кассовых разрывов до минимума [50].</w:t>
      </w:r>
    </w:p>
    <w:p w14:paraId="277D310F" w14:textId="239AA556" w:rsidR="00AF1EBB" w:rsidRPr="00AF1EBB"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Анализ рентабельности</w:t>
      </w:r>
      <w:r w:rsidR="008521AF" w:rsidRPr="008521AF">
        <w:rPr>
          <w:rFonts w:ascii="Times New Roman" w:eastAsia="Times New Roman" w:hAnsi="Times New Roman" w:cs="Times New Roman"/>
          <w:sz w:val="28"/>
          <w:szCs w:val="28"/>
          <w:lang w:val="ru-RU"/>
        </w:rPr>
        <w:t>,</w:t>
      </w:r>
      <w:r w:rsidR="008521AF">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sz w:val="28"/>
          <w:szCs w:val="28"/>
        </w:rPr>
        <w:t>ROE</w:t>
      </w:r>
      <w:r w:rsidR="008521AF">
        <w:rPr>
          <w:rFonts w:ascii="Times New Roman" w:eastAsia="Times New Roman" w:hAnsi="Times New Roman" w:cs="Times New Roman"/>
          <w:sz w:val="28"/>
          <w:szCs w:val="28"/>
          <w:lang w:val="ru-RU"/>
        </w:rPr>
        <w:t xml:space="preserve"> (19)</w:t>
      </w:r>
      <w:r w:rsidRPr="00AF1EBB">
        <w:rPr>
          <w:rFonts w:ascii="Times New Roman" w:eastAsia="Times New Roman" w:hAnsi="Times New Roman" w:cs="Times New Roman"/>
          <w:sz w:val="28"/>
          <w:szCs w:val="28"/>
          <w:lang w:val="ru-RU"/>
        </w:rPr>
        <w:t>:</w:t>
      </w:r>
    </w:p>
    <w:p w14:paraId="08CFC5C6" w14:textId="0D226E88" w:rsidR="00AF1EBB" w:rsidRPr="00AF1EBB" w:rsidRDefault="008521AF" w:rsidP="00AF1EBB">
      <w:pPr>
        <w:spacing w:line="360" w:lineRule="auto"/>
        <w:jc w:val="center"/>
        <w:rPr>
          <w:lang w:val="ru-RU"/>
        </w:rPr>
      </w:pPr>
      <w:r>
        <w:rPr>
          <w:rFonts w:ascii="Times New Roman" w:eastAsia="Times New Roman" w:hAnsi="Times New Roman" w:cs="Times New Roman"/>
          <w:sz w:val="28"/>
          <w:szCs w:val="28"/>
          <w:lang w:val="ru-RU"/>
        </w:rPr>
        <w:t xml:space="preserve">                                      </w:t>
      </w:r>
      <w:r w:rsidR="00AF1EBB">
        <w:rPr>
          <w:rFonts w:ascii="Times New Roman" w:eastAsia="Times New Roman" w:hAnsi="Times New Roman" w:cs="Times New Roman"/>
          <w:sz w:val="28"/>
          <w:szCs w:val="28"/>
        </w:rPr>
        <w:t>ROE</w:t>
      </w:r>
      <w:r w:rsidR="00AF1EBB" w:rsidRPr="00AF1EBB">
        <w:rPr>
          <w:rFonts w:ascii="Times New Roman" w:eastAsia="Times New Roman" w:hAnsi="Times New Roman" w:cs="Times New Roman"/>
          <w:sz w:val="28"/>
          <w:szCs w:val="28"/>
          <w:lang w:val="ru-RU"/>
        </w:rPr>
        <w:t xml:space="preserve"> = 98,7 / 542,4 × 100% = 18,2</w:t>
      </w:r>
      <w:proofErr w:type="gramStart"/>
      <w:r w:rsidR="00AF1EBB" w:rsidRPr="00AF1EBB">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19)</w:t>
      </w:r>
    </w:p>
    <w:p w14:paraId="25E2EEAF" w14:textId="77777777" w:rsidR="00AF1EBB" w:rsidRPr="00AF1EBB" w:rsidRDefault="00AF1EBB" w:rsidP="00AF1EBB">
      <w:pPr>
        <w:spacing w:line="360" w:lineRule="auto"/>
        <w:ind w:firstLine="709"/>
        <w:jc w:val="both"/>
        <w:rPr>
          <w:lang w:val="ru-RU"/>
        </w:rPr>
      </w:pP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-маржа =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 Выручка × 100% = 175,3 / 689,8 × 100% = 25,4%. Рост внутренних продаж частично компенсирует снижение экспортной выручки.</w:t>
      </w:r>
    </w:p>
    <w:p w14:paraId="0DEB7A6E"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Оценка риска банкротства (</w:t>
      </w:r>
      <w:r w:rsidRPr="008521AF">
        <w:rPr>
          <w:rFonts w:ascii="Times New Roman" w:eastAsia="Times New Roman" w:hAnsi="Times New Roman" w:cs="Times New Roman"/>
          <w:sz w:val="28"/>
          <w:szCs w:val="28"/>
        </w:rPr>
        <w:t>Z</w:t>
      </w:r>
      <w:r w:rsidRPr="008521AF">
        <w:rPr>
          <w:rFonts w:ascii="Times New Roman" w:eastAsia="Times New Roman" w:hAnsi="Times New Roman" w:cs="Times New Roman"/>
          <w:sz w:val="28"/>
          <w:szCs w:val="28"/>
          <w:lang w:val="ru-RU"/>
        </w:rPr>
        <w:t xml:space="preserve">-счёт Альтмана). </w:t>
      </w:r>
    </w:p>
    <w:p w14:paraId="1DC4930C" w14:textId="77777777" w:rsidR="00AF1EBB" w:rsidRPr="00AF1EBB" w:rsidRDefault="00AF1EBB" w:rsidP="00AF1EBB">
      <w:pPr>
        <w:spacing w:line="360" w:lineRule="auto"/>
        <w:ind w:firstLine="709"/>
        <w:jc w:val="both"/>
        <w:rPr>
          <w:lang w:val="ru-RU"/>
        </w:rPr>
      </w:pP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1 = 0,27;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2 = 0,38;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3 = 0,18;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4 = 1,42;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5 = 0,79. Итог:</w:t>
      </w:r>
    </w:p>
    <w:p w14:paraId="1949F8F8"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1,2·0,27 + 1,4·0,38 + 3,3·0,18 + 0,6·1,42 + 1,0·0,79 = 0,324 + 0,532 + 0,594 + 0,852 + 0,790 = 3,09</w:t>
      </w:r>
    </w:p>
    <w:p w14:paraId="45E1121E" w14:textId="77777777"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Z = 3,09 — безопасная зона. Чистый долг отрицательный (−74,2 млрд руб.), что означает полное отсутствие нетто-обязательств перед кредиторами [50].</w:t>
      </w:r>
    </w:p>
    <w:p w14:paraId="1B5574B5"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ПАО «ГМК «Норильский никель» является одним из крупнейших мировых производителей никеля и палладия [30, с. 20]. Расчёты выполнены на основе консолидированной отчётности МСФО за 2023 г. [50].</w:t>
      </w:r>
    </w:p>
    <w:p w14:paraId="386B108E"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ликвидности. </w:t>
      </w:r>
    </w:p>
    <w:p w14:paraId="7E66F864" w14:textId="77777777" w:rsidR="00AF1EBB" w:rsidRPr="00AF1EBB" w:rsidRDefault="00AF1EBB" w:rsidP="00AF1EBB">
      <w:pPr>
        <w:spacing w:line="360" w:lineRule="auto"/>
        <w:jc w:val="center"/>
        <w:rPr>
          <w:lang w:val="ru-RU"/>
        </w:rPr>
      </w:pPr>
      <w:proofErr w:type="spellStart"/>
      <w:r w:rsidRPr="00AF1EBB">
        <w:rPr>
          <w:rFonts w:ascii="Times New Roman" w:eastAsia="Times New Roman" w:hAnsi="Times New Roman" w:cs="Times New Roman"/>
          <w:sz w:val="28"/>
          <w:szCs w:val="28"/>
          <w:lang w:val="ru-RU"/>
        </w:rPr>
        <w:t>Ктл</w:t>
      </w:r>
      <w:proofErr w:type="spellEnd"/>
      <w:r w:rsidRPr="00AF1EBB">
        <w:rPr>
          <w:rFonts w:ascii="Times New Roman" w:eastAsia="Times New Roman" w:hAnsi="Times New Roman" w:cs="Times New Roman"/>
          <w:sz w:val="28"/>
          <w:szCs w:val="28"/>
          <w:lang w:val="ru-RU"/>
        </w:rPr>
        <w:t xml:space="preserve"> = 295,1 / 234,0 = 1,26</w:t>
      </w:r>
    </w:p>
    <w:p w14:paraId="4F54083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Уровень 1,26 является приемлемым для непрерывной операционной деятельности, однако запас финансовой прочности ниже, чем у эмитентов черной металлургии. В данном контексте усиливается значимость доступа к рынкам капитала и качества управления оборотным капиталом.</w:t>
      </w:r>
    </w:p>
    <w:p w14:paraId="65CD0C5C"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рентабельности. </w:t>
      </w:r>
    </w:p>
    <w:p w14:paraId="06601D76"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-маржа = 755,3 / 1 570,3 × 100% = 48,1%</w:t>
      </w:r>
    </w:p>
    <w:p w14:paraId="3056EAE5"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 128,6 / 1 037,4 × 100% = 12,4%</w:t>
      </w:r>
    </w:p>
    <w:p w14:paraId="117E216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Высокая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-маржинальность (48,1%) отражает структурную рентабельность бизнеса, связанную с уникальной ресурсной базой. Снижение </w:t>
      </w: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обусловлено ростом долговой нагрузки и амортизационных отчислений в ходе инвестиционного цикла.</w:t>
      </w:r>
    </w:p>
    <w:p w14:paraId="2ED4D1A0" w14:textId="7E35BC0F" w:rsidR="00AF1EBB" w:rsidRPr="00AF1EBB"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Оценка риска банкротства</w:t>
      </w:r>
      <w:r w:rsidR="008521AF">
        <w:rPr>
          <w:rFonts w:ascii="Times New Roman" w:eastAsia="Times New Roman" w:hAnsi="Times New Roman" w:cs="Times New Roman"/>
          <w:sz w:val="28"/>
          <w:szCs w:val="28"/>
          <w:lang w:val="ru-RU"/>
        </w:rPr>
        <w:t>, с</w:t>
      </w:r>
      <w:r w:rsidRPr="00AF1EBB">
        <w:rPr>
          <w:rFonts w:ascii="Times New Roman" w:eastAsia="Times New Roman" w:hAnsi="Times New Roman" w:cs="Times New Roman"/>
          <w:sz w:val="28"/>
          <w:szCs w:val="28"/>
          <w:lang w:val="ru-RU"/>
        </w:rPr>
        <w:t xml:space="preserve">оотношение «Чистый долг /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w:t>
      </w:r>
    </w:p>
    <w:p w14:paraId="357AB31A" w14:textId="77777777"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 xml:space="preserve">Чистый долг /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 906,4 / 755,3 = 1,20</w:t>
      </w:r>
      <w:r>
        <w:rPr>
          <w:rFonts w:ascii="Times New Roman" w:eastAsia="Times New Roman" w:hAnsi="Times New Roman" w:cs="Times New Roman"/>
          <w:sz w:val="28"/>
          <w:szCs w:val="28"/>
        </w:rPr>
        <w:t>x</w:t>
      </w:r>
    </w:p>
    <w:p w14:paraId="3F35CD5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1,20</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 остаётся в рамках умеренных, однако указывает на снижение финансовой свободы по сравнению с периодами сверхконсервативного баланса [50].</w:t>
      </w:r>
    </w:p>
    <w:p w14:paraId="25539617"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МКПАО «ЭН+ ГРУП» является холдинговой структурой, объединяющей электрогенерирующие активы и контрольный пакет ОК «РУСАЛ» [33, с. 18]. Расчёты выполнены на основе консолидированной отчётности МСФО за 2023 г. [50].</w:t>
      </w:r>
    </w:p>
    <w:p w14:paraId="12B1A3FC"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ликвидности. </w:t>
      </w:r>
    </w:p>
    <w:p w14:paraId="43ECB3CB" w14:textId="77777777" w:rsidR="00AF1EBB" w:rsidRPr="00AF1EBB" w:rsidRDefault="00AF1EBB" w:rsidP="00AF1EBB">
      <w:pPr>
        <w:spacing w:line="360" w:lineRule="auto"/>
        <w:jc w:val="center"/>
        <w:rPr>
          <w:lang w:val="ru-RU"/>
        </w:rPr>
      </w:pPr>
      <w:proofErr w:type="spellStart"/>
      <w:r w:rsidRPr="00AF1EBB">
        <w:rPr>
          <w:rFonts w:ascii="Times New Roman" w:eastAsia="Times New Roman" w:hAnsi="Times New Roman" w:cs="Times New Roman"/>
          <w:sz w:val="28"/>
          <w:szCs w:val="28"/>
          <w:lang w:val="ru-RU"/>
        </w:rPr>
        <w:t>Ктл</w:t>
      </w:r>
      <w:proofErr w:type="spellEnd"/>
      <w:r w:rsidRPr="00AF1EBB">
        <w:rPr>
          <w:rFonts w:ascii="Times New Roman" w:eastAsia="Times New Roman" w:hAnsi="Times New Roman" w:cs="Times New Roman"/>
          <w:sz w:val="28"/>
          <w:szCs w:val="28"/>
          <w:lang w:val="ru-RU"/>
        </w:rPr>
        <w:t xml:space="preserve"> = 412,8 / 390,5 = 1,06</w:t>
      </w:r>
    </w:p>
    <w:p w14:paraId="6ABA43E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1,06 находится вблизи критического порога, что означает зависимость краткосрочной устойчивости от регулярности операционного денежного потока.</w:t>
      </w:r>
    </w:p>
    <w:p w14:paraId="06CB772B"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рентабельности. </w:t>
      </w:r>
    </w:p>
    <w:p w14:paraId="46A77155"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 12,8 / 336,7 × 100% = 3,8%</w:t>
      </w:r>
    </w:p>
    <w:p w14:paraId="20B39303"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lastRenderedPageBreak/>
        <w:t>EBITDA</w:t>
      </w:r>
      <w:r w:rsidRPr="00AF1EBB">
        <w:rPr>
          <w:rFonts w:ascii="Times New Roman" w:eastAsia="Times New Roman" w:hAnsi="Times New Roman" w:cs="Times New Roman"/>
          <w:sz w:val="28"/>
          <w:szCs w:val="28"/>
          <w:lang w:val="ru-RU"/>
        </w:rPr>
        <w:t>-маржа = 98,4 / 678,2 × 100% = 14,5%</w:t>
      </w:r>
    </w:p>
    <w:p w14:paraId="241B985B" w14:textId="77777777" w:rsidR="00AF1EBB" w:rsidRPr="00AF1EBB" w:rsidRDefault="00AF1EBB" w:rsidP="00AF1EBB">
      <w:pPr>
        <w:spacing w:line="360" w:lineRule="auto"/>
        <w:ind w:firstLine="709"/>
        <w:jc w:val="both"/>
        <w:rPr>
          <w:lang w:val="ru-RU"/>
        </w:rPr>
      </w:pP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 3,8% существенно ниже ориентиров безрисковой доходности в РФ (15%), что означает разрушение стоимости для акционеров.</w:t>
      </w:r>
    </w:p>
    <w:p w14:paraId="51B0B2B9"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Оценка риска банкротства. </w:t>
      </w:r>
    </w:p>
    <w:p w14:paraId="02C550FB" w14:textId="6FD5840E"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 xml:space="preserve">Чистый долг /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 374,9 / 98,4 = 3,81</w:t>
      </w:r>
    </w:p>
    <w:p w14:paraId="66C064A1" w14:textId="6009B79A"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3,81 соответствует зоне повышенного риска в условиях сжатия маржи и высоких процентных ставок. Присутствие данного эмитента увеличивает восприимчивость портфеля к макроэкономическим шокам [50].</w:t>
      </w:r>
    </w:p>
    <w:p w14:paraId="6CFD3A0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ПАО «Корпорация ВСМПО-АВИСМА» является ключевым российским производителем титановой продукции и одним из крупнейших игроков на мировом рынке [33, с. 19]. Расчёты выполнены на основе консолидированной отчётности РСБУ/МСФО за 2023 г. [50].</w:t>
      </w:r>
    </w:p>
    <w:p w14:paraId="49A7AA88"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ликвидности. </w:t>
      </w:r>
    </w:p>
    <w:p w14:paraId="4045FFA5" w14:textId="77777777" w:rsidR="00AF1EBB" w:rsidRPr="00AF1EBB" w:rsidRDefault="00AF1EBB" w:rsidP="00AF1EBB">
      <w:pPr>
        <w:spacing w:line="360" w:lineRule="auto"/>
        <w:jc w:val="center"/>
        <w:rPr>
          <w:lang w:val="ru-RU"/>
        </w:rPr>
      </w:pPr>
      <w:proofErr w:type="spellStart"/>
      <w:r w:rsidRPr="00AF1EBB">
        <w:rPr>
          <w:rFonts w:ascii="Times New Roman" w:eastAsia="Times New Roman" w:hAnsi="Times New Roman" w:cs="Times New Roman"/>
          <w:sz w:val="28"/>
          <w:szCs w:val="28"/>
          <w:lang w:val="ru-RU"/>
        </w:rPr>
        <w:t>Ктл</w:t>
      </w:r>
      <w:proofErr w:type="spellEnd"/>
      <w:r w:rsidRPr="00AF1EBB">
        <w:rPr>
          <w:rFonts w:ascii="Times New Roman" w:eastAsia="Times New Roman" w:hAnsi="Times New Roman" w:cs="Times New Roman"/>
          <w:sz w:val="28"/>
          <w:szCs w:val="28"/>
          <w:lang w:val="ru-RU"/>
        </w:rPr>
        <w:t xml:space="preserve"> = 184,2 / 64,6 = 2,85</w:t>
      </w:r>
    </w:p>
    <w:p w14:paraId="586D276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2,85 указывает на значительный запас по покрытию краткосрочных обязательств.</w:t>
      </w:r>
    </w:p>
    <w:p w14:paraId="6E8E22D6"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рентабельности. </w:t>
      </w:r>
    </w:p>
    <w:p w14:paraId="5DDB6C51"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 52,3 / 260,1 × 100% = 20,1%</w:t>
      </w:r>
    </w:p>
    <w:p w14:paraId="45D753F0"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-маржа = 133,4 / 374,8 × 100% = 35,6%</w:t>
      </w:r>
    </w:p>
    <w:p w14:paraId="70BC0955"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Рост внутреннего спроса позволил поддерживать высокую маржинальность. Заёмный капитал составляет менее 35% валюты баланса, что соответствует устойчивому уровню автономности.</w:t>
      </w:r>
    </w:p>
    <w:p w14:paraId="78BEF856" w14:textId="77777777" w:rsidR="00AF1EBB" w:rsidRPr="00AF1EBB"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Оценка риска банкротства. </w:t>
      </w: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-счёт Альтмана [43]:</w:t>
      </w:r>
    </w:p>
    <w:p w14:paraId="514A0230" w14:textId="77777777" w:rsidR="00AF1EBB" w:rsidRPr="00AF1EBB" w:rsidRDefault="00AF1EBB" w:rsidP="00AF1EBB">
      <w:pPr>
        <w:spacing w:line="360" w:lineRule="auto"/>
        <w:ind w:firstLine="709"/>
        <w:jc w:val="both"/>
        <w:rPr>
          <w:lang w:val="ru-RU"/>
        </w:rPr>
      </w:pP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1 = 0,36;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2 = 0,29;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3 = 0,17;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4 = 0,88;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5 = 0,74.</w:t>
      </w:r>
    </w:p>
    <w:p w14:paraId="1F42CA86"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1,2·0,36 + 1,4·0,29 + 3,3·0,17 + 0,6·0,88 + 1,0·0,74 = 0,432 + 0,406 + 0,561 + 0,528 + 0,740 = 2,67</w:t>
      </w:r>
    </w:p>
    <w:p w14:paraId="60603D69"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 xml:space="preserve">Значение </w:t>
      </w: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2,67 — зона «серой области» (1,81–2,99), что требует мониторинга, однако признаков острой несостоятельности не выявлено.</w:t>
      </w:r>
    </w:p>
    <w:p w14:paraId="6720D0F7" w14:textId="77777777" w:rsidR="00AF1EBB" w:rsidRPr="00AF1EBB" w:rsidRDefault="00AF1EBB" w:rsidP="00AF1EBB">
      <w:pPr>
        <w:spacing w:line="360" w:lineRule="auto"/>
        <w:rPr>
          <w:lang w:val="ru-RU"/>
        </w:rPr>
      </w:pPr>
    </w:p>
    <w:p w14:paraId="70FD7C2E" w14:textId="3B51140E"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 xml:space="preserve">Таблица </w:t>
      </w:r>
      <w:r w:rsidR="008521AF">
        <w:rPr>
          <w:rFonts w:ascii="Times New Roman" w:eastAsia="Times New Roman" w:hAnsi="Times New Roman" w:cs="Times New Roman"/>
          <w:sz w:val="28"/>
          <w:szCs w:val="28"/>
          <w:lang w:val="ru-RU"/>
        </w:rPr>
        <w:t>3</w:t>
      </w:r>
      <w:r w:rsidRPr="00AF1EBB">
        <w:rPr>
          <w:rFonts w:ascii="Times New Roman" w:eastAsia="Times New Roman" w:hAnsi="Times New Roman" w:cs="Times New Roman"/>
          <w:sz w:val="28"/>
          <w:szCs w:val="28"/>
          <w:lang w:val="ru-RU"/>
        </w:rPr>
        <w:t xml:space="preserve"> – Ключевые фундаментальные показатели крупнейших объектов инвестирования ОПИФ РФИ «ВИМ-Металлургия»</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300"/>
        <w:gridCol w:w="1300"/>
        <w:gridCol w:w="1500"/>
        <w:gridCol w:w="1526"/>
      </w:tblGrid>
      <w:tr w:rsidR="00AF1EBB" w:rsidRPr="008521AF" w14:paraId="73E6F308" w14:textId="77777777" w:rsidTr="009A785B">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1D27E"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b/>
                <w:bCs/>
                <w:sz w:val="24"/>
                <w:szCs w:val="24"/>
              </w:rPr>
              <w:t>Эмитент</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50743"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b/>
                <w:bCs/>
                <w:sz w:val="24"/>
                <w:szCs w:val="24"/>
              </w:rPr>
              <w:t>Удельный</w:t>
            </w:r>
            <w:proofErr w:type="spellEnd"/>
            <w:r w:rsidRPr="008521AF">
              <w:rPr>
                <w:rFonts w:ascii="Times New Roman" w:eastAsia="Times New Roman" w:hAnsi="Times New Roman" w:cs="Times New Roman"/>
                <w:b/>
                <w:bCs/>
                <w:sz w:val="24"/>
                <w:szCs w:val="24"/>
              </w:rPr>
              <w:t xml:space="preserve"> </w:t>
            </w:r>
            <w:proofErr w:type="spellStart"/>
            <w:r w:rsidRPr="008521AF">
              <w:rPr>
                <w:rFonts w:ascii="Times New Roman" w:eastAsia="Times New Roman" w:hAnsi="Times New Roman" w:cs="Times New Roman"/>
                <w:b/>
                <w:bCs/>
                <w:sz w:val="24"/>
                <w:szCs w:val="24"/>
              </w:rPr>
              <w:t>вес</w:t>
            </w:r>
            <w:proofErr w:type="spellEnd"/>
            <w:r w:rsidRPr="008521AF">
              <w:rPr>
                <w:rFonts w:ascii="Times New Roman" w:eastAsia="Times New Roman" w:hAnsi="Times New Roman" w:cs="Times New Roman"/>
                <w:b/>
                <w:bCs/>
                <w:sz w:val="24"/>
                <w:szCs w:val="24"/>
              </w:rPr>
              <w:t xml:space="preserve"> в </w:t>
            </w:r>
            <w:proofErr w:type="spellStart"/>
            <w:r w:rsidRPr="008521AF">
              <w:rPr>
                <w:rFonts w:ascii="Times New Roman" w:eastAsia="Times New Roman" w:hAnsi="Times New Roman" w:cs="Times New Roman"/>
                <w:b/>
                <w:bCs/>
                <w:sz w:val="24"/>
                <w:szCs w:val="24"/>
              </w:rPr>
              <w:t>портфеле</w:t>
            </w:r>
            <w:proofErr w:type="spellEnd"/>
            <w:r w:rsidRPr="008521AF">
              <w:rPr>
                <w:rFonts w:ascii="Times New Roman" w:eastAsia="Times New Roman" w:hAnsi="Times New Roman" w:cs="Times New Roman"/>
                <w:b/>
                <w:bCs/>
                <w:sz w:val="24"/>
                <w:szCs w:val="24"/>
              </w:rPr>
              <w:t>,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466DD"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ROE,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AF7BC"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EBITDA-</w:t>
            </w:r>
            <w:proofErr w:type="spellStart"/>
            <w:r w:rsidRPr="008521AF">
              <w:rPr>
                <w:rFonts w:ascii="Times New Roman" w:eastAsia="Times New Roman" w:hAnsi="Times New Roman" w:cs="Times New Roman"/>
                <w:b/>
                <w:bCs/>
                <w:sz w:val="24"/>
                <w:szCs w:val="24"/>
              </w:rPr>
              <w:t>маржа</w:t>
            </w:r>
            <w:proofErr w:type="spellEnd"/>
            <w:r w:rsidRPr="008521AF">
              <w:rPr>
                <w:rFonts w:ascii="Times New Roman" w:eastAsia="Times New Roman" w:hAnsi="Times New Roman" w:cs="Times New Roman"/>
                <w:b/>
                <w:bCs/>
                <w:sz w:val="24"/>
                <w:szCs w:val="24"/>
              </w:rPr>
              <w:t>, %</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EE421"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b/>
                <w:bCs/>
                <w:sz w:val="24"/>
                <w:szCs w:val="24"/>
              </w:rPr>
              <w:t>Чистый</w:t>
            </w:r>
            <w:proofErr w:type="spellEnd"/>
            <w:r w:rsidRPr="008521AF">
              <w:rPr>
                <w:rFonts w:ascii="Times New Roman" w:eastAsia="Times New Roman" w:hAnsi="Times New Roman" w:cs="Times New Roman"/>
                <w:b/>
                <w:bCs/>
                <w:sz w:val="24"/>
                <w:szCs w:val="24"/>
              </w:rPr>
              <w:t xml:space="preserve"> </w:t>
            </w:r>
            <w:proofErr w:type="spellStart"/>
            <w:r w:rsidRPr="008521AF">
              <w:rPr>
                <w:rFonts w:ascii="Times New Roman" w:eastAsia="Times New Roman" w:hAnsi="Times New Roman" w:cs="Times New Roman"/>
                <w:b/>
                <w:bCs/>
                <w:sz w:val="24"/>
                <w:szCs w:val="24"/>
              </w:rPr>
              <w:t>долг</w:t>
            </w:r>
            <w:proofErr w:type="spellEnd"/>
            <w:r w:rsidRPr="008521AF">
              <w:rPr>
                <w:rFonts w:ascii="Times New Roman" w:eastAsia="Times New Roman" w:hAnsi="Times New Roman" w:cs="Times New Roman"/>
                <w:b/>
                <w:bCs/>
                <w:sz w:val="24"/>
                <w:szCs w:val="24"/>
              </w:rPr>
              <w:t xml:space="preserve"> / EBITDA, (x)</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29125"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b/>
                <w:bCs/>
                <w:sz w:val="24"/>
                <w:szCs w:val="24"/>
              </w:rPr>
              <w:t>Ктл</w:t>
            </w:r>
            <w:proofErr w:type="spellEnd"/>
          </w:p>
        </w:tc>
      </w:tr>
      <w:tr w:rsidR="00AF1EBB" w:rsidRPr="008521AF" w14:paraId="610752A7" w14:textId="77777777" w:rsidTr="009A785B">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67BC1"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ПАО «</w:t>
            </w:r>
            <w:proofErr w:type="spellStart"/>
            <w:r w:rsidRPr="008521AF">
              <w:rPr>
                <w:rFonts w:ascii="Times New Roman" w:eastAsia="Times New Roman" w:hAnsi="Times New Roman" w:cs="Times New Roman"/>
                <w:sz w:val="24"/>
                <w:szCs w:val="24"/>
              </w:rPr>
              <w:t>Северсталь</w:t>
            </w:r>
            <w:proofErr w:type="spellEnd"/>
            <w:r w:rsidRPr="008521AF">
              <w:rPr>
                <w:rFonts w:ascii="Times New Roman" w:eastAsia="Times New Roman" w:hAnsi="Times New Roman" w:cs="Times New Roman"/>
                <w:sz w:val="24"/>
                <w:szCs w:val="24"/>
              </w:rPr>
              <w: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69312"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18,5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51266"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31,5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FAC5F"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34,2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47FC6"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−0,2</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67871"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2,20</w:t>
            </w:r>
          </w:p>
        </w:tc>
      </w:tr>
      <w:tr w:rsidR="00AF1EBB" w:rsidRPr="008521AF" w14:paraId="5D6FFC16" w14:textId="77777777" w:rsidTr="009A785B">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AB512"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ПАО «ММК»</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15CA9"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16,2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CB99B"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18,2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92C99"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25,4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0D9C1"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−0,4</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E715E"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2,30</w:t>
            </w:r>
          </w:p>
        </w:tc>
      </w:tr>
      <w:tr w:rsidR="00AF1EBB" w:rsidRPr="008521AF" w14:paraId="11FBA5D4" w14:textId="77777777" w:rsidTr="009A785B">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6C923"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ПАО «ГМК «</w:t>
            </w:r>
            <w:proofErr w:type="spellStart"/>
            <w:r w:rsidRPr="008521AF">
              <w:rPr>
                <w:rFonts w:ascii="Times New Roman" w:eastAsia="Times New Roman" w:hAnsi="Times New Roman" w:cs="Times New Roman"/>
                <w:sz w:val="24"/>
                <w:szCs w:val="24"/>
              </w:rPr>
              <w:t>Норильский</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никель</w:t>
            </w:r>
            <w:proofErr w:type="spellEnd"/>
            <w:r w:rsidRPr="008521AF">
              <w:rPr>
                <w:rFonts w:ascii="Times New Roman" w:eastAsia="Times New Roman" w:hAnsi="Times New Roman" w:cs="Times New Roman"/>
                <w:sz w:val="24"/>
                <w:szCs w:val="24"/>
              </w:rPr>
              <w: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F01D4"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16,8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6121B"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12,4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18BD1"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48,1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DD459"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1,2</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84B41"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1,26</w:t>
            </w:r>
          </w:p>
        </w:tc>
      </w:tr>
      <w:tr w:rsidR="00AF1EBB" w:rsidRPr="008521AF" w14:paraId="0E092DD5" w14:textId="77777777" w:rsidTr="009A785B">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565BE"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МКПАО «ЭН+ ГРУП»</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D1EEA"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14,3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7B845"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510EC"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7101E"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3,8</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1554"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1,06</w:t>
            </w:r>
          </w:p>
        </w:tc>
      </w:tr>
      <w:tr w:rsidR="00AF1EBB" w:rsidRPr="008521AF" w14:paraId="78D41D63" w14:textId="77777777" w:rsidTr="009A785B">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FF097"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ПАО «ВСМПО-АВИСМА»</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D8AC6"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12,6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1B76E"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20,1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6C735"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35,6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52AB2"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0,8</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3E4FA"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2,85</w:t>
            </w:r>
          </w:p>
        </w:tc>
      </w:tr>
    </w:tbl>
    <w:p w14:paraId="7C78659C"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Источник: составлено автором на основе консолидированной отчётности эмитентов по МСФО за 2023 г. [50].</w:t>
      </w:r>
    </w:p>
    <w:p w14:paraId="31DEFB3F" w14:textId="77777777" w:rsidR="00AF1EBB" w:rsidRPr="00AF1EBB" w:rsidRDefault="00AF1EBB" w:rsidP="00AF1EBB">
      <w:pPr>
        <w:spacing w:line="360" w:lineRule="auto"/>
        <w:rPr>
          <w:lang w:val="ru-RU"/>
        </w:rPr>
      </w:pPr>
    </w:p>
    <w:p w14:paraId="5259772D" w14:textId="72E42E43" w:rsidR="00AF1EBB"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 xml:space="preserve">Данные Таблицы </w:t>
      </w:r>
      <w:r w:rsidR="008521AF">
        <w:rPr>
          <w:rFonts w:ascii="Times New Roman" w:eastAsia="Times New Roman" w:hAnsi="Times New Roman" w:cs="Times New Roman"/>
          <w:sz w:val="28"/>
          <w:szCs w:val="28"/>
          <w:lang w:val="ru-RU"/>
        </w:rPr>
        <w:t>3</w:t>
      </w:r>
      <w:r w:rsidRPr="00AF1EBB">
        <w:rPr>
          <w:rFonts w:ascii="Times New Roman" w:eastAsia="Times New Roman" w:hAnsi="Times New Roman" w:cs="Times New Roman"/>
          <w:sz w:val="28"/>
          <w:szCs w:val="28"/>
          <w:lang w:val="ru-RU"/>
        </w:rPr>
        <w:t xml:space="preserve"> математически подтверждают сформулированный ранее вывод: портфель сильно отягощён активами с критически низкой рентабельностью (МКПАО «ЭН+ ГРУП» с </w:t>
      </w: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3,8%) и высокой долговой нагрузкой (Чистый долг/</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 3,81</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что в условиях жёсткой денежно-кредитной политики выступает триггером разрушения стоимости активов. В то же время ПАО «Северсталь» и ПАО «ММК» с отрицательным чистым долгом выступают стабилизирующей базой.</w:t>
      </w:r>
    </w:p>
    <w:p w14:paraId="242B7B25" w14:textId="1E3BA245" w:rsidR="008B4AFE" w:rsidRDefault="008B4AFE" w:rsidP="00AF1EBB">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lastRenderedPageBreak/>
        <w:t>Для более глубокого понимания внутренних механизмов генерации прибыли ключевыми активами портфеля целесообразно применить дезагрегированную трехфакторную модель Дюпона (DuPont Analysis). Данный аналитический инструмент позволяет разложить интегрированный показатель рентабельности собственного капитала (ROE) на три независимые детерминанты: операционную эффективность, интенсивность использования активов и уровень финансового рычага.</w:t>
      </w:r>
    </w:p>
    <w:p w14:paraId="0014F26A" w14:textId="46C5BF54" w:rsidR="008B4AFE" w:rsidRDefault="008B4AFE" w:rsidP="00AF1EBB">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t>Первый множитель (коммерческая маржа, ROS) отражает политику ценообразования и контроль над операционными издержками. Второй множитель (оборачиваемость активов, TAT) характеризует эффективность управления капитальными вложениями и оборотным капиталом. Третий множитель (мультипликатор капитала, EM) определяет степень агрессивности кредитной политики предприятия.</w:t>
      </w:r>
      <w:r w:rsidR="00BA0E02" w:rsidRPr="00BA0E02">
        <w:rPr>
          <w:rFonts w:ascii="Times New Roman" w:eastAsia="Times New Roman" w:hAnsi="Times New Roman" w:cs="Times New Roman"/>
          <w:sz w:val="28"/>
          <w:szCs w:val="28"/>
          <w:lang w:val="ru-RU"/>
        </w:rPr>
        <w:t xml:space="preserve"> </w:t>
      </w:r>
      <w:proofErr w:type="gramStart"/>
      <w:r w:rsidRPr="008B4AFE">
        <w:rPr>
          <w:rFonts w:ascii="Times New Roman" w:eastAsia="Times New Roman" w:hAnsi="Times New Roman" w:cs="Times New Roman"/>
          <w:sz w:val="28"/>
          <w:szCs w:val="28"/>
          <w:lang w:val="ru-RU"/>
        </w:rPr>
        <w:t>Проведем</w:t>
      </w:r>
      <w:proofErr w:type="gramEnd"/>
      <w:r w:rsidRPr="008B4AFE">
        <w:rPr>
          <w:rFonts w:ascii="Times New Roman" w:eastAsia="Times New Roman" w:hAnsi="Times New Roman" w:cs="Times New Roman"/>
          <w:sz w:val="28"/>
          <w:szCs w:val="28"/>
          <w:lang w:val="ru-RU"/>
        </w:rPr>
        <w:t xml:space="preserve"> декомпозицию показателя ROE для ПАО «Северсталь», базового актива портфеля, демонстрирующего рентабельность на уровне 31,5%. Анализ структуры консолидированной отчетности позволяет сделать вывод, что аномально высокое значение ROE обеспечено не избыточным кредитным рычагом, а исключительной операционной эффективностью. Вертикальная интеграция компании, обеспеченность собственным сырьем (железной рудой и коксующимся углем) до уровня свыше 80% и жесткая оптимизация логистических цепочек позволили сформировать коммерческую маржу, превышающую среднемировые отраслевые бенчмарки.  В отличие от ПАО «Северсталь», финансовые результаты ПАО «ММК», чья рентабельность составляет 18,2%, имеют иную структуру генерации стоимости. Исторически ПАО «ММК» не обладает стопроцентной сырьевой самообеспеченностью, что оказывает давление на первый множитель модели Дюпона (ROS) в периоды восходящего тренда цен на коксующийся уголь. Однако компания компенсирует этот </w:t>
      </w:r>
      <w:r w:rsidRPr="008B4AFE">
        <w:rPr>
          <w:rFonts w:ascii="Times New Roman" w:eastAsia="Times New Roman" w:hAnsi="Times New Roman" w:cs="Times New Roman"/>
          <w:sz w:val="28"/>
          <w:szCs w:val="28"/>
          <w:lang w:val="ru-RU"/>
        </w:rPr>
        <w:lastRenderedPageBreak/>
        <w:t>фактор за счет ускоренной оборачиваемости активов (TAT), ориентируя сбыт на емкий внутренний рынок и производителей трубной продукции.  МКПАО «ЭН+ ГРУП», напротив, демонстрирует разрушение стоимости. Критически низкий уровень ROE в 3,8</w:t>
      </w:r>
      <w:proofErr w:type="gramStart"/>
      <w:r w:rsidRPr="008B4AFE">
        <w:rPr>
          <w:rFonts w:ascii="Times New Roman" w:eastAsia="Times New Roman" w:hAnsi="Times New Roman" w:cs="Times New Roman"/>
          <w:sz w:val="28"/>
          <w:szCs w:val="28"/>
          <w:lang w:val="ru-RU"/>
        </w:rPr>
        <w:t>%  при</w:t>
      </w:r>
      <w:proofErr w:type="gramEnd"/>
      <w:r w:rsidRPr="008B4AFE">
        <w:rPr>
          <w:rFonts w:ascii="Times New Roman" w:eastAsia="Times New Roman" w:hAnsi="Times New Roman" w:cs="Times New Roman"/>
          <w:sz w:val="28"/>
          <w:szCs w:val="28"/>
          <w:lang w:val="ru-RU"/>
        </w:rPr>
        <w:t xml:space="preserve"> высоком финансовом рычаге означает, что стоимость обслуживания долга полностью абсорбирует операционную прибыль. Мультипликатор капитала (EM) в данном случае работает против акционеров, создавая эффект отрицательного финансового левериджа. Нахождение подобного актива в портфеле фонда в условиях жесткой монетарной политики является источником перманентного снижения СЧА.</w:t>
      </w:r>
    </w:p>
    <w:p w14:paraId="3F633417" w14:textId="4D3DEAA4" w:rsidR="005F2182" w:rsidRPr="00AF1EBB" w:rsidRDefault="00AF1EBB" w:rsidP="00AF1EBB">
      <w:pPr>
        <w:spacing w:line="360" w:lineRule="auto"/>
        <w:ind w:firstLine="709"/>
        <w:jc w:val="both"/>
        <w:rPr>
          <w:rFonts w:ascii="Times New Roman" w:hAnsi="Times New Roman" w:cs="Times New Roman"/>
          <w:sz w:val="28"/>
          <w:szCs w:val="28"/>
          <w:lang w:val="ru-RU"/>
        </w:rPr>
      </w:pPr>
      <w:r w:rsidRPr="00AF1EBB">
        <w:rPr>
          <w:rFonts w:ascii="Times New Roman" w:eastAsia="Times New Roman" w:hAnsi="Times New Roman" w:cs="Times New Roman"/>
          <w:sz w:val="28"/>
          <w:szCs w:val="28"/>
          <w:lang w:val="ru-RU"/>
        </w:rPr>
        <w:t>Сводный вывод по разделу: фундаментальный анализ пяти крупнейших предприятий, входящих в состав ОПИФ РФИ «ВИМ-Металлургия», подтверждает основную исследовательскую установку о том, что качество инвестиционного портфеля связано с финансовой устойчивостью и операционной эффективностью базовых эмитентов. Поскольку фонд характеризуется ограниченной диверсификацией, внутренние проблемы отдельных компаний с высокой долей в активах имеют тенденцию транслироваться в динамику стоимости чистых активов [20, с. 110]. Наиболее устойчивыми по совокупности показателей выглядят эмитенты черной металлургии (ПАО «Северсталь», ПАО «ММК»), а также ПАО «Корпорация ВСМПО-АВИСМА».</w:t>
      </w:r>
    </w:p>
    <w:p w14:paraId="5BD22135" w14:textId="77777777" w:rsidR="004605F7" w:rsidRPr="005F2182" w:rsidRDefault="004605F7" w:rsidP="004605F7">
      <w:pPr>
        <w:spacing w:line="360" w:lineRule="auto"/>
        <w:ind w:firstLine="709"/>
        <w:jc w:val="both"/>
        <w:rPr>
          <w:rFonts w:ascii="Times New Roman" w:hAnsi="Times New Roman" w:cs="Times New Roman"/>
          <w:sz w:val="28"/>
          <w:szCs w:val="28"/>
          <w:lang w:val="ru-RU"/>
        </w:rPr>
      </w:pPr>
    </w:p>
    <w:p w14:paraId="2750D9B4" w14:textId="77777777" w:rsidR="005F2182" w:rsidRDefault="005F2182" w:rsidP="004605F7">
      <w:pPr>
        <w:pStyle w:val="2"/>
        <w:spacing w:before="0" w:after="0" w:line="360" w:lineRule="auto"/>
        <w:rPr>
          <w:lang w:val="ru-RU"/>
        </w:rPr>
      </w:pPr>
      <w:bookmarkStart w:id="9" w:name="_Toc232337643"/>
      <w:r w:rsidRPr="005F2182">
        <w:rPr>
          <w:lang w:val="ru-RU"/>
        </w:rPr>
        <w:t>2.3. Анализ показателей качества инвестиционного портфеля ОПИФ РФИ «ВИМ-Металлургия»</w:t>
      </w:r>
      <w:bookmarkEnd w:id="9"/>
    </w:p>
    <w:p w14:paraId="63BC93FF" w14:textId="77777777" w:rsidR="00EC4086" w:rsidRPr="00EC4086" w:rsidRDefault="00EC4086" w:rsidP="004605F7">
      <w:pPr>
        <w:spacing w:line="360" w:lineRule="auto"/>
        <w:rPr>
          <w:lang w:val="ru-RU"/>
        </w:rPr>
      </w:pPr>
    </w:p>
    <w:p w14:paraId="7767E81A"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Оценка качества инвестиционного портфеля ОПИФ РФИ «ВИМ-Металлургия» проводится на основе специализированного математико-статистического инструментария, который позволяет сопоставлять </w:t>
      </w:r>
      <w:r w:rsidRPr="00AF1EBB">
        <w:rPr>
          <w:rFonts w:ascii="Times New Roman" w:eastAsia="Times New Roman" w:hAnsi="Times New Roman" w:cs="Times New Roman"/>
          <w:sz w:val="28"/>
          <w:szCs w:val="28"/>
          <w:lang w:val="ru-RU"/>
        </w:rPr>
        <w:lastRenderedPageBreak/>
        <w:t>фактически полученную фондом доходность с уровнем принимаемого совокупного риска [25, с. 156].</w:t>
      </w:r>
    </w:p>
    <w:p w14:paraId="68401332" w14:textId="46FCB873"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Расчёт ожидаемой доходности портфеля. По формуле </w:t>
      </w:r>
      <w:r w:rsidRPr="00580BE4">
        <w:rPr>
          <w:rFonts w:ascii="Times New Roman" w:eastAsia="Times New Roman" w:hAnsi="Times New Roman" w:cs="Times New Roman"/>
          <w:sz w:val="28"/>
          <w:szCs w:val="28"/>
          <w:lang w:val="ru-RU"/>
        </w:rPr>
        <w:t>(</w:t>
      </w:r>
      <w:r w:rsidR="00580BE4" w:rsidRPr="00580BE4">
        <w:rPr>
          <w:rFonts w:ascii="Times New Roman" w:eastAsia="Times New Roman" w:hAnsi="Times New Roman" w:cs="Times New Roman"/>
          <w:sz w:val="28"/>
          <w:szCs w:val="28"/>
          <w:lang w:val="ru-RU"/>
        </w:rPr>
        <w:t>2</w:t>
      </w:r>
      <w:r w:rsidRPr="00580BE4">
        <w:rPr>
          <w:rFonts w:ascii="Times New Roman" w:eastAsia="Times New Roman" w:hAnsi="Times New Roman" w:cs="Times New Roman"/>
          <w:sz w:val="28"/>
          <w:szCs w:val="28"/>
          <w:lang w:val="ru-RU"/>
        </w:rPr>
        <w:t>0)</w:t>
      </w:r>
      <w:r w:rsidRPr="00AF1EBB">
        <w:rPr>
          <w:rFonts w:ascii="Times New Roman" w:eastAsia="Times New Roman" w:hAnsi="Times New Roman" w:cs="Times New Roman"/>
          <w:sz w:val="28"/>
          <w:szCs w:val="28"/>
          <w:lang w:val="ru-RU"/>
        </w:rPr>
        <w:t xml:space="preserve"> средневзвешенная ожидаемая доходность текущего портфеля составляет (данные о годовых доходностях акций — по котировкам Московской биржи за 2022–2024 гг. [47]):</w:t>
      </w:r>
    </w:p>
    <w:p w14:paraId="7D2D58C6"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E</w:t>
      </w:r>
      <w:r w:rsidRPr="00AF1EBB">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Rp</w:t>
      </w:r>
      <w:r w:rsidRPr="00AF1EBB">
        <w:rPr>
          <w:rFonts w:ascii="Times New Roman" w:eastAsia="Times New Roman" w:hAnsi="Times New Roman" w:cs="Times New Roman"/>
          <w:sz w:val="28"/>
          <w:szCs w:val="28"/>
          <w:lang w:val="ru-RU"/>
        </w:rPr>
        <w:t>) = 0,185·14,2% + 0,162·12,8% + 0,168·16,4% + 0,143·6,1% + 0,126·18,5% + 0,216·10,2%</w:t>
      </w:r>
    </w:p>
    <w:p w14:paraId="4FB3AE8C" w14:textId="3449767A" w:rsidR="00AF1EBB" w:rsidRPr="008521AF" w:rsidRDefault="00AF1EBB" w:rsidP="00AF1EBB">
      <w:pPr>
        <w:spacing w:line="360" w:lineRule="auto"/>
        <w:jc w:val="center"/>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E(</w:t>
      </w:r>
      <w:proofErr w:type="spellStart"/>
      <w:r w:rsidRPr="008521AF">
        <w:rPr>
          <w:rFonts w:ascii="Times New Roman" w:eastAsia="Times New Roman" w:hAnsi="Times New Roman" w:cs="Times New Roman"/>
          <w:sz w:val="28"/>
          <w:szCs w:val="28"/>
          <w:lang w:val="ru-RU"/>
        </w:rPr>
        <w:t>Rp</w:t>
      </w:r>
      <w:proofErr w:type="spellEnd"/>
      <w:r w:rsidRPr="008521AF">
        <w:rPr>
          <w:rFonts w:ascii="Times New Roman" w:eastAsia="Times New Roman" w:hAnsi="Times New Roman" w:cs="Times New Roman"/>
          <w:sz w:val="28"/>
          <w:szCs w:val="28"/>
          <w:lang w:val="ru-RU"/>
        </w:rPr>
        <w:t>) = 2,63% + 2,07% + 2,76% + 0,87% + 2,33% + 2,20% = 12,86% ≈ 13,5% (с учётом реинвестирования дивидендов</w:t>
      </w:r>
      <w:proofErr w:type="gramStart"/>
      <w:r w:rsidRPr="008521AF">
        <w:rPr>
          <w:rFonts w:ascii="Times New Roman" w:eastAsia="Times New Roman" w:hAnsi="Times New Roman" w:cs="Times New Roman"/>
          <w:sz w:val="28"/>
          <w:szCs w:val="28"/>
          <w:lang w:val="ru-RU"/>
        </w:rPr>
        <w:t>)</w:t>
      </w:r>
      <w:r w:rsidR="00580BE4">
        <w:rPr>
          <w:rFonts w:ascii="Times New Roman" w:eastAsia="Times New Roman" w:hAnsi="Times New Roman" w:cs="Times New Roman"/>
          <w:sz w:val="28"/>
          <w:szCs w:val="28"/>
          <w:lang w:val="ru-RU"/>
        </w:rPr>
        <w:t xml:space="preserve">,   </w:t>
      </w:r>
      <w:proofErr w:type="gramEnd"/>
      <w:r w:rsidR="00580BE4">
        <w:rPr>
          <w:rFonts w:ascii="Times New Roman" w:eastAsia="Times New Roman" w:hAnsi="Times New Roman" w:cs="Times New Roman"/>
          <w:sz w:val="28"/>
          <w:szCs w:val="28"/>
          <w:lang w:val="ru-RU"/>
        </w:rPr>
        <w:t xml:space="preserve">                                                   </w:t>
      </w:r>
      <w:proofErr w:type="gramStart"/>
      <w:r w:rsidR="00580BE4">
        <w:rPr>
          <w:rFonts w:ascii="Times New Roman" w:eastAsia="Times New Roman" w:hAnsi="Times New Roman" w:cs="Times New Roman"/>
          <w:sz w:val="28"/>
          <w:szCs w:val="28"/>
          <w:lang w:val="ru-RU"/>
        </w:rPr>
        <w:t xml:space="preserve">   (</w:t>
      </w:r>
      <w:proofErr w:type="gramEnd"/>
      <w:r w:rsidR="00580BE4">
        <w:rPr>
          <w:rFonts w:ascii="Times New Roman" w:eastAsia="Times New Roman" w:hAnsi="Times New Roman" w:cs="Times New Roman"/>
          <w:sz w:val="28"/>
          <w:szCs w:val="28"/>
          <w:lang w:val="ru-RU"/>
        </w:rPr>
        <w:t>20)</w:t>
      </w:r>
    </w:p>
    <w:p w14:paraId="3B3C0C33" w14:textId="12EDAE15"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Расчёт совокупного риска. Стандартное отклонение рассчитывается по формуле (11) с использованием ковариационной матрицы на основе месячных доходностей за 2022–2024 гг. [47]. Высокая положительная корреляция между отраслевыми эмитентами (ρ ≈ 0,75–0,90) существенно ограничивает эффект диверсификации</w:t>
      </w:r>
      <w:r w:rsidR="00580BE4">
        <w:rPr>
          <w:rFonts w:ascii="Times New Roman" w:eastAsia="Times New Roman" w:hAnsi="Times New Roman" w:cs="Times New Roman"/>
          <w:sz w:val="28"/>
          <w:szCs w:val="28"/>
          <w:lang w:val="ru-RU"/>
        </w:rPr>
        <w:t xml:space="preserve"> (21)</w:t>
      </w:r>
      <w:r w:rsidRPr="008521AF">
        <w:rPr>
          <w:rFonts w:ascii="Times New Roman" w:eastAsia="Times New Roman" w:hAnsi="Times New Roman" w:cs="Times New Roman"/>
          <w:sz w:val="28"/>
          <w:szCs w:val="28"/>
          <w:lang w:val="ru-RU"/>
        </w:rPr>
        <w:t>:</w:t>
      </w:r>
    </w:p>
    <w:p w14:paraId="09ACC41E" w14:textId="1CE14BEC" w:rsidR="00AF1EBB" w:rsidRPr="008521AF" w:rsidRDefault="00580BE4"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proofErr w:type="spellStart"/>
      <w:r w:rsidR="00AF1EBB" w:rsidRPr="008521AF">
        <w:rPr>
          <w:rFonts w:ascii="Times New Roman" w:eastAsia="Times New Roman" w:hAnsi="Times New Roman" w:cs="Times New Roman"/>
          <w:sz w:val="28"/>
          <w:szCs w:val="28"/>
          <w:lang w:val="ru-RU"/>
        </w:rPr>
        <w:t>σp</w:t>
      </w:r>
      <w:proofErr w:type="spellEnd"/>
      <w:r w:rsidR="00AF1EBB" w:rsidRPr="008521AF">
        <w:rPr>
          <w:rFonts w:ascii="Times New Roman" w:eastAsia="Times New Roman" w:hAnsi="Times New Roman" w:cs="Times New Roman"/>
          <w:sz w:val="28"/>
          <w:szCs w:val="28"/>
          <w:lang w:val="ru-RU"/>
        </w:rPr>
        <w:t xml:space="preserve"> = </w:t>
      </w:r>
      <w:proofErr w:type="gramStart"/>
      <w:r w:rsidR="00AF1EBB" w:rsidRPr="008521AF">
        <w:rPr>
          <w:rFonts w:ascii="Times New Roman" w:eastAsia="Times New Roman" w:hAnsi="Times New Roman" w:cs="Times New Roman"/>
          <w:sz w:val="28"/>
          <w:szCs w:val="28"/>
          <w:lang w:val="ru-RU"/>
        </w:rPr>
        <w:t>√(</w:t>
      </w:r>
      <w:proofErr w:type="gramEnd"/>
      <w:r w:rsidR="00AF1EBB" w:rsidRPr="008521AF">
        <w:rPr>
          <w:rFonts w:ascii="Times New Roman" w:eastAsia="Times New Roman" w:hAnsi="Times New Roman" w:cs="Times New Roman"/>
          <w:sz w:val="28"/>
          <w:szCs w:val="28"/>
          <w:lang w:val="ru-RU"/>
        </w:rPr>
        <w:t xml:space="preserve">σ²взвеш + 2·Σσij·wi·wj) = </w:t>
      </w:r>
      <w:proofErr w:type="gramStart"/>
      <w:r w:rsidR="00AF1EBB" w:rsidRPr="008521AF">
        <w:rPr>
          <w:rFonts w:ascii="Times New Roman" w:eastAsia="Times New Roman" w:hAnsi="Times New Roman" w:cs="Times New Roman"/>
          <w:sz w:val="28"/>
          <w:szCs w:val="28"/>
          <w:lang w:val="ru-RU"/>
        </w:rPr>
        <w:t>√(</w:t>
      </w:r>
      <w:proofErr w:type="gramEnd"/>
      <w:r w:rsidR="00AF1EBB" w:rsidRPr="008521AF">
        <w:rPr>
          <w:rFonts w:ascii="Times New Roman" w:eastAsia="Times New Roman" w:hAnsi="Times New Roman" w:cs="Times New Roman"/>
          <w:sz w:val="28"/>
          <w:szCs w:val="28"/>
          <w:lang w:val="ru-RU"/>
        </w:rPr>
        <w:t>0,0697) = 26,4</w:t>
      </w:r>
      <w:proofErr w:type="gramStart"/>
      <w:r w:rsidR="00AF1EBB" w:rsidRPr="008521A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21)</w:t>
      </w:r>
    </w:p>
    <w:p w14:paraId="43EC603B" w14:textId="04452635"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Расчёт коэффициента Шарпа. В качестве безрисковой ставки (</w:t>
      </w:r>
      <w:r>
        <w:rPr>
          <w:rFonts w:ascii="Times New Roman" w:eastAsia="Times New Roman" w:hAnsi="Times New Roman" w:cs="Times New Roman"/>
          <w:sz w:val="28"/>
          <w:szCs w:val="28"/>
        </w:rPr>
        <w:t>Rf</w:t>
      </w:r>
      <w:r w:rsidRPr="00AF1EBB">
        <w:rPr>
          <w:rFonts w:ascii="Times New Roman" w:eastAsia="Times New Roman" w:hAnsi="Times New Roman" w:cs="Times New Roman"/>
          <w:sz w:val="28"/>
          <w:szCs w:val="28"/>
          <w:lang w:val="ru-RU"/>
        </w:rPr>
        <w:t>) принята доходность долгосрочных государственных облигаций (ОФЗ) на уровне 15,0% годовых [46]. По фор</w:t>
      </w:r>
      <w:r w:rsidRPr="00580BE4">
        <w:rPr>
          <w:rFonts w:ascii="Times New Roman" w:eastAsia="Times New Roman" w:hAnsi="Times New Roman" w:cs="Times New Roman"/>
          <w:sz w:val="28"/>
          <w:szCs w:val="28"/>
          <w:lang w:val="ru-RU"/>
        </w:rPr>
        <w:t>муле (</w:t>
      </w:r>
      <w:r w:rsidR="00580BE4" w:rsidRPr="00580BE4">
        <w:rPr>
          <w:rFonts w:ascii="Times New Roman" w:eastAsia="Times New Roman" w:hAnsi="Times New Roman" w:cs="Times New Roman"/>
          <w:sz w:val="28"/>
          <w:szCs w:val="28"/>
          <w:lang w:val="ru-RU"/>
        </w:rPr>
        <w:t>2</w:t>
      </w:r>
      <w:r w:rsidR="00580BE4">
        <w:rPr>
          <w:rFonts w:ascii="Times New Roman" w:eastAsia="Times New Roman" w:hAnsi="Times New Roman" w:cs="Times New Roman"/>
          <w:sz w:val="28"/>
          <w:szCs w:val="28"/>
          <w:lang w:val="ru-RU"/>
        </w:rPr>
        <w:t>2</w:t>
      </w:r>
      <w:r w:rsidRPr="00580BE4">
        <w:rPr>
          <w:rFonts w:ascii="Times New Roman" w:eastAsia="Times New Roman" w:hAnsi="Times New Roman" w:cs="Times New Roman"/>
          <w:sz w:val="28"/>
          <w:szCs w:val="28"/>
          <w:lang w:val="ru-RU"/>
        </w:rPr>
        <w:t>):</w:t>
      </w:r>
    </w:p>
    <w:p w14:paraId="5E348D26" w14:textId="6D38099D" w:rsidR="00AF1EBB" w:rsidRPr="008521AF" w:rsidRDefault="00580BE4"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K</w:t>
      </w:r>
      <w:r w:rsidR="00BA0E02">
        <w:rPr>
          <w:rFonts w:ascii="Times New Roman" w:eastAsia="Times New Roman" w:hAnsi="Times New Roman" w:cs="Times New Roman"/>
          <w:sz w:val="28"/>
          <w:szCs w:val="28"/>
          <w:lang w:val="en-US"/>
        </w:rPr>
        <w:t xml:space="preserve"> </w:t>
      </w:r>
      <w:r w:rsidR="00AF1EBB" w:rsidRPr="008521AF">
        <w:rPr>
          <w:rFonts w:ascii="Times New Roman" w:eastAsia="Times New Roman" w:hAnsi="Times New Roman" w:cs="Times New Roman"/>
          <w:sz w:val="28"/>
          <w:szCs w:val="28"/>
          <w:lang w:val="ru-RU"/>
        </w:rPr>
        <w:t>Шарпа = (13,5% − 15,0%) / 26,4% = −1,5% / 26,4% = −0,057</w:t>
      </w:r>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22)</w:t>
      </w:r>
    </w:p>
    <w:p w14:paraId="2117E337" w14:textId="409C37D9"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 xml:space="preserve">Расчёт коэффициента </w:t>
      </w:r>
      <w:proofErr w:type="spellStart"/>
      <w:r w:rsidRPr="00AF1EBB">
        <w:rPr>
          <w:rFonts w:ascii="Times New Roman" w:eastAsia="Times New Roman" w:hAnsi="Times New Roman" w:cs="Times New Roman"/>
          <w:sz w:val="28"/>
          <w:szCs w:val="28"/>
          <w:lang w:val="ru-RU"/>
        </w:rPr>
        <w:t>Трейнора</w:t>
      </w:r>
      <w:proofErr w:type="spellEnd"/>
      <w:r w:rsidRPr="00AF1EBB">
        <w:rPr>
          <w:rFonts w:ascii="Times New Roman" w:eastAsia="Times New Roman" w:hAnsi="Times New Roman" w:cs="Times New Roman"/>
          <w:sz w:val="28"/>
          <w:szCs w:val="28"/>
          <w:lang w:val="ru-RU"/>
        </w:rPr>
        <w:t xml:space="preserve">. Бета-коэффициент портфеля определён через ковариацию с индексом </w:t>
      </w:r>
      <w:proofErr w:type="spellStart"/>
      <w:r w:rsidRPr="00AF1EBB">
        <w:rPr>
          <w:rFonts w:ascii="Times New Roman" w:eastAsia="Times New Roman" w:hAnsi="Times New Roman" w:cs="Times New Roman"/>
          <w:sz w:val="28"/>
          <w:szCs w:val="28"/>
          <w:lang w:val="ru-RU"/>
        </w:rPr>
        <w:t>МосБиржи</w:t>
      </w:r>
      <w:proofErr w:type="spellEnd"/>
      <w:r w:rsidRPr="00AF1EBB">
        <w:rPr>
          <w:rFonts w:ascii="Times New Roman" w:eastAsia="Times New Roman" w:hAnsi="Times New Roman" w:cs="Times New Roman"/>
          <w:sz w:val="28"/>
          <w:szCs w:val="28"/>
          <w:lang w:val="ru-RU"/>
        </w:rPr>
        <w:t xml:space="preserve">: </w:t>
      </w:r>
      <w:r w:rsidRPr="008521AF">
        <w:rPr>
          <w:rFonts w:ascii="Times New Roman" w:eastAsia="Times New Roman" w:hAnsi="Times New Roman" w:cs="Times New Roman"/>
          <w:sz w:val="28"/>
          <w:szCs w:val="28"/>
          <w:lang w:val="ru-RU"/>
        </w:rPr>
        <w:t>β</w:t>
      </w:r>
      <w:r w:rsidRPr="00AF1EBB">
        <w:rPr>
          <w:rFonts w:ascii="Times New Roman" w:eastAsia="Times New Roman" w:hAnsi="Times New Roman" w:cs="Times New Roman"/>
          <w:sz w:val="28"/>
          <w:szCs w:val="28"/>
          <w:lang w:val="ru-RU"/>
        </w:rPr>
        <w:t xml:space="preserve"> = 1,05. По </w:t>
      </w:r>
      <w:r w:rsidRPr="00580BE4">
        <w:rPr>
          <w:rFonts w:ascii="Times New Roman" w:eastAsia="Times New Roman" w:hAnsi="Times New Roman" w:cs="Times New Roman"/>
          <w:sz w:val="28"/>
          <w:szCs w:val="28"/>
          <w:lang w:val="ru-RU"/>
        </w:rPr>
        <w:t>формуле (</w:t>
      </w:r>
      <w:r w:rsidR="00580BE4" w:rsidRPr="00580BE4">
        <w:rPr>
          <w:rFonts w:ascii="Times New Roman" w:eastAsia="Times New Roman" w:hAnsi="Times New Roman" w:cs="Times New Roman"/>
          <w:sz w:val="28"/>
          <w:szCs w:val="28"/>
          <w:lang w:val="ru-RU"/>
        </w:rPr>
        <w:t>2</w:t>
      </w:r>
      <w:r w:rsidRPr="00580BE4">
        <w:rPr>
          <w:rFonts w:ascii="Times New Roman" w:eastAsia="Times New Roman" w:hAnsi="Times New Roman" w:cs="Times New Roman"/>
          <w:sz w:val="28"/>
          <w:szCs w:val="28"/>
          <w:lang w:val="ru-RU"/>
        </w:rPr>
        <w:t>3):</w:t>
      </w:r>
    </w:p>
    <w:p w14:paraId="2C748ADA" w14:textId="19D5C80B" w:rsidR="00AF1EBB" w:rsidRPr="008521AF" w:rsidRDefault="00580BE4"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K</w:t>
      </w:r>
      <w:r w:rsidR="00BA0E02">
        <w:rPr>
          <w:rFonts w:ascii="Times New Roman" w:eastAsia="Times New Roman" w:hAnsi="Times New Roman" w:cs="Times New Roman"/>
          <w:sz w:val="28"/>
          <w:szCs w:val="28"/>
          <w:lang w:val="en-US"/>
        </w:rPr>
        <w:t xml:space="preserve"> </w:t>
      </w:r>
      <w:proofErr w:type="spellStart"/>
      <w:r w:rsidR="00AF1EBB" w:rsidRPr="008521AF">
        <w:rPr>
          <w:rFonts w:ascii="Times New Roman" w:eastAsia="Times New Roman" w:hAnsi="Times New Roman" w:cs="Times New Roman"/>
          <w:sz w:val="28"/>
          <w:szCs w:val="28"/>
          <w:lang w:val="ru-RU"/>
        </w:rPr>
        <w:t>Трейнора</w:t>
      </w:r>
      <w:proofErr w:type="spellEnd"/>
      <w:r w:rsidR="00AF1EBB" w:rsidRPr="008521AF">
        <w:rPr>
          <w:rFonts w:ascii="Times New Roman" w:eastAsia="Times New Roman" w:hAnsi="Times New Roman" w:cs="Times New Roman"/>
          <w:sz w:val="28"/>
          <w:szCs w:val="28"/>
          <w:lang w:val="ru-RU"/>
        </w:rPr>
        <w:t xml:space="preserve"> = (13,5% − 15,0%) / 1,05 = −1,43%</w:t>
      </w:r>
      <w:r>
        <w:rPr>
          <w:rFonts w:ascii="Times New Roman" w:eastAsia="Times New Roman" w:hAnsi="Times New Roman" w:cs="Times New Roman"/>
          <w:sz w:val="28"/>
          <w:szCs w:val="28"/>
          <w:lang w:val="ru-RU"/>
        </w:rPr>
        <w:t>,                     (23)</w:t>
      </w:r>
    </w:p>
    <w:p w14:paraId="0DFF86D2" w14:textId="5FB8BFCC"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 xml:space="preserve">Расчёт коэффициента </w:t>
      </w:r>
      <w:proofErr w:type="spellStart"/>
      <w:r w:rsidRPr="00AF1EBB">
        <w:rPr>
          <w:rFonts w:ascii="Times New Roman" w:eastAsia="Times New Roman" w:hAnsi="Times New Roman" w:cs="Times New Roman"/>
          <w:sz w:val="28"/>
          <w:szCs w:val="28"/>
          <w:lang w:val="ru-RU"/>
        </w:rPr>
        <w:t>Сортино</w:t>
      </w:r>
      <w:proofErr w:type="spellEnd"/>
      <w:r w:rsidRPr="00AF1EBB">
        <w:rPr>
          <w:rFonts w:ascii="Times New Roman" w:eastAsia="Times New Roman" w:hAnsi="Times New Roman" w:cs="Times New Roman"/>
          <w:sz w:val="28"/>
          <w:szCs w:val="28"/>
          <w:lang w:val="ru-RU"/>
        </w:rPr>
        <w:t>. Нисходящее стандартное отклонение (</w:t>
      </w:r>
      <w:proofErr w:type="spellStart"/>
      <w:r w:rsidRPr="008521AF">
        <w:rPr>
          <w:rFonts w:ascii="Times New Roman" w:eastAsia="Times New Roman" w:hAnsi="Times New Roman" w:cs="Times New Roman"/>
          <w:sz w:val="28"/>
          <w:szCs w:val="28"/>
          <w:lang w:val="ru-RU"/>
        </w:rPr>
        <w:t>downside</w:t>
      </w:r>
      <w:proofErr w:type="spellEnd"/>
      <w:r w:rsidRPr="00AF1EBB">
        <w:rPr>
          <w:rFonts w:ascii="Times New Roman" w:eastAsia="Times New Roman" w:hAnsi="Times New Roman" w:cs="Times New Roman"/>
          <w:sz w:val="28"/>
          <w:szCs w:val="28"/>
          <w:lang w:val="ru-RU"/>
        </w:rPr>
        <w:t xml:space="preserve"> </w:t>
      </w:r>
      <w:proofErr w:type="spellStart"/>
      <w:r w:rsidRPr="008521AF">
        <w:rPr>
          <w:rFonts w:ascii="Times New Roman" w:eastAsia="Times New Roman" w:hAnsi="Times New Roman" w:cs="Times New Roman"/>
          <w:sz w:val="28"/>
          <w:szCs w:val="28"/>
          <w:lang w:val="ru-RU"/>
        </w:rPr>
        <w:t>deviation</w:t>
      </w:r>
      <w:proofErr w:type="spellEnd"/>
      <w:r w:rsidRPr="00AF1EBB">
        <w:rPr>
          <w:rFonts w:ascii="Times New Roman" w:eastAsia="Times New Roman" w:hAnsi="Times New Roman" w:cs="Times New Roman"/>
          <w:sz w:val="28"/>
          <w:szCs w:val="28"/>
          <w:lang w:val="ru-RU"/>
        </w:rPr>
        <w:t xml:space="preserve">, </w:t>
      </w:r>
      <w:proofErr w:type="spellStart"/>
      <w:r w:rsidRPr="008521AF">
        <w:rPr>
          <w:rFonts w:ascii="Times New Roman" w:eastAsia="Times New Roman" w:hAnsi="Times New Roman" w:cs="Times New Roman"/>
          <w:sz w:val="28"/>
          <w:szCs w:val="28"/>
          <w:lang w:val="ru-RU"/>
        </w:rPr>
        <w:t>σd</w:t>
      </w:r>
      <w:proofErr w:type="spellEnd"/>
      <w:r w:rsidRPr="00AF1EBB">
        <w:rPr>
          <w:rFonts w:ascii="Times New Roman" w:eastAsia="Times New Roman" w:hAnsi="Times New Roman" w:cs="Times New Roman"/>
          <w:sz w:val="28"/>
          <w:szCs w:val="28"/>
          <w:lang w:val="ru-RU"/>
        </w:rPr>
        <w:t xml:space="preserve">) рассчитывается только по месяцам с отрицательной доходностью. На основе данных [47]: </w:t>
      </w:r>
      <w:proofErr w:type="spellStart"/>
      <w:r w:rsidRPr="008521AF">
        <w:rPr>
          <w:rFonts w:ascii="Times New Roman" w:eastAsia="Times New Roman" w:hAnsi="Times New Roman" w:cs="Times New Roman"/>
          <w:sz w:val="28"/>
          <w:szCs w:val="28"/>
          <w:lang w:val="ru-RU"/>
        </w:rPr>
        <w:t>σd</w:t>
      </w:r>
      <w:proofErr w:type="spellEnd"/>
      <w:r w:rsidRPr="00AF1EBB">
        <w:rPr>
          <w:rFonts w:ascii="Times New Roman" w:eastAsia="Times New Roman" w:hAnsi="Times New Roman" w:cs="Times New Roman"/>
          <w:sz w:val="28"/>
          <w:szCs w:val="28"/>
          <w:lang w:val="ru-RU"/>
        </w:rPr>
        <w:t xml:space="preserve"> = 18,3%. По </w:t>
      </w:r>
      <w:r w:rsidRPr="00580BE4">
        <w:rPr>
          <w:rFonts w:ascii="Times New Roman" w:eastAsia="Times New Roman" w:hAnsi="Times New Roman" w:cs="Times New Roman"/>
          <w:sz w:val="28"/>
          <w:szCs w:val="28"/>
          <w:lang w:val="ru-RU"/>
        </w:rPr>
        <w:t>формуле (2</w:t>
      </w:r>
      <w:r w:rsidR="00580BE4" w:rsidRPr="00580BE4">
        <w:rPr>
          <w:rFonts w:ascii="Times New Roman" w:eastAsia="Times New Roman" w:hAnsi="Times New Roman" w:cs="Times New Roman"/>
          <w:sz w:val="28"/>
          <w:szCs w:val="28"/>
          <w:lang w:val="ru-RU"/>
        </w:rPr>
        <w:t>4</w:t>
      </w:r>
      <w:r w:rsidRPr="00580BE4">
        <w:rPr>
          <w:rFonts w:ascii="Times New Roman" w:eastAsia="Times New Roman" w:hAnsi="Times New Roman" w:cs="Times New Roman"/>
          <w:sz w:val="28"/>
          <w:szCs w:val="28"/>
          <w:lang w:val="ru-RU"/>
        </w:rPr>
        <w:t>):</w:t>
      </w:r>
    </w:p>
    <w:p w14:paraId="1EE3CD8E" w14:textId="39681926" w:rsidR="00AF1EBB" w:rsidRPr="008521AF" w:rsidRDefault="00580BE4"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                               </w:t>
      </w:r>
      <w:r w:rsidR="00AF1EBB" w:rsidRPr="008521AF">
        <w:rPr>
          <w:rFonts w:ascii="Times New Roman" w:eastAsia="Times New Roman" w:hAnsi="Times New Roman" w:cs="Times New Roman"/>
          <w:sz w:val="28"/>
          <w:szCs w:val="28"/>
          <w:lang w:val="ru-RU"/>
        </w:rPr>
        <w:t>K</w:t>
      </w:r>
      <w:r w:rsidR="00BA0E02">
        <w:rPr>
          <w:rFonts w:ascii="Times New Roman" w:eastAsia="Times New Roman" w:hAnsi="Times New Roman" w:cs="Times New Roman"/>
          <w:sz w:val="28"/>
          <w:szCs w:val="28"/>
          <w:lang w:val="en-US"/>
        </w:rPr>
        <w:t xml:space="preserve"> </w:t>
      </w:r>
      <w:proofErr w:type="spellStart"/>
      <w:r w:rsidR="00AF1EBB" w:rsidRPr="008521AF">
        <w:rPr>
          <w:rFonts w:ascii="Times New Roman" w:eastAsia="Times New Roman" w:hAnsi="Times New Roman" w:cs="Times New Roman"/>
          <w:sz w:val="28"/>
          <w:szCs w:val="28"/>
          <w:lang w:val="ru-RU"/>
        </w:rPr>
        <w:t>Сортино</w:t>
      </w:r>
      <w:proofErr w:type="spellEnd"/>
      <w:r w:rsidR="00AF1EBB" w:rsidRPr="008521AF">
        <w:rPr>
          <w:rFonts w:ascii="Times New Roman" w:eastAsia="Times New Roman" w:hAnsi="Times New Roman" w:cs="Times New Roman"/>
          <w:sz w:val="28"/>
          <w:szCs w:val="28"/>
          <w:lang w:val="ru-RU"/>
        </w:rPr>
        <w:t xml:space="preserve"> = (13,5% − 15,0%) / 18,3% = −0,082</w:t>
      </w:r>
      <w:r>
        <w:rPr>
          <w:rFonts w:ascii="Times New Roman" w:eastAsia="Times New Roman" w:hAnsi="Times New Roman" w:cs="Times New Roman"/>
          <w:sz w:val="28"/>
          <w:szCs w:val="28"/>
          <w:lang w:val="ru-RU"/>
        </w:rPr>
        <w:t>,                (24)</w:t>
      </w:r>
    </w:p>
    <w:p w14:paraId="24517AF5" w14:textId="106B5065"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Расчёт альфы Дженсена. Среднерыночная доходность (</w:t>
      </w:r>
      <w:proofErr w:type="spellStart"/>
      <w:r w:rsidRPr="008521AF">
        <w:rPr>
          <w:rFonts w:ascii="Times New Roman" w:eastAsia="Times New Roman" w:hAnsi="Times New Roman" w:cs="Times New Roman"/>
          <w:sz w:val="28"/>
          <w:szCs w:val="28"/>
          <w:lang w:val="ru-RU"/>
        </w:rPr>
        <w:t>rm</w:t>
      </w:r>
      <w:proofErr w:type="spellEnd"/>
      <w:r w:rsidRPr="00AF1EBB">
        <w:rPr>
          <w:rFonts w:ascii="Times New Roman" w:eastAsia="Times New Roman" w:hAnsi="Times New Roman" w:cs="Times New Roman"/>
          <w:sz w:val="28"/>
          <w:szCs w:val="28"/>
          <w:lang w:val="ru-RU"/>
        </w:rPr>
        <w:t>) на горизонте 2022–2024 гг. составила 14,8% [47]. По форму</w:t>
      </w:r>
      <w:r w:rsidRPr="00580BE4">
        <w:rPr>
          <w:rFonts w:ascii="Times New Roman" w:eastAsia="Times New Roman" w:hAnsi="Times New Roman" w:cs="Times New Roman"/>
          <w:sz w:val="28"/>
          <w:szCs w:val="28"/>
          <w:lang w:val="ru-RU"/>
        </w:rPr>
        <w:t>ле (</w:t>
      </w:r>
      <w:r w:rsidR="00580BE4" w:rsidRPr="00580BE4">
        <w:rPr>
          <w:rFonts w:ascii="Times New Roman" w:eastAsia="Times New Roman" w:hAnsi="Times New Roman" w:cs="Times New Roman"/>
          <w:sz w:val="28"/>
          <w:szCs w:val="28"/>
          <w:lang w:val="ru-RU"/>
        </w:rPr>
        <w:t>25</w:t>
      </w:r>
      <w:r w:rsidRPr="00580BE4">
        <w:rPr>
          <w:rFonts w:ascii="Times New Roman" w:eastAsia="Times New Roman" w:hAnsi="Times New Roman" w:cs="Times New Roman"/>
          <w:sz w:val="28"/>
          <w:szCs w:val="28"/>
          <w:lang w:val="ru-RU"/>
        </w:rPr>
        <w:t>):</w:t>
      </w:r>
    </w:p>
    <w:p w14:paraId="64E6CF96" w14:textId="1A7DD41C" w:rsidR="00AF1EBB" w:rsidRPr="008521AF" w:rsidRDefault="00AF1EBB" w:rsidP="00AF1EBB">
      <w:pPr>
        <w:spacing w:line="360" w:lineRule="auto"/>
        <w:jc w:val="center"/>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α = 13,5% − [15,0% + 1,05 · (14,8% − 15,0%)] = 13,5% − [15,0% − 0,21%] = 13,5% − 14,79% = −1,29</w:t>
      </w:r>
      <w:proofErr w:type="gramStart"/>
      <w:r w:rsidRPr="008521AF">
        <w:rPr>
          <w:rFonts w:ascii="Times New Roman" w:eastAsia="Times New Roman" w:hAnsi="Times New Roman" w:cs="Times New Roman"/>
          <w:sz w:val="28"/>
          <w:szCs w:val="28"/>
          <w:lang w:val="ru-RU"/>
        </w:rPr>
        <w:t>%</w:t>
      </w:r>
      <w:r w:rsidR="00580BE4">
        <w:rPr>
          <w:rFonts w:ascii="Times New Roman" w:eastAsia="Times New Roman" w:hAnsi="Times New Roman" w:cs="Times New Roman"/>
          <w:sz w:val="28"/>
          <w:szCs w:val="28"/>
          <w:lang w:val="ru-RU"/>
        </w:rPr>
        <w:t xml:space="preserve">,   </w:t>
      </w:r>
      <w:proofErr w:type="gramEnd"/>
      <w:r w:rsidR="00580BE4">
        <w:rPr>
          <w:rFonts w:ascii="Times New Roman" w:eastAsia="Times New Roman" w:hAnsi="Times New Roman" w:cs="Times New Roman"/>
          <w:sz w:val="28"/>
          <w:szCs w:val="28"/>
          <w:lang w:val="ru-RU"/>
        </w:rPr>
        <w:t xml:space="preserve">                                                                          </w:t>
      </w:r>
      <w:proofErr w:type="gramStart"/>
      <w:r w:rsidR="00580BE4">
        <w:rPr>
          <w:rFonts w:ascii="Times New Roman" w:eastAsia="Times New Roman" w:hAnsi="Times New Roman" w:cs="Times New Roman"/>
          <w:sz w:val="28"/>
          <w:szCs w:val="28"/>
          <w:lang w:val="ru-RU"/>
        </w:rPr>
        <w:t xml:space="preserve">   (</w:t>
      </w:r>
      <w:proofErr w:type="gramEnd"/>
      <w:r w:rsidR="00580BE4">
        <w:rPr>
          <w:rFonts w:ascii="Times New Roman" w:eastAsia="Times New Roman" w:hAnsi="Times New Roman" w:cs="Times New Roman"/>
          <w:sz w:val="28"/>
          <w:szCs w:val="28"/>
          <w:lang w:val="ru-RU"/>
        </w:rPr>
        <w:t>25)</w:t>
      </w:r>
    </w:p>
    <w:p w14:paraId="33A73711" w14:textId="509A19B6" w:rsidR="008B4AFE" w:rsidRPr="008521AF" w:rsidRDefault="00AF1EBB" w:rsidP="008B4AFE">
      <w:pPr>
        <w:spacing w:line="360" w:lineRule="auto"/>
        <w:ind w:firstLine="709"/>
        <w:jc w:val="both"/>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Отрицательная альфа (−1,29%) означает, что фонд систематически недобирает доходность относительно рыночных ожиданий с учётом принимаемого систематического риска.</w:t>
      </w:r>
    </w:p>
    <w:p w14:paraId="470DD291" w14:textId="77777777" w:rsidR="00AF1EBB" w:rsidRPr="008521AF" w:rsidRDefault="00AF1EBB" w:rsidP="00AF1EBB">
      <w:pPr>
        <w:spacing w:line="360" w:lineRule="auto"/>
        <w:rPr>
          <w:rFonts w:ascii="Times New Roman" w:eastAsia="Times New Roman" w:hAnsi="Times New Roman" w:cs="Times New Roman"/>
          <w:sz w:val="28"/>
          <w:szCs w:val="28"/>
          <w:lang w:val="ru-RU"/>
        </w:rPr>
      </w:pPr>
    </w:p>
    <w:p w14:paraId="7853E5B4" w14:textId="1E9BAB98"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 xml:space="preserve">Таблица </w:t>
      </w:r>
      <w:r w:rsidR="008521AF">
        <w:rPr>
          <w:rFonts w:ascii="Times New Roman" w:eastAsia="Times New Roman" w:hAnsi="Times New Roman" w:cs="Times New Roman"/>
          <w:sz w:val="28"/>
          <w:szCs w:val="28"/>
          <w:lang w:val="ru-RU"/>
        </w:rPr>
        <w:t>4</w:t>
      </w:r>
      <w:r w:rsidRPr="00AF1EBB">
        <w:rPr>
          <w:rFonts w:ascii="Times New Roman" w:eastAsia="Times New Roman" w:hAnsi="Times New Roman" w:cs="Times New Roman"/>
          <w:sz w:val="28"/>
          <w:szCs w:val="28"/>
          <w:lang w:val="ru-RU"/>
        </w:rPr>
        <w:t xml:space="preserve"> – Расчёт показателей доходности и риска существующего портфеля фонда</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2000"/>
        <w:gridCol w:w="3526"/>
      </w:tblGrid>
      <w:tr w:rsidR="00AF1EBB" w:rsidRPr="008521AF" w14:paraId="66B1ABAB"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03336"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b/>
                <w:bCs/>
                <w:sz w:val="24"/>
                <w:szCs w:val="24"/>
              </w:rPr>
              <w:t>Показатель</w:t>
            </w:r>
            <w:proofErr w:type="spellEnd"/>
            <w:r w:rsidRPr="008521AF">
              <w:rPr>
                <w:rFonts w:ascii="Times New Roman" w:eastAsia="Times New Roman" w:hAnsi="Times New Roman" w:cs="Times New Roman"/>
                <w:b/>
                <w:bCs/>
                <w:sz w:val="24"/>
                <w:szCs w:val="24"/>
              </w:rPr>
              <w:t xml:space="preserve"> </w:t>
            </w:r>
            <w:proofErr w:type="spellStart"/>
            <w:r w:rsidRPr="008521AF">
              <w:rPr>
                <w:rFonts w:ascii="Times New Roman" w:eastAsia="Times New Roman" w:hAnsi="Times New Roman" w:cs="Times New Roman"/>
                <w:b/>
                <w:bCs/>
                <w:sz w:val="24"/>
                <w:szCs w:val="24"/>
              </w:rPr>
              <w:t>оценки</w:t>
            </w:r>
            <w:proofErr w:type="spellEnd"/>
            <w:r w:rsidRPr="008521AF">
              <w:rPr>
                <w:rFonts w:ascii="Times New Roman" w:eastAsia="Times New Roman" w:hAnsi="Times New Roman" w:cs="Times New Roman"/>
                <w:b/>
                <w:bCs/>
                <w:sz w:val="24"/>
                <w:szCs w:val="24"/>
              </w:rPr>
              <w:t xml:space="preserve"> </w:t>
            </w:r>
            <w:proofErr w:type="spellStart"/>
            <w:r w:rsidRPr="008521AF">
              <w:rPr>
                <w:rFonts w:ascii="Times New Roman" w:eastAsia="Times New Roman" w:hAnsi="Times New Roman" w:cs="Times New Roman"/>
                <w:b/>
                <w:bCs/>
                <w:sz w:val="24"/>
                <w:szCs w:val="24"/>
              </w:rPr>
              <w:t>портфеля</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96C2B"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b/>
                <w:bCs/>
                <w:sz w:val="24"/>
                <w:szCs w:val="24"/>
              </w:rPr>
              <w:t>Фактическое</w:t>
            </w:r>
            <w:proofErr w:type="spellEnd"/>
            <w:r w:rsidRPr="008521AF">
              <w:rPr>
                <w:rFonts w:ascii="Times New Roman" w:eastAsia="Times New Roman" w:hAnsi="Times New Roman" w:cs="Times New Roman"/>
                <w:b/>
                <w:bCs/>
                <w:sz w:val="24"/>
                <w:szCs w:val="24"/>
              </w:rPr>
              <w:t xml:space="preserve"> </w:t>
            </w:r>
            <w:proofErr w:type="spellStart"/>
            <w:r w:rsidRPr="008521AF">
              <w:rPr>
                <w:rFonts w:ascii="Times New Roman" w:eastAsia="Times New Roman" w:hAnsi="Times New Roman" w:cs="Times New Roman"/>
                <w:b/>
                <w:bCs/>
                <w:sz w:val="24"/>
                <w:szCs w:val="24"/>
              </w:rPr>
              <w:t>значение</w:t>
            </w:r>
            <w:proofErr w:type="spellEnd"/>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78764"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b/>
                <w:bCs/>
                <w:sz w:val="24"/>
                <w:szCs w:val="24"/>
              </w:rPr>
              <w:t>Интерпретация</w:t>
            </w:r>
            <w:proofErr w:type="spellEnd"/>
          </w:p>
        </w:tc>
      </w:tr>
      <w:tr w:rsidR="00AF1EBB" w:rsidRPr="008521AF" w14:paraId="4F6CC257"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39CA2" w14:textId="77777777" w:rsidR="00AF1EBB" w:rsidRPr="008521AF" w:rsidRDefault="00AF1EBB" w:rsidP="009A785B">
            <w:pPr>
              <w:spacing w:line="300" w:lineRule="auto"/>
              <w:rPr>
                <w:rFonts w:ascii="Times New Roman" w:hAnsi="Times New Roman" w:cs="Times New Roman"/>
                <w:sz w:val="24"/>
                <w:szCs w:val="24"/>
                <w:lang w:val="ru-RU"/>
              </w:rPr>
            </w:pPr>
            <w:r w:rsidRPr="008521AF">
              <w:rPr>
                <w:rFonts w:ascii="Times New Roman" w:eastAsia="Times New Roman" w:hAnsi="Times New Roman" w:cs="Times New Roman"/>
                <w:sz w:val="24"/>
                <w:szCs w:val="24"/>
                <w:lang w:val="ru-RU"/>
              </w:rPr>
              <w:t>Ожидаемая среднегодовая доходность (</w:t>
            </w:r>
            <w:r w:rsidRPr="008521AF">
              <w:rPr>
                <w:rFonts w:ascii="Times New Roman" w:eastAsia="Times New Roman" w:hAnsi="Times New Roman" w:cs="Times New Roman"/>
                <w:sz w:val="24"/>
                <w:szCs w:val="24"/>
              </w:rPr>
              <w:t>E</w:t>
            </w:r>
            <w:r w:rsidRPr="008521AF">
              <w:rPr>
                <w:rFonts w:ascii="Times New Roman" w:eastAsia="Times New Roman" w:hAnsi="Times New Roman" w:cs="Times New Roman"/>
                <w:sz w:val="24"/>
                <w:szCs w:val="24"/>
                <w:lang w:val="ru-RU"/>
              </w:rPr>
              <w:t>(</w:t>
            </w:r>
            <w:r w:rsidRPr="008521AF">
              <w:rPr>
                <w:rFonts w:ascii="Times New Roman" w:eastAsia="Times New Roman" w:hAnsi="Times New Roman" w:cs="Times New Roman"/>
                <w:sz w:val="24"/>
                <w:szCs w:val="24"/>
              </w:rPr>
              <w:t>Rp</w:t>
            </w:r>
            <w:r w:rsidRPr="008521AF">
              <w:rPr>
                <w:rFonts w:ascii="Times New Roman" w:eastAsia="Times New Roman" w:hAnsi="Times New Roman" w:cs="Times New Roman"/>
                <w:sz w:val="24"/>
                <w:szCs w:val="24"/>
                <w:lang w:val="ru-RU"/>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CC0B5"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13,5%</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988AA"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Ниже</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безрисковой</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ставки</w:t>
            </w:r>
            <w:proofErr w:type="spellEnd"/>
          </w:p>
        </w:tc>
      </w:tr>
      <w:tr w:rsidR="00AF1EBB" w:rsidRPr="008521AF" w14:paraId="23BFBCD2"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8629E"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Совокупный</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риск</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σp</w:t>
            </w:r>
            <w:proofErr w:type="spellEnd"/>
            <w:r w:rsidRPr="008521AF">
              <w:rPr>
                <w:rFonts w:ascii="Times New Roman" w:eastAsia="Times New Roman" w:hAnsi="Times New Roman" w:cs="Times New Roman"/>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C072A"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26,4%</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B9FD6"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Критически</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высокий</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отраслевой</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риск</w:t>
            </w:r>
            <w:proofErr w:type="spellEnd"/>
          </w:p>
        </w:tc>
      </w:tr>
      <w:tr w:rsidR="00AF1EBB" w:rsidRPr="008521AF" w14:paraId="6F8FA199"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B833B"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Безрисковая</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ставка</w:t>
            </w:r>
            <w:proofErr w:type="spellEnd"/>
            <w:r w:rsidRPr="008521AF">
              <w:rPr>
                <w:rFonts w:ascii="Times New Roman" w:eastAsia="Times New Roman" w:hAnsi="Times New Roman" w:cs="Times New Roman"/>
                <w:sz w:val="24"/>
                <w:szCs w:val="24"/>
              </w:rPr>
              <w:t xml:space="preserve"> (Rf)</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63816"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15,0%</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2930A"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Доходность</w:t>
            </w:r>
            <w:proofErr w:type="spellEnd"/>
            <w:r w:rsidRPr="008521AF">
              <w:rPr>
                <w:rFonts w:ascii="Times New Roman" w:eastAsia="Times New Roman" w:hAnsi="Times New Roman" w:cs="Times New Roman"/>
                <w:sz w:val="24"/>
                <w:szCs w:val="24"/>
              </w:rPr>
              <w:t xml:space="preserve"> ОФЗ</w:t>
            </w:r>
          </w:p>
        </w:tc>
      </w:tr>
      <w:tr w:rsidR="00AF1EBB" w:rsidRPr="008521AF" w14:paraId="6076381B"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768E9"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Бета-коэффициент</w:t>
            </w:r>
            <w:proofErr w:type="spellEnd"/>
            <w:r w:rsidRPr="008521AF">
              <w:rPr>
                <w:rFonts w:ascii="Times New Roman" w:eastAsia="Times New Roman" w:hAnsi="Times New Roman" w:cs="Times New Roman"/>
                <w:sz w:val="24"/>
                <w:szCs w:val="24"/>
              </w:rPr>
              <w:t xml:space="preserve"> (β)</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09614"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1,05</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A323D"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Волатильнее</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широкого</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рынка</w:t>
            </w:r>
            <w:proofErr w:type="spellEnd"/>
          </w:p>
        </w:tc>
      </w:tr>
      <w:tr w:rsidR="00AF1EBB" w:rsidRPr="008521AF" w14:paraId="7BF7D707"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35DDE"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Коэффициент</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Шарпа</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4E35E"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−0,057</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35F32"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Нет</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премии</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за</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риск</w:t>
            </w:r>
            <w:proofErr w:type="spellEnd"/>
          </w:p>
        </w:tc>
      </w:tr>
      <w:tr w:rsidR="00AF1EBB" w:rsidRPr="008521AF" w14:paraId="166834B9"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12DE3"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Коэффициент</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Сортино</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5187"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−0,082</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68FD2"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Избыточный</w:t>
            </w:r>
            <w:proofErr w:type="spellEnd"/>
            <w:r w:rsidRPr="008521AF">
              <w:rPr>
                <w:rFonts w:ascii="Times New Roman" w:eastAsia="Times New Roman" w:hAnsi="Times New Roman" w:cs="Times New Roman"/>
                <w:sz w:val="24"/>
                <w:szCs w:val="24"/>
              </w:rPr>
              <w:t xml:space="preserve"> downside-</w:t>
            </w:r>
            <w:proofErr w:type="spellStart"/>
            <w:r w:rsidRPr="008521AF">
              <w:rPr>
                <w:rFonts w:ascii="Times New Roman" w:eastAsia="Times New Roman" w:hAnsi="Times New Roman" w:cs="Times New Roman"/>
                <w:sz w:val="24"/>
                <w:szCs w:val="24"/>
              </w:rPr>
              <w:t>риск</w:t>
            </w:r>
            <w:proofErr w:type="spellEnd"/>
          </w:p>
        </w:tc>
      </w:tr>
      <w:tr w:rsidR="00AF1EBB" w:rsidRPr="008521AF" w14:paraId="004CC7D5"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B50FC"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Коэффициент</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Трейнора</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E9ABA"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−1,43%</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2C0D6"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Отрицательная</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риск-премия</w:t>
            </w:r>
            <w:proofErr w:type="spellEnd"/>
          </w:p>
        </w:tc>
      </w:tr>
      <w:tr w:rsidR="00AF1EBB" w:rsidRPr="008521AF" w14:paraId="321A67B3" w14:textId="77777777" w:rsidTr="009A785B">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AF40C" w14:textId="77777777" w:rsidR="00AF1EBB" w:rsidRPr="008521AF" w:rsidRDefault="00AF1EBB" w:rsidP="009A785B">
            <w:pPr>
              <w:spacing w:line="300" w:lineRule="auto"/>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Альфа</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Дженсена</w:t>
            </w:r>
            <w:proofErr w:type="spellEnd"/>
            <w:r w:rsidRPr="008521AF">
              <w:rPr>
                <w:rFonts w:ascii="Times New Roman" w:eastAsia="Times New Roman" w:hAnsi="Times New Roman" w:cs="Times New Roman"/>
                <w:sz w:val="24"/>
                <w:szCs w:val="24"/>
              </w:rPr>
              <w:t xml:space="preserve"> (α)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136A4" w14:textId="77777777" w:rsidR="00AF1EBB" w:rsidRPr="008521AF" w:rsidRDefault="00AF1EBB" w:rsidP="009A785B">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−1,29%</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A2858" w14:textId="77777777" w:rsidR="00AF1EBB" w:rsidRPr="008521AF" w:rsidRDefault="00AF1EBB" w:rsidP="009A785B">
            <w:pPr>
              <w:spacing w:line="300" w:lineRule="auto"/>
              <w:jc w:val="center"/>
              <w:rPr>
                <w:rFonts w:ascii="Times New Roman" w:hAnsi="Times New Roman" w:cs="Times New Roman"/>
                <w:sz w:val="24"/>
                <w:szCs w:val="24"/>
              </w:rPr>
            </w:pPr>
            <w:proofErr w:type="spellStart"/>
            <w:r w:rsidRPr="008521AF">
              <w:rPr>
                <w:rFonts w:ascii="Times New Roman" w:eastAsia="Times New Roman" w:hAnsi="Times New Roman" w:cs="Times New Roman"/>
                <w:sz w:val="24"/>
                <w:szCs w:val="24"/>
              </w:rPr>
              <w:t>Систематическое</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недополучение</w:t>
            </w:r>
            <w:proofErr w:type="spellEnd"/>
            <w:r w:rsidRPr="008521AF">
              <w:rPr>
                <w:rFonts w:ascii="Times New Roman" w:eastAsia="Times New Roman" w:hAnsi="Times New Roman" w:cs="Times New Roman"/>
                <w:sz w:val="24"/>
                <w:szCs w:val="24"/>
              </w:rPr>
              <w:t xml:space="preserve"> </w:t>
            </w:r>
            <w:proofErr w:type="spellStart"/>
            <w:r w:rsidRPr="008521AF">
              <w:rPr>
                <w:rFonts w:ascii="Times New Roman" w:eastAsia="Times New Roman" w:hAnsi="Times New Roman" w:cs="Times New Roman"/>
                <w:sz w:val="24"/>
                <w:szCs w:val="24"/>
              </w:rPr>
              <w:t>доходности</w:t>
            </w:r>
            <w:proofErr w:type="spellEnd"/>
          </w:p>
        </w:tc>
      </w:tr>
    </w:tbl>
    <w:p w14:paraId="3A090C8E" w14:textId="77777777" w:rsidR="00AF1EBB" w:rsidRPr="008B4AFE"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Источник: составлено автором на основе котировальных данных Московской биржи за 2022–2024 гг. </w:t>
      </w:r>
      <w:r w:rsidRPr="008B4AFE">
        <w:rPr>
          <w:rFonts w:ascii="Times New Roman" w:eastAsia="Times New Roman" w:hAnsi="Times New Roman" w:cs="Times New Roman"/>
          <w:sz w:val="28"/>
          <w:szCs w:val="28"/>
          <w:lang w:val="ru-RU"/>
        </w:rPr>
        <w:t>[47] и данных ОФЗ [46].</w:t>
      </w:r>
    </w:p>
    <w:p w14:paraId="0833705B" w14:textId="77777777" w:rsidR="00AF1EBB" w:rsidRPr="008521AF" w:rsidRDefault="00AF1EBB" w:rsidP="00AF1EBB">
      <w:pPr>
        <w:spacing w:line="360" w:lineRule="auto"/>
        <w:rPr>
          <w:rFonts w:ascii="Times New Roman" w:eastAsia="Times New Roman" w:hAnsi="Times New Roman" w:cs="Times New Roman"/>
          <w:sz w:val="28"/>
          <w:szCs w:val="28"/>
          <w:lang w:val="ru-RU"/>
        </w:rPr>
      </w:pPr>
    </w:p>
    <w:p w14:paraId="21B78DD8" w14:textId="3097782C" w:rsidR="008B4AFE" w:rsidRDefault="008B4AFE" w:rsidP="00020A98">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lastRenderedPageBreak/>
        <w:t xml:space="preserve">Классические метрики, базирующиеся на нормальном распределении вероятностей, склонны недооценивать вероятность возникновения экстремальных рыночных шоков (так называемых «черных лебедей»). В связи с этим для исчерпывающей оценки качества портфеля ОПИФ РФИ «ВИМ-Металлургия» критически необходимо применение методологии </w:t>
      </w:r>
      <w:r w:rsidRPr="008B4AFE">
        <w:rPr>
          <w:rFonts w:ascii="Times New Roman" w:eastAsia="Times New Roman" w:hAnsi="Times New Roman" w:cs="Times New Roman"/>
          <w:sz w:val="28"/>
          <w:szCs w:val="28"/>
        </w:rPr>
        <w:t>Value</w:t>
      </w:r>
      <w:r w:rsidRPr="008B4AFE">
        <w:rPr>
          <w:rFonts w:ascii="Times New Roman" w:eastAsia="Times New Roman" w:hAnsi="Times New Roman" w:cs="Times New Roman"/>
          <w:sz w:val="28"/>
          <w:szCs w:val="28"/>
          <w:lang w:val="ru-RU"/>
        </w:rPr>
        <w:t xml:space="preserve"> </w:t>
      </w:r>
      <w:r w:rsidRPr="008B4AFE">
        <w:rPr>
          <w:rFonts w:ascii="Times New Roman" w:eastAsia="Times New Roman" w:hAnsi="Times New Roman" w:cs="Times New Roman"/>
          <w:sz w:val="28"/>
          <w:szCs w:val="28"/>
        </w:rPr>
        <w:t>at</w:t>
      </w:r>
      <w:r w:rsidRPr="008B4AFE">
        <w:rPr>
          <w:rFonts w:ascii="Times New Roman" w:eastAsia="Times New Roman" w:hAnsi="Times New Roman" w:cs="Times New Roman"/>
          <w:sz w:val="28"/>
          <w:szCs w:val="28"/>
          <w:lang w:val="ru-RU"/>
        </w:rPr>
        <w:t xml:space="preserve"> </w:t>
      </w:r>
      <w:r w:rsidRPr="008B4AFE">
        <w:rPr>
          <w:rFonts w:ascii="Times New Roman" w:eastAsia="Times New Roman" w:hAnsi="Times New Roman" w:cs="Times New Roman"/>
          <w:sz w:val="28"/>
          <w:szCs w:val="28"/>
        </w:rPr>
        <w:t>Risk</w:t>
      </w:r>
      <w:r w:rsidRPr="008B4AFE">
        <w:rPr>
          <w:rFonts w:ascii="Times New Roman" w:eastAsia="Times New Roman" w:hAnsi="Times New Roman" w:cs="Times New Roman"/>
          <w:sz w:val="28"/>
          <w:szCs w:val="28"/>
          <w:lang w:val="ru-RU"/>
        </w:rPr>
        <w:t xml:space="preserve"> (</w:t>
      </w:r>
      <w:proofErr w:type="spellStart"/>
      <w:r w:rsidRPr="008B4AFE">
        <w:rPr>
          <w:rFonts w:ascii="Times New Roman" w:eastAsia="Times New Roman" w:hAnsi="Times New Roman" w:cs="Times New Roman"/>
          <w:sz w:val="28"/>
          <w:szCs w:val="28"/>
        </w:rPr>
        <w:t>VaR</w:t>
      </w:r>
      <w:proofErr w:type="spellEnd"/>
      <w:r w:rsidRPr="008B4AFE">
        <w:rPr>
          <w:rFonts w:ascii="Times New Roman" w:eastAsia="Times New Roman" w:hAnsi="Times New Roman" w:cs="Times New Roman"/>
          <w:sz w:val="28"/>
          <w:szCs w:val="28"/>
          <w:lang w:val="ru-RU"/>
        </w:rPr>
        <w:t>), позволяющей оценить максимально возможные потери портфеля на заданном временном горизонте с определенным доверительным интервалом.</w:t>
      </w:r>
    </w:p>
    <w:p w14:paraId="39B5607B" w14:textId="77777777" w:rsidR="008B4AFE" w:rsidRPr="008B4AFE" w:rsidRDefault="008B4AFE" w:rsidP="008B4AFE">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t xml:space="preserve">Учитывая, что совокупный риск (волатильность) рассматриваемого портфеля составляет критические 26,4%, а уровень </w:t>
      </w:r>
      <w:proofErr w:type="spellStart"/>
      <w:r w:rsidRPr="008B4AFE">
        <w:rPr>
          <w:rFonts w:ascii="Times New Roman" w:eastAsia="Times New Roman" w:hAnsi="Times New Roman" w:cs="Times New Roman"/>
          <w:sz w:val="28"/>
          <w:szCs w:val="28"/>
          <w:lang w:val="ru-RU"/>
        </w:rPr>
        <w:t>межактивной</w:t>
      </w:r>
      <w:proofErr w:type="spellEnd"/>
      <w:r w:rsidRPr="008B4AFE">
        <w:rPr>
          <w:rFonts w:ascii="Times New Roman" w:eastAsia="Times New Roman" w:hAnsi="Times New Roman" w:cs="Times New Roman"/>
          <w:sz w:val="28"/>
          <w:szCs w:val="28"/>
          <w:lang w:val="ru-RU"/>
        </w:rPr>
        <w:t xml:space="preserve"> корреляции стремится к единице ввиду жесткой сырьевой направленности, расчет исторического </w:t>
      </w:r>
      <w:proofErr w:type="spellStart"/>
      <w:r w:rsidRPr="008B4AFE">
        <w:rPr>
          <w:rFonts w:ascii="Times New Roman" w:eastAsia="Times New Roman" w:hAnsi="Times New Roman" w:cs="Times New Roman"/>
          <w:sz w:val="28"/>
          <w:szCs w:val="28"/>
          <w:lang w:val="ru-RU"/>
        </w:rPr>
        <w:t>VaR</w:t>
      </w:r>
      <w:proofErr w:type="spellEnd"/>
      <w:r w:rsidRPr="008B4AFE">
        <w:rPr>
          <w:rFonts w:ascii="Times New Roman" w:eastAsia="Times New Roman" w:hAnsi="Times New Roman" w:cs="Times New Roman"/>
          <w:sz w:val="28"/>
          <w:szCs w:val="28"/>
          <w:lang w:val="ru-RU"/>
        </w:rPr>
        <w:t xml:space="preserve"> на горизонте одного торгового месяца с доверительным интервалом 99% демонстрирует угрожающие результаты. Синхронное падение котировок базовых металлургических активов при негативном макроэкономическом сценарии способно привести к единовременной просадке стоимости чистых активов фонда, выходящей за рамки приемлемых инвестиционных деклараций. </w:t>
      </w:r>
    </w:p>
    <w:p w14:paraId="2CE793CC" w14:textId="359A075A" w:rsidR="008B4AFE" w:rsidRPr="008B4AFE" w:rsidRDefault="008B4AFE" w:rsidP="008B4AFE">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t>Кроме того, расчет условной стоимости под риском (</w:t>
      </w:r>
      <w:proofErr w:type="spellStart"/>
      <w:r w:rsidRPr="008B4AFE">
        <w:rPr>
          <w:rFonts w:ascii="Times New Roman" w:eastAsia="Times New Roman" w:hAnsi="Times New Roman" w:cs="Times New Roman"/>
          <w:sz w:val="28"/>
          <w:szCs w:val="28"/>
          <w:lang w:val="ru-RU"/>
        </w:rPr>
        <w:t>Conditional</w:t>
      </w:r>
      <w:proofErr w:type="spellEnd"/>
      <w:r w:rsidRPr="008B4AFE">
        <w:rPr>
          <w:rFonts w:ascii="Times New Roman" w:eastAsia="Times New Roman" w:hAnsi="Times New Roman" w:cs="Times New Roman"/>
          <w:sz w:val="28"/>
          <w:szCs w:val="28"/>
          <w:lang w:val="ru-RU"/>
        </w:rPr>
        <w:t xml:space="preserve"> Value </w:t>
      </w:r>
      <w:proofErr w:type="spellStart"/>
      <w:r w:rsidRPr="008B4AFE">
        <w:rPr>
          <w:rFonts w:ascii="Times New Roman" w:eastAsia="Times New Roman" w:hAnsi="Times New Roman" w:cs="Times New Roman"/>
          <w:sz w:val="28"/>
          <w:szCs w:val="28"/>
          <w:lang w:val="ru-RU"/>
        </w:rPr>
        <w:t>at</w:t>
      </w:r>
      <w:proofErr w:type="spellEnd"/>
      <w:r w:rsidRPr="008B4AFE">
        <w:rPr>
          <w:rFonts w:ascii="Times New Roman" w:eastAsia="Times New Roman" w:hAnsi="Times New Roman" w:cs="Times New Roman"/>
          <w:sz w:val="28"/>
          <w:szCs w:val="28"/>
          <w:lang w:val="ru-RU"/>
        </w:rPr>
        <w:t xml:space="preserve"> Risk, </w:t>
      </w:r>
      <w:proofErr w:type="spellStart"/>
      <w:r w:rsidRPr="008B4AFE">
        <w:rPr>
          <w:rFonts w:ascii="Times New Roman" w:eastAsia="Times New Roman" w:hAnsi="Times New Roman" w:cs="Times New Roman"/>
          <w:sz w:val="28"/>
          <w:szCs w:val="28"/>
          <w:lang w:val="ru-RU"/>
        </w:rPr>
        <w:t>CVaR</w:t>
      </w:r>
      <w:proofErr w:type="spellEnd"/>
      <w:r w:rsidRPr="008B4AFE">
        <w:rPr>
          <w:rFonts w:ascii="Times New Roman" w:eastAsia="Times New Roman" w:hAnsi="Times New Roman" w:cs="Times New Roman"/>
          <w:sz w:val="28"/>
          <w:szCs w:val="28"/>
          <w:lang w:val="ru-RU"/>
        </w:rPr>
        <w:t xml:space="preserve">), который измеряет математическое ожидание убытков, превышающих порог </w:t>
      </w:r>
      <w:proofErr w:type="spellStart"/>
      <w:r w:rsidRPr="008B4AFE">
        <w:rPr>
          <w:rFonts w:ascii="Times New Roman" w:eastAsia="Times New Roman" w:hAnsi="Times New Roman" w:cs="Times New Roman"/>
          <w:sz w:val="28"/>
          <w:szCs w:val="28"/>
          <w:lang w:val="ru-RU"/>
        </w:rPr>
        <w:t>VaR</w:t>
      </w:r>
      <w:proofErr w:type="spellEnd"/>
      <w:r w:rsidRPr="008B4AFE">
        <w:rPr>
          <w:rFonts w:ascii="Times New Roman" w:eastAsia="Times New Roman" w:hAnsi="Times New Roman" w:cs="Times New Roman"/>
          <w:sz w:val="28"/>
          <w:szCs w:val="28"/>
          <w:lang w:val="ru-RU"/>
        </w:rPr>
        <w:t xml:space="preserve">, подтверждает наличие значительного «толстого хвоста» в распределении доходностей. Это математически доказывает, что в периоды рыночной паники ликвидность бумаг второго эшелона и высокая долговая нагрузка отдельных эмитентов (в частности, МКПАО «ЭН+ ГРУП» с мультипликатором Чистый долг/EBITDA на уровне 3,8x) способны спровоцировать каскадное падение СЧА. </w:t>
      </w:r>
    </w:p>
    <w:p w14:paraId="5430C278" w14:textId="42D93448" w:rsidR="00AF1EBB" w:rsidRPr="008521AF" w:rsidRDefault="00AF1EBB" w:rsidP="00020A98">
      <w:pPr>
        <w:spacing w:line="360" w:lineRule="auto"/>
        <w:ind w:firstLine="709"/>
        <w:jc w:val="both"/>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 xml:space="preserve">Сопоставление с результатами анализа эмитентов. Результаты финансового анализа объектов инвестирования (§2.2) непосредственно объясняют отрицательные значения портфельных коэффициентов. </w:t>
      </w:r>
      <w:r w:rsidRPr="008521AF">
        <w:rPr>
          <w:rFonts w:ascii="Times New Roman" w:eastAsia="Times New Roman" w:hAnsi="Times New Roman" w:cs="Times New Roman"/>
          <w:sz w:val="28"/>
          <w:szCs w:val="28"/>
          <w:lang w:val="ru-RU"/>
        </w:rPr>
        <w:lastRenderedPageBreak/>
        <w:t>Присутствие МКПАО «ЭН+ ГРУП» (ROE 3,8%, долговая нагрузка 3,81x) и ПАО «ГМК «Норильский никель» (</w:t>
      </w:r>
      <w:proofErr w:type="spellStart"/>
      <w:r w:rsidRPr="008521AF">
        <w:rPr>
          <w:rFonts w:ascii="Times New Roman" w:eastAsia="Times New Roman" w:hAnsi="Times New Roman" w:cs="Times New Roman"/>
          <w:sz w:val="28"/>
          <w:szCs w:val="28"/>
          <w:lang w:val="ru-RU"/>
        </w:rPr>
        <w:t>Ктл</w:t>
      </w:r>
      <w:proofErr w:type="spellEnd"/>
      <w:r w:rsidRPr="008521AF">
        <w:rPr>
          <w:rFonts w:ascii="Times New Roman" w:eastAsia="Times New Roman" w:hAnsi="Times New Roman" w:cs="Times New Roman"/>
          <w:sz w:val="28"/>
          <w:szCs w:val="28"/>
          <w:lang w:val="ru-RU"/>
        </w:rPr>
        <w:t xml:space="preserve"> = 1,26, прохождение инвестиционного цикла) формирует дополнительный нисходящий риск, повышает </w:t>
      </w:r>
      <w:proofErr w:type="spellStart"/>
      <w:r w:rsidRPr="008521AF">
        <w:rPr>
          <w:rFonts w:ascii="Times New Roman" w:eastAsia="Times New Roman" w:hAnsi="Times New Roman" w:cs="Times New Roman"/>
          <w:sz w:val="28"/>
          <w:szCs w:val="28"/>
          <w:lang w:val="ru-RU"/>
        </w:rPr>
        <w:t>σd</w:t>
      </w:r>
      <w:proofErr w:type="spellEnd"/>
      <w:r w:rsidRPr="008521AF">
        <w:rPr>
          <w:rFonts w:ascii="Times New Roman" w:eastAsia="Times New Roman" w:hAnsi="Times New Roman" w:cs="Times New Roman"/>
          <w:sz w:val="28"/>
          <w:szCs w:val="28"/>
          <w:lang w:val="ru-RU"/>
        </w:rPr>
        <w:t xml:space="preserve"> и, как следствие, ухудшает как коэффициент </w:t>
      </w:r>
      <w:proofErr w:type="spellStart"/>
      <w:r w:rsidRPr="008521AF">
        <w:rPr>
          <w:rFonts w:ascii="Times New Roman" w:eastAsia="Times New Roman" w:hAnsi="Times New Roman" w:cs="Times New Roman"/>
          <w:sz w:val="28"/>
          <w:szCs w:val="28"/>
          <w:lang w:val="ru-RU"/>
        </w:rPr>
        <w:t>Сортино</w:t>
      </w:r>
      <w:proofErr w:type="spellEnd"/>
      <w:r w:rsidRPr="008521AF">
        <w:rPr>
          <w:rFonts w:ascii="Times New Roman" w:eastAsia="Times New Roman" w:hAnsi="Times New Roman" w:cs="Times New Roman"/>
          <w:sz w:val="28"/>
          <w:szCs w:val="28"/>
          <w:lang w:val="ru-RU"/>
        </w:rPr>
        <w:t xml:space="preserve">, так и альфу Дженсена. Концентрация 93% активов в одном секторе обусловливает корреляционную неэффективность (ρ ≈ 0,75–0,90), которая непосредственно транслируется в высокое </w:t>
      </w:r>
      <w:proofErr w:type="spellStart"/>
      <w:r w:rsidRPr="008521AF">
        <w:rPr>
          <w:rFonts w:ascii="Times New Roman" w:eastAsia="Times New Roman" w:hAnsi="Times New Roman" w:cs="Times New Roman"/>
          <w:sz w:val="28"/>
          <w:szCs w:val="28"/>
          <w:lang w:val="ru-RU"/>
        </w:rPr>
        <w:t>σp</w:t>
      </w:r>
      <w:proofErr w:type="spellEnd"/>
      <w:r w:rsidRPr="008521AF">
        <w:rPr>
          <w:rFonts w:ascii="Times New Roman" w:eastAsia="Times New Roman" w:hAnsi="Times New Roman" w:cs="Times New Roman"/>
          <w:sz w:val="28"/>
          <w:szCs w:val="28"/>
          <w:lang w:val="ru-RU"/>
        </w:rPr>
        <w:t xml:space="preserve"> = 26,4%. Таким образом, отрицательные значения всех риск-скорректированных метрик носят системный характер и обусловлены сочетанием фундаментальных слабостей отдельных эмитентов и структурной неэффективности портфеля в целом.</w:t>
      </w:r>
    </w:p>
    <w:p w14:paraId="6DA1604A"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Вывод по второй главе: отрицательные значения ключевых метрик являются строгим математическим доказательством того, что в текущей конъюнктуре фонд не генерирует премию за риск. Инвестор получает доходность ниже безрисковой (13,5% </w:t>
      </w:r>
      <w:proofErr w:type="gramStart"/>
      <w:r w:rsidRPr="00AF1EBB">
        <w:rPr>
          <w:rFonts w:ascii="Times New Roman" w:eastAsia="Times New Roman" w:hAnsi="Times New Roman" w:cs="Times New Roman"/>
          <w:sz w:val="28"/>
          <w:szCs w:val="28"/>
          <w:lang w:val="ru-RU"/>
        </w:rPr>
        <w:t>&lt; 15</w:t>
      </w:r>
      <w:proofErr w:type="gramEnd"/>
      <w:r w:rsidRPr="00AF1EBB">
        <w:rPr>
          <w:rFonts w:ascii="Times New Roman" w:eastAsia="Times New Roman" w:hAnsi="Times New Roman" w:cs="Times New Roman"/>
          <w:sz w:val="28"/>
          <w:szCs w:val="28"/>
          <w:lang w:val="ru-RU"/>
        </w:rPr>
        <w:t xml:space="preserve">,0%), принимая на себя волатильность </w:t>
      </w:r>
      <w:proofErr w:type="spellStart"/>
      <w:r>
        <w:rPr>
          <w:rFonts w:ascii="Times New Roman" w:eastAsia="Times New Roman" w:hAnsi="Times New Roman" w:cs="Times New Roman"/>
          <w:sz w:val="28"/>
          <w:szCs w:val="28"/>
        </w:rPr>
        <w:t>σp</w:t>
      </w:r>
      <w:proofErr w:type="spellEnd"/>
      <w:r w:rsidRPr="00AF1EBB">
        <w:rPr>
          <w:rFonts w:ascii="Times New Roman" w:eastAsia="Times New Roman" w:hAnsi="Times New Roman" w:cs="Times New Roman"/>
          <w:sz w:val="28"/>
          <w:szCs w:val="28"/>
          <w:lang w:val="ru-RU"/>
        </w:rPr>
        <w:t xml:space="preserve"> = 26,4%. Это делает ребалансировку портфеля не просто декларативной, а математически необходимой мерой.</w:t>
      </w:r>
    </w:p>
    <w:p w14:paraId="32E5F4A0" w14:textId="103FB74E" w:rsidR="00FE64C3" w:rsidRDefault="00FE64C3" w:rsidP="004605F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AE66F46" w14:textId="69B90835" w:rsidR="002C229C" w:rsidRPr="002C229C" w:rsidRDefault="002C229C" w:rsidP="00675B6A">
      <w:pPr>
        <w:pStyle w:val="1"/>
        <w:spacing w:before="0" w:after="0" w:line="360" w:lineRule="auto"/>
        <w:ind w:firstLine="709"/>
        <w:rPr>
          <w:lang w:val="ru-RU"/>
        </w:rPr>
      </w:pPr>
      <w:bookmarkStart w:id="10" w:name="_Toc232337644"/>
      <w:r w:rsidRPr="002C229C">
        <w:rPr>
          <w:lang w:val="ru-RU"/>
        </w:rPr>
        <w:lastRenderedPageBreak/>
        <w:t>Глава 3.</w:t>
      </w:r>
      <w:r w:rsidR="00BA0E02">
        <w:rPr>
          <w:lang w:val="ru-RU"/>
        </w:rPr>
        <w:t xml:space="preserve"> Р</w:t>
      </w:r>
      <w:r w:rsidRPr="002C229C">
        <w:rPr>
          <w:lang w:val="ru-RU"/>
        </w:rPr>
        <w:t>азработка рекомендаций повышения качества инвестиционного портфеля ОПИФ РФИ «ВИМ-Металлургия»</w:t>
      </w:r>
      <w:bookmarkEnd w:id="10"/>
    </w:p>
    <w:p w14:paraId="35479F68" w14:textId="77777777" w:rsidR="002C229C" w:rsidRDefault="002C229C" w:rsidP="00675B6A">
      <w:pPr>
        <w:pStyle w:val="2"/>
        <w:spacing w:before="0" w:after="0" w:line="360" w:lineRule="auto"/>
        <w:ind w:firstLine="709"/>
        <w:rPr>
          <w:lang w:val="ru-RU"/>
        </w:rPr>
      </w:pPr>
      <w:bookmarkStart w:id="11" w:name="_Toc232337645"/>
      <w:r w:rsidRPr="002C229C">
        <w:rPr>
          <w:lang w:val="ru-RU"/>
        </w:rPr>
        <w:t>3.1. Рекомендации по повышению доходности портфеля</w:t>
      </w:r>
      <w:bookmarkEnd w:id="11"/>
    </w:p>
    <w:p w14:paraId="17BB1D7E" w14:textId="77777777" w:rsidR="004605F7" w:rsidRPr="004605F7" w:rsidRDefault="004605F7" w:rsidP="004605F7">
      <w:pPr>
        <w:rPr>
          <w:lang w:val="ru-RU"/>
        </w:rPr>
      </w:pPr>
    </w:p>
    <w:p w14:paraId="006733E8"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Основываясь на результатах комплексного фундаментального и финансового анализа, проведенного в аналитической части исследования, можно констатировать, что текущая структура инвестиционного портфеля ОПИФ РФИ «ВИМ-Металлургия» обладает рядом существенных дисбалансов, негативно влияющих на совокупную доходность и повышающих профиль риска. Несмотря на то, что ядром портфеля выступают финансово устойчивые корпорации черной металлургии (ПАО «Северсталь», ПАО «ММК»), портфель неоправданно отягощен активами с перманентно снижающейся маржинальностью и высоким уровнем финансового левериджа.</w:t>
      </w:r>
    </w:p>
    <w:p w14:paraId="123F098D"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Наиболее слабой позицией выступают ценные бумаги МКПАО «ЭН+ ГРУП», демонстрирующие опасный уровень долговой нагрузки. Показатель отношения чистого долга к EBITDA данного холдинга превышает предельные нормативные значения, что в условиях жесткой денежно-кредитной политики и высоких процентных ставок ведет к критическому сжатию чистой рентабельности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25, с. 156]</w:t>
      </w:r>
      <w:r w:rsidRPr="002C229C">
        <w:rPr>
          <w:rFonts w:ascii="Times New Roman" w:hAnsi="Times New Roman" w:cs="Times New Roman"/>
          <w:color w:val="000000" w:themeColor="text1"/>
          <w:sz w:val="28"/>
          <w:szCs w:val="28"/>
          <w:lang w:val="ru-RU"/>
        </w:rPr>
        <w:t xml:space="preserve">. </w:t>
      </w:r>
    </w:p>
    <w:p w14:paraId="175E1788"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Аналогичным образом ПАО «ГМК «Норильский никель» в среднесрочной перспективе генерирует давление на доходность пая ввиду прохождения активной фазы капитальных затрат на фоне циклического падения мировых цен на корзину цветных металлов. Сохранение высокой концентрации капитала в данных активах экономически нецелесообразно. Для оптимизации финансовых результатов фонда существует строгая необходимость в тактической ребалансировке: сокращении доли или полном </w:t>
      </w:r>
      <w:r w:rsidRPr="002C229C">
        <w:rPr>
          <w:rFonts w:ascii="Times New Roman" w:hAnsi="Times New Roman" w:cs="Times New Roman"/>
          <w:color w:val="000000" w:themeColor="text1"/>
          <w:sz w:val="28"/>
          <w:szCs w:val="28"/>
          <w:lang w:val="ru-RU"/>
        </w:rPr>
        <w:lastRenderedPageBreak/>
        <w:t xml:space="preserve">исключении фундаментально слабых и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компаний</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[14, с. 180]</w:t>
      </w:r>
      <w:r w:rsidRPr="002C229C">
        <w:rPr>
          <w:rFonts w:ascii="Times New Roman" w:hAnsi="Times New Roman" w:cs="Times New Roman"/>
          <w:color w:val="000000" w:themeColor="text1"/>
          <w:sz w:val="28"/>
          <w:szCs w:val="28"/>
          <w:lang w:val="ru-RU"/>
        </w:rPr>
        <w:t>.</w:t>
      </w:r>
    </w:p>
    <w:p w14:paraId="0FB96BD2"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качестве эффективной меры по улучшению качества и доходности инвестиционного портфеля предлагается замещение высвободившегося капитала акциями компаний золотодобывающего сегмента. Для включения в структуру ОПИФ предлагаются бумаги абсолютного лидера отечественной отрасли ПАО «Полюс», а также перспективные акции растущих компаний второго эшелона — ПАО «ЮГК» (Южуралзолото)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Интеграция данных эмитентов позволит сохранить формальную принадлежность ПИФа к металлургическому и горнодобывающему сектору в строгом соответствии с инвестиционной декларацией фонда, однако при этом качественно изменит его внутреннюю структуру и профиль риска</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90]</w:t>
      </w:r>
      <w:r w:rsidRPr="002C229C">
        <w:rPr>
          <w:rFonts w:ascii="Times New Roman" w:hAnsi="Times New Roman" w:cs="Times New Roman"/>
          <w:color w:val="000000" w:themeColor="text1"/>
          <w:sz w:val="28"/>
          <w:szCs w:val="28"/>
          <w:lang w:val="ru-RU"/>
        </w:rPr>
        <w:t>.</w:t>
      </w:r>
    </w:p>
    <w:p w14:paraId="576A11CA"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указанных предприятий базируется на результатах финансового анализа и макроэкономической специфике золотодобывающего бизнеса. Исторически и эмпирически доказано, что инвестирование в драгоценные металлы выступает мощным инструментом диверсификации. Корреляция между ценами на сырьевое золото и классическими фондовыми индексами или котировками промышленных металлов традиционно невысока. Ценным бумагам золотодобывающих компа</w:t>
      </w:r>
      <w:r w:rsidR="004605F7">
        <w:rPr>
          <w:rFonts w:ascii="Times New Roman" w:hAnsi="Times New Roman" w:cs="Times New Roman"/>
          <w:color w:val="000000" w:themeColor="text1"/>
          <w:sz w:val="28"/>
          <w:szCs w:val="28"/>
          <w:lang w:val="ru-RU"/>
        </w:rPr>
        <w:t xml:space="preserve">ний присущ низкий коэффициент </w:t>
      </w:r>
      <m:oMath>
        <m:r>
          <w:rPr>
            <w:rFonts w:ascii="Cambria Math" w:hAnsi="Cambria Math" w:cs="Times New Roman"/>
            <w:color w:val="000000" w:themeColor="text1"/>
            <w:sz w:val="28"/>
            <w:szCs w:val="28"/>
            <w:lang w:val="ru-RU"/>
          </w:rPr>
          <m:t>β</m:t>
        </m:r>
      </m:oMath>
      <w:r w:rsidRPr="002C229C">
        <w:rPr>
          <w:rFonts w:ascii="Times New Roman" w:hAnsi="Times New Roman" w:cs="Times New Roman"/>
          <w:color w:val="000000" w:themeColor="text1"/>
          <w:sz w:val="28"/>
          <w:szCs w:val="28"/>
          <w:lang w:val="ru-RU"/>
        </w:rPr>
        <w:t>, что означает их малую чувствительность к общерыночным экономическим шокам и подтверждает их статус надежного защитного актива. В условиях турбулентности фондовых рынков именно такие инструменты позволяют фондам избегать глубоких просадок стоимости чистых активов.</w:t>
      </w:r>
    </w:p>
    <w:p w14:paraId="1B394EC1"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Краткий фундаментальный анализ ПАО «Полюс» демонстрирует эталонную инвестиционную привлекательность: компания генерирует стабильный рост объемов добычи, а исторические темпы роста производства </w:t>
      </w:r>
      <w:r w:rsidRPr="002C229C">
        <w:rPr>
          <w:rFonts w:ascii="Times New Roman" w:hAnsi="Times New Roman" w:cs="Times New Roman"/>
          <w:color w:val="000000" w:themeColor="text1"/>
          <w:sz w:val="28"/>
          <w:szCs w:val="28"/>
          <w:lang w:val="ru-RU"/>
        </w:rPr>
        <w:lastRenderedPageBreak/>
        <w:t>превышали 31% в рамках пятилетних циклов. Рентабельность собственного капитала ПАО «Полюс» стабильно удерживается на выдающемся уровне около 24%, что обусловлено благоприятной конъюнктурой на рынке драгметаллов и беспрецедентно жестким контролем над операционными издержками (компания обладает одними из самых низких совокупных денежных затрат на унцию в мире)</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[20, с. 78]</w:t>
      </w:r>
      <w:r w:rsidRPr="002C229C">
        <w:rPr>
          <w:rFonts w:ascii="Times New Roman" w:hAnsi="Times New Roman" w:cs="Times New Roman"/>
          <w:color w:val="000000" w:themeColor="text1"/>
          <w:sz w:val="28"/>
          <w:szCs w:val="28"/>
          <w:lang w:val="ru-RU"/>
        </w:rPr>
        <w:t xml:space="preserve">. </w:t>
      </w:r>
    </w:p>
    <w:p w14:paraId="008EFC0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Уровень ликвидности ПАО «Полюс», ПАО «ЮГК» и ПАО «</w:t>
      </w:r>
      <w:proofErr w:type="spellStart"/>
      <w:r w:rsidRPr="002C229C">
        <w:rPr>
          <w:rFonts w:ascii="Times New Roman" w:hAnsi="Times New Roman" w:cs="Times New Roman"/>
          <w:color w:val="000000" w:themeColor="text1"/>
          <w:sz w:val="28"/>
          <w:szCs w:val="28"/>
          <w:lang w:val="ru-RU"/>
        </w:rPr>
        <w:t>Селигдар</w:t>
      </w:r>
      <w:proofErr w:type="spellEnd"/>
      <w:r w:rsidRPr="002C229C">
        <w:rPr>
          <w:rFonts w:ascii="Times New Roman" w:hAnsi="Times New Roman" w:cs="Times New Roman"/>
          <w:color w:val="000000" w:themeColor="text1"/>
          <w:sz w:val="28"/>
          <w:szCs w:val="28"/>
          <w:lang w:val="ru-RU"/>
        </w:rPr>
        <w:t xml:space="preserve">» оценивается как высокий благодаря непрерывной генерации свободного денежного потока от реализации золота. Риск банкротства данных предприятий, согласно классическим дискриминантным моделям Альтмана и </w:t>
      </w:r>
      <w:proofErr w:type="spellStart"/>
      <w:r w:rsidRPr="002C229C">
        <w:rPr>
          <w:rFonts w:ascii="Times New Roman" w:hAnsi="Times New Roman" w:cs="Times New Roman"/>
          <w:color w:val="000000" w:themeColor="text1"/>
          <w:sz w:val="28"/>
          <w:szCs w:val="28"/>
          <w:lang w:val="ru-RU"/>
        </w:rPr>
        <w:t>Таффлера</w:t>
      </w:r>
      <w:proofErr w:type="spellEnd"/>
      <w:r w:rsidRPr="002C229C">
        <w:rPr>
          <w:rFonts w:ascii="Times New Roman" w:hAnsi="Times New Roman" w:cs="Times New Roman"/>
          <w:color w:val="000000" w:themeColor="text1"/>
          <w:sz w:val="28"/>
          <w:szCs w:val="28"/>
          <w:lang w:val="ru-RU"/>
        </w:rPr>
        <w:t>, стремится к нулю. Дополнительным фактором привлекательности выступает активное освоение предприятиями новых месторождений, что гарантирует органический рост бизнеса в долгосрочной перспективе.</w:t>
      </w:r>
    </w:p>
    <w:p w14:paraId="0867A869"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Ожидаемый финансово-экономический эффект от реализации предложенного маневра носит комплексный синергетический характер. </w:t>
      </w:r>
    </w:p>
    <w:p w14:paraId="0BB46E09"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Во-первых, замена </w:t>
      </w:r>
      <w:proofErr w:type="spellStart"/>
      <w:r w:rsidRPr="002C229C">
        <w:rPr>
          <w:rFonts w:ascii="Times New Roman" w:hAnsi="Times New Roman" w:cs="Times New Roman"/>
          <w:color w:val="000000" w:themeColor="text1"/>
          <w:sz w:val="28"/>
          <w:szCs w:val="28"/>
          <w:lang w:val="ru-RU"/>
        </w:rPr>
        <w:t>закредитованных</w:t>
      </w:r>
      <w:proofErr w:type="spellEnd"/>
      <w:r w:rsidRPr="002C229C">
        <w:rPr>
          <w:rFonts w:ascii="Times New Roman" w:hAnsi="Times New Roman" w:cs="Times New Roman"/>
          <w:color w:val="000000" w:themeColor="text1"/>
          <w:sz w:val="28"/>
          <w:szCs w:val="28"/>
          <w:lang w:val="ru-RU"/>
        </w:rPr>
        <w:t xml:space="preserve"> активов на финансово устойчивых золотодобытчиков автоматически приведет к снижению средневзвешенной долговой нагрузки по всему инвестиционному портфелю фонда, повысив его совокупную автономность и платежеспособность. </w:t>
      </w:r>
    </w:p>
    <w:p w14:paraId="23EDFC7E"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Во-вторых, высокая маржинальность золотодобывающего сектора напрямую транслируется в повышение интегрированного показателя рентабельности портфеля, что выступает фундаментальным драйвером долгосрочного роста стоимости чистых активов. </w:t>
      </w:r>
    </w:p>
    <w:p w14:paraId="7BFC25DB"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В-третьих, включение защитных бумаг стабилизирует дисперсию фонда. В периоды циклических спадов мировых цен на сталь или алюминий, рост курсовой стоимости золота будет компенсировать убытки промышленных металлургов. Таким образом, активное управление </w:t>
      </w:r>
      <w:r w:rsidRPr="002C229C">
        <w:rPr>
          <w:rFonts w:ascii="Times New Roman" w:hAnsi="Times New Roman" w:cs="Times New Roman"/>
          <w:color w:val="000000" w:themeColor="text1"/>
          <w:sz w:val="28"/>
          <w:szCs w:val="28"/>
          <w:lang w:val="ru-RU"/>
        </w:rPr>
        <w:lastRenderedPageBreak/>
        <w:t>структурой и смещение фокуса в пользу драгоценных металлов позволит управляющему улучшить ключевые коэффициенты эффективности, преодолеть доходность бенчмарка и обеспечить пайщикам защиту капитала при сохранении высокой целевой доходности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[24, с. 301]</w:t>
      </w:r>
      <w:r w:rsidRPr="002C229C">
        <w:rPr>
          <w:rFonts w:ascii="Times New Roman" w:hAnsi="Times New Roman" w:cs="Times New Roman"/>
          <w:color w:val="000000" w:themeColor="text1"/>
          <w:sz w:val="28"/>
          <w:szCs w:val="28"/>
          <w:lang w:val="ru-RU"/>
        </w:rPr>
        <w:t>.</w:t>
      </w:r>
    </w:p>
    <w:p w14:paraId="13452DF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Для всесторонней и объективной оценки эффективности предложенной ребалансировки инвестиционного портфеля необходимо применение методов сценарного моделирования и стресс-тестирования. В современной финансовой науке сценарный анализ выступает обязательным инструментом стратегического планирования, позволяющим оценить потенциальное поведение активов при различных вариантах изменения ключевых макроэкономических параметров: динамики мировых цен на сырье, уровня инфляции, ключевой ставки Центрального банка и валютных курсов</w:t>
      </w:r>
      <w:r w:rsidR="00675B6A">
        <w:rPr>
          <w:rFonts w:ascii="Times New Roman" w:hAnsi="Times New Roman" w:cs="Times New Roman"/>
          <w:color w:val="000000" w:themeColor="text1"/>
          <w:sz w:val="28"/>
          <w:szCs w:val="28"/>
          <w:lang w:val="ru-RU"/>
        </w:rPr>
        <w:t xml:space="preserve"> [7, с. 112</w:t>
      </w:r>
      <w:r w:rsidR="00675B6A" w:rsidRPr="00675B6A">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В данном блоке проведено концептуальное моделирование обновленного портфеля, в котором ядро из предприятий черной и цветной металлургии диверсифицировано акциями золотодобывающего сегмента и смежных отраслей, в условиях трех вероятных макроэкономических сценариев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120]</w:t>
      </w:r>
      <w:r w:rsidRPr="002C229C">
        <w:rPr>
          <w:rFonts w:ascii="Times New Roman" w:hAnsi="Times New Roman" w:cs="Times New Roman"/>
          <w:color w:val="000000" w:themeColor="text1"/>
          <w:sz w:val="28"/>
          <w:szCs w:val="28"/>
          <w:lang w:val="ru-RU"/>
        </w:rPr>
        <w:t>.</w:t>
      </w:r>
    </w:p>
    <w:p w14:paraId="6001586F"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Пессимистичный сценарий (Стресс-тест). Данный сценарий предполагает резкое ухудшение глобальной экономической конъюнктуры, наступление глубокой мировой рецессии, существенное замедление темпов промышленного производства в странах Азиатско-Тихоокеанского региона и, как следствие, обвальное падение мировых цен на сталь, железную руду и цветные металлы. В подобных стрессовых условиях оригинальный, узкоотраслевой состав ОПИФ РФИ «ВИМ-Металлургия» неизбежно продемонстрировал бы критическую максимальную просадку, поскольку все акции внутри фонда имеют положительную корреляцию и обесцениваются синхронно.</w:t>
      </w:r>
    </w:p>
    <w:p w14:paraId="2EAA9642"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Однако оптимизированный портфель обладает встроенным структурным механизмом защиты. Включение в состав активов крупнейших золотодобывающих компаний радикально меняет профиль риска. Золото исторически выполняет функцию </w:t>
      </w:r>
      <w:proofErr w:type="spellStart"/>
      <w:r w:rsidRPr="002C229C">
        <w:rPr>
          <w:rFonts w:ascii="Times New Roman" w:hAnsi="Times New Roman" w:cs="Times New Roman"/>
          <w:color w:val="000000" w:themeColor="text1"/>
          <w:sz w:val="28"/>
          <w:szCs w:val="28"/>
          <w:lang w:val="ru-RU"/>
        </w:rPr>
        <w:t>контрцикличного</w:t>
      </w:r>
      <w:proofErr w:type="spellEnd"/>
      <w:r w:rsidRPr="002C229C">
        <w:rPr>
          <w:rFonts w:ascii="Times New Roman" w:hAnsi="Times New Roman" w:cs="Times New Roman"/>
          <w:color w:val="000000" w:themeColor="text1"/>
          <w:sz w:val="28"/>
          <w:szCs w:val="28"/>
          <w:lang w:val="ru-RU"/>
        </w:rPr>
        <w:t xml:space="preserve"> актива. В периоды глобальных рецессий, всплесков геополитической напряженности и падения фондовых рынков капитал институциональных и частных инвесторов массово перетекает в драгоценные металлы, что стимулирует экспоненциальный рост их котировок</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156]</w:t>
      </w:r>
      <w:r w:rsidRPr="002C229C">
        <w:rPr>
          <w:rFonts w:ascii="Times New Roman" w:hAnsi="Times New Roman" w:cs="Times New Roman"/>
          <w:color w:val="000000" w:themeColor="text1"/>
          <w:sz w:val="28"/>
          <w:szCs w:val="28"/>
          <w:lang w:val="ru-RU"/>
        </w:rPr>
        <w:t xml:space="preserve">. </w:t>
      </w:r>
    </w:p>
    <w:p w14:paraId="61532616"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Соответственно, рост курсовой стоимости акций золотодобытчиков математически компенсирует убытки от отрицательной переоценки промышленных металлургических активов. Благодаря этому эффекту обратной корреляции просадка оптимизированного портфеля будет существенно меньше, чем у бенчмарка, и останется в рамках допустимого риск-лимита, защищая сбережения пайщиков от невосполнимых потерь.</w:t>
      </w:r>
    </w:p>
    <w:p w14:paraId="4DE8F81A"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Базовый сценарий. Данный вариант развития макроэкономической ситуации характеризуется длительной стагнацией на глобальных сырьевых рынках, сохранением умеренно-высокого уровня инфляционного давления и поддержанием жесткой денежно-кредитной политики с высокими процентными ставками со стороны регулятора. В условиях дорогого заемного капитала компании с высокой долговой нагрузкой сталкиваются с критическим снижением чистой прибыли из-за опережающего роста процентных расходов на обслуживание корпоративного долга.</w:t>
      </w:r>
    </w:p>
    <w:p w14:paraId="7D82DC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противовес этому оптимизированный инвестиционный портфель сформирован исключительно из фундаментально устойчивых предприятий. Компании черной металлургии, такие как ПАО «Северсталь» и ПАО «ММК», обладают значительными запасами аккумулированной ликвидности и отрицательным чистым долгом. Данная структура баланса делает их </w:t>
      </w:r>
      <w:r w:rsidRPr="002C229C">
        <w:rPr>
          <w:rFonts w:ascii="Times New Roman" w:hAnsi="Times New Roman" w:cs="Times New Roman"/>
          <w:color w:val="000000" w:themeColor="text1"/>
          <w:sz w:val="28"/>
          <w:szCs w:val="28"/>
          <w:lang w:val="ru-RU"/>
        </w:rPr>
        <w:lastRenderedPageBreak/>
        <w:t>невосприимчивыми к высоким ставкам кредитования, а размещение свободных денежных средств на депозитах приносит им дополнительный процентный доход. Совместно с производителями минеральных удобрений, спрос на продукцию которых неэластичен и стабилен независимо от фазы промышленного цикла, данные предприятия способны генерировать мощный свободный денежный поток. Это обеспечит портфелю стабильные и высокие дивидендные выплаты, совокупный размер которых гарантированно превысит текущий уровень инфляции, обеспечивая вкладчикам фонда положительную реальную доходность даже при отсутствии ярко выраженного рыночного роста котировок</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[30, с. 22]</w:t>
      </w:r>
      <w:r w:rsidRPr="002C229C">
        <w:rPr>
          <w:rFonts w:ascii="Times New Roman" w:hAnsi="Times New Roman" w:cs="Times New Roman"/>
          <w:color w:val="000000" w:themeColor="text1"/>
          <w:sz w:val="28"/>
          <w:szCs w:val="28"/>
          <w:lang w:val="ru-RU"/>
        </w:rPr>
        <w:t>.</w:t>
      </w:r>
    </w:p>
    <w:p w14:paraId="2058D3E2"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Оптимистичный сценарий. Сценарий экономического роста базируется на предпосылках зарождения нового сырьевого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xml:space="preserve">, масштабного восстановления глобальных логистических цепочек, оживления мировой промышленности и умеренного ослабления курса национальной валюты. Ослабление рубля традиционно выступает мощным катализатором роста для </w:t>
      </w:r>
      <w:proofErr w:type="spellStart"/>
      <w:r w:rsidRPr="002C229C">
        <w:rPr>
          <w:rFonts w:ascii="Times New Roman" w:hAnsi="Times New Roman" w:cs="Times New Roman"/>
          <w:color w:val="000000" w:themeColor="text1"/>
          <w:sz w:val="28"/>
          <w:szCs w:val="28"/>
          <w:lang w:val="ru-RU"/>
        </w:rPr>
        <w:t>экспортно</w:t>
      </w:r>
      <w:proofErr w:type="spellEnd"/>
      <w:r w:rsidRPr="002C229C">
        <w:rPr>
          <w:rFonts w:ascii="Times New Roman" w:hAnsi="Times New Roman" w:cs="Times New Roman"/>
          <w:color w:val="000000" w:themeColor="text1"/>
          <w:sz w:val="28"/>
          <w:szCs w:val="28"/>
          <w:lang w:val="ru-RU"/>
        </w:rPr>
        <w:t xml:space="preserve"> ориентированной российской экономики, кратно увеличивая рублевую выручку корпораций и разгоняя их маржинальность</w:t>
      </w:r>
      <w:r w:rsidR="0094314F">
        <w:rPr>
          <w:rFonts w:ascii="Times New Roman" w:hAnsi="Times New Roman" w:cs="Times New Roman"/>
          <w:color w:val="000000" w:themeColor="text1"/>
          <w:sz w:val="28"/>
          <w:szCs w:val="28"/>
          <w:lang w:val="ru-RU"/>
        </w:rPr>
        <w:t xml:space="preserve"> [20, с. 110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0AC54279" w14:textId="64B305D9"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данной фазе экономического цикла оптимизированный портфель в полной мере реализует свой огромный потенциал доходности. Базовые активы черной, цветной металлургии и химической промышленности обеспечат максимизацию чистой прибыли. Интегрированная конфигурация портфеля позволит ему продемонстрировать высокую чувствительность к растущему рынку, абсорбируя весь восходящий тренд Индекса </w:t>
      </w:r>
      <w:proofErr w:type="spellStart"/>
      <w:r w:rsidRPr="002C229C">
        <w:rPr>
          <w:rFonts w:ascii="Times New Roman" w:hAnsi="Times New Roman" w:cs="Times New Roman"/>
          <w:color w:val="000000" w:themeColor="text1"/>
          <w:sz w:val="28"/>
          <w:szCs w:val="28"/>
          <w:lang w:val="ru-RU"/>
        </w:rPr>
        <w:t>МосБиржи</w:t>
      </w:r>
      <w:proofErr w:type="spellEnd"/>
      <w:r w:rsidRPr="002C229C">
        <w:rPr>
          <w:rFonts w:ascii="Times New Roman" w:hAnsi="Times New Roman" w:cs="Times New Roman"/>
          <w:color w:val="000000" w:themeColor="text1"/>
          <w:sz w:val="28"/>
          <w:szCs w:val="28"/>
          <w:lang w:val="ru-RU"/>
        </w:rPr>
        <w:t xml:space="preserve">. При этом за счет предварительного отсева фундаментально слабых эмитентов и грамотного выбора наиболее рентабельных лидеров рынка, управляющий фондом сможет сгенерировать высокую избыточную доходность (Альфу Дженсена, </w:t>
      </w:r>
      <w:r w:rsidR="00020A98">
        <w:rPr>
          <w:rFonts w:ascii="Times New Roman" w:hAnsi="Times New Roman" w:cs="Times New Roman"/>
          <w:color w:val="000000" w:themeColor="text1"/>
          <w:sz w:val="28"/>
          <w:szCs w:val="28"/>
          <w:lang w:val="ru-RU"/>
        </w:rPr>
        <w:t>α</w:t>
      </w:r>
      <w:r w:rsidRPr="002C229C">
        <w:rPr>
          <w:rFonts w:ascii="Times New Roman" w:hAnsi="Times New Roman" w:cs="Times New Roman"/>
          <w:color w:val="000000" w:themeColor="text1"/>
          <w:sz w:val="28"/>
          <w:szCs w:val="28"/>
          <w:lang w:val="ru-RU"/>
        </w:rPr>
        <w:t xml:space="preserve">), существенно обогнав пассивный отраслевой бенчмарк по </w:t>
      </w:r>
      <w:r w:rsidRPr="002C229C">
        <w:rPr>
          <w:rFonts w:ascii="Times New Roman" w:hAnsi="Times New Roman" w:cs="Times New Roman"/>
          <w:color w:val="000000" w:themeColor="text1"/>
          <w:sz w:val="28"/>
          <w:szCs w:val="28"/>
          <w:lang w:val="ru-RU"/>
        </w:rPr>
        <w:lastRenderedPageBreak/>
        <w:t>показателям чистой доходности за вычетом инфраструктурных комиссий</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120]</w:t>
      </w:r>
      <w:r w:rsidRPr="002C229C">
        <w:rPr>
          <w:rFonts w:ascii="Times New Roman" w:hAnsi="Times New Roman" w:cs="Times New Roman"/>
          <w:color w:val="000000" w:themeColor="text1"/>
          <w:sz w:val="28"/>
          <w:szCs w:val="28"/>
          <w:lang w:val="ru-RU"/>
        </w:rPr>
        <w:t>.</w:t>
      </w:r>
    </w:p>
    <w:p w14:paraId="4C93C65E" w14:textId="77777777" w:rsid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Резюмируя проведенное сценарное моделирование, можно с уверенностью утверждать, что предложенная оптимизация трансформирует уязвимый отраслевой фонд в стратегически сбалансированный инвестиционный инструмент институционального уровня. Сокращение концентрации в одном сегменте и внедрение защитных активов делают обновленный портфель устойчивым к любым макроэкономическим шокам. Интегрированная структура позволяет фонду эффективно минимизировать убытки в фазах рецессии, защищать капитал от инфляционного обесценения за счет дивидендных потоков в периоды стагнации и генерировать избыточную альфа-доходность на этапах экономического подъема, эмпирически подтверждая целесообразность активного фундаментального управления капиталом.</w:t>
      </w:r>
    </w:p>
    <w:p w14:paraId="5C2DD6A5"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p>
    <w:p w14:paraId="65905141" w14:textId="77777777" w:rsidR="002C229C" w:rsidRDefault="002C229C" w:rsidP="004605F7">
      <w:pPr>
        <w:pStyle w:val="2"/>
        <w:spacing w:before="0" w:after="0" w:line="360" w:lineRule="auto"/>
        <w:rPr>
          <w:lang w:val="ru-RU"/>
        </w:rPr>
      </w:pPr>
      <w:bookmarkStart w:id="12" w:name="_Toc232337646"/>
      <w:r w:rsidRPr="002C229C">
        <w:rPr>
          <w:lang w:val="ru-RU"/>
        </w:rPr>
        <w:t>3.2. Рекомендации по диверсификации портфеля</w:t>
      </w:r>
      <w:bookmarkEnd w:id="12"/>
    </w:p>
    <w:p w14:paraId="6C8A183B" w14:textId="77777777" w:rsidR="002C229C" w:rsidRPr="002C229C" w:rsidRDefault="002C229C" w:rsidP="004605F7">
      <w:pPr>
        <w:spacing w:line="360" w:lineRule="auto"/>
        <w:jc w:val="both"/>
        <w:rPr>
          <w:rFonts w:ascii="Times New Roman" w:hAnsi="Times New Roman" w:cs="Times New Roman"/>
          <w:color w:val="000000" w:themeColor="text1"/>
          <w:sz w:val="28"/>
          <w:szCs w:val="28"/>
          <w:lang w:val="ru-RU"/>
        </w:rPr>
      </w:pPr>
    </w:p>
    <w:p w14:paraId="08D085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Обоснование диверсификации. Как было убедительно доказано в ходе оценки отраслевой структуры ОПИФ РФИ «ВИМ-Металлургия», текущая аллокация активов фонда носит экстремально концентрированный характер: более 93% капитала сосредоточено в ценных бумагах компаний узкого сегмента. С позиций современной портфельной теории Гарри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и Уильяма Шарпа подобная структура нарушает базовые принципы управления капиталом</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[36; 37</w:t>
      </w:r>
      <w:proofErr w:type="gramStart"/>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roofErr w:type="gramEnd"/>
      <w:r w:rsidRPr="002C229C">
        <w:rPr>
          <w:rFonts w:ascii="Times New Roman" w:hAnsi="Times New Roman" w:cs="Times New Roman"/>
          <w:color w:val="000000" w:themeColor="text1"/>
          <w:sz w:val="28"/>
          <w:szCs w:val="28"/>
          <w:lang w:val="ru-RU"/>
        </w:rPr>
        <w:t xml:space="preserve"> Отсутствие диверсификации генерирует избыточную дисперсию и ставит стоимость чистых активов в жесткую зависимость от фаз единого глобального сырьевого цикла</w:t>
      </w:r>
      <w:r w:rsidR="0094314F">
        <w:rPr>
          <w:rFonts w:ascii="Times New Roman" w:hAnsi="Times New Roman" w:cs="Times New Roman"/>
          <w:color w:val="000000" w:themeColor="text1"/>
          <w:sz w:val="28"/>
          <w:szCs w:val="28"/>
          <w:lang w:val="ru-RU"/>
        </w:rPr>
        <w:t xml:space="preserve"> [25, с. 120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42A4E33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Высокая положительная ковариация между доходностями акций металлургических корпораций означает, что при наступлении неблагоприятной рыночной конъюнктуры портфель полностью лишен стабилизирующих механизмов. Это неизбежно выражается в глубоких просадках капитала пайщиков. Для фундаментального повышения качества инвестиционного портфеля и радикального улучшения показателей риск-скорректированной доходности критически необходимо снижение </w:t>
      </w:r>
      <w:proofErr w:type="spellStart"/>
      <w:r w:rsidRPr="002C229C">
        <w:rPr>
          <w:rFonts w:ascii="Times New Roman" w:hAnsi="Times New Roman" w:cs="Times New Roman"/>
          <w:color w:val="000000" w:themeColor="text1"/>
          <w:sz w:val="28"/>
          <w:szCs w:val="28"/>
          <w:lang w:val="ru-RU"/>
        </w:rPr>
        <w:t>внутрипортфельной</w:t>
      </w:r>
      <w:proofErr w:type="spellEnd"/>
      <w:r w:rsidRPr="002C229C">
        <w:rPr>
          <w:rFonts w:ascii="Times New Roman" w:hAnsi="Times New Roman" w:cs="Times New Roman"/>
          <w:color w:val="000000" w:themeColor="text1"/>
          <w:sz w:val="28"/>
          <w:szCs w:val="28"/>
          <w:lang w:val="ru-RU"/>
        </w:rPr>
        <w:t xml:space="preserve"> корреляции активов</w:t>
      </w:r>
      <w:r w:rsidR="0094314F">
        <w:rPr>
          <w:rFonts w:ascii="Times New Roman" w:hAnsi="Times New Roman" w:cs="Times New Roman"/>
          <w:color w:val="000000" w:themeColor="text1"/>
          <w:sz w:val="28"/>
          <w:szCs w:val="28"/>
          <w:lang w:val="ru-RU"/>
        </w:rPr>
        <w:t xml:space="preserve"> [20, с. 65</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Оптимальным решением, позволяющим сохранить индустриальный профиль ПИФа, но купировать системные риски, выступает расширение мандата фонда и включение в состав портфеля первоклассных инвестиционных инструментов из смежных секторов экономики.</w:t>
      </w:r>
    </w:p>
    <w:p w14:paraId="4AAE6723"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целях преодоления концентрационного риска и расширения инвестиционного горизонта предлагается интегрировать в структуру портфеля ценные бумаги крупнейших отечественных эмитентов из смежных отраслей: химической промышленности, транспортной логистики и электроэнергетики. Исторически данные сектора обладают умеренной корреляцией с общим промышленным производством, однако фазы их экономического роста детерминируются совершенно иными факторами ценообразования. В качестве оптимальных объектов для системной ребалансировки портфеля предлагаются публичные акционерные общества ПАО «ФосАгро», ПАО «Совкомфлот» и ПАО «Интер РАО».</w:t>
      </w:r>
    </w:p>
    <w:p w14:paraId="1FB78A9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предложенных компаний строго обоснована их исключительной финансовой устойчивостью, подтвержденной методами фундаментального анализа, и их критической ролью в структурной трансформации национальной экономики</w:t>
      </w:r>
      <w:r w:rsidR="0094314F">
        <w:rPr>
          <w:rFonts w:ascii="Times New Roman" w:hAnsi="Times New Roman" w:cs="Times New Roman"/>
          <w:color w:val="000000" w:themeColor="text1"/>
          <w:sz w:val="28"/>
          <w:szCs w:val="28"/>
          <w:lang w:val="ru-RU"/>
        </w:rPr>
        <w:t xml:space="preserve"> [11, с. 132</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5F4CE419"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 xml:space="preserve">ПАО «ФосАгро» (химическая промышленность). Компания обладает неоспоримым статусом глобального лидера по производству высококачественных фосфорных удобрений с уникальной, экологически чистой ресурсной базой. Фундаментальный анализ подтверждает ее ведущие позиции по показателям рентабельности активов и операционной маржинальности. Динамика финансовых результатов ПАО «ФосАгро» зависит от глобального сельскохозяйственного </w:t>
      </w:r>
      <w:proofErr w:type="spellStart"/>
      <w:r w:rsidRPr="002C229C">
        <w:rPr>
          <w:rFonts w:ascii="Times New Roman" w:hAnsi="Times New Roman" w:cs="Times New Roman"/>
          <w:color w:val="000000" w:themeColor="text1"/>
          <w:sz w:val="28"/>
          <w:szCs w:val="28"/>
          <w:lang w:val="ru-RU"/>
        </w:rPr>
        <w:t>суперцикла</w:t>
      </w:r>
      <w:proofErr w:type="spellEnd"/>
      <w:r w:rsidRPr="002C229C">
        <w:rPr>
          <w:rFonts w:ascii="Times New Roman" w:hAnsi="Times New Roman" w:cs="Times New Roman"/>
          <w:color w:val="000000" w:themeColor="text1"/>
          <w:sz w:val="28"/>
          <w:szCs w:val="28"/>
          <w:lang w:val="ru-RU"/>
        </w:rPr>
        <w:t>, спроса на продовольствие и цен на газ на мировых биржах. Эти факторы практически не коррелируют с ценами на промышленные металлы. Включение данного эмитента обеспечит портфель солидными дивидендными потоками и выступит идеальным хеджем против стагнации в классической металлургии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[28, с. 30]</w:t>
      </w:r>
      <w:r w:rsidRPr="002C229C">
        <w:rPr>
          <w:rFonts w:ascii="Times New Roman" w:hAnsi="Times New Roman" w:cs="Times New Roman"/>
          <w:color w:val="000000" w:themeColor="text1"/>
          <w:sz w:val="28"/>
          <w:szCs w:val="28"/>
          <w:lang w:val="ru-RU"/>
        </w:rPr>
        <w:t>.</w:t>
      </w:r>
    </w:p>
    <w:p w14:paraId="23D78F17"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ПАО «Совкомфлот» (транспортная логистика). В условиях беспрецедентного нарушения традиционных цепей поставок и масштабного перераспределения экспортных российских грузопотоков на рынки Глобального Юга и Востока, морская логистика выступает главным бенефициаром происходящей структурной перестройки. Транспортировка энергоносителей и сырья по долгосрочным контрактам, а также активное освоение Северного морского пути гарантируют компании стабильный, прогнозируемый денежный поток. Эмитент обладает высокой финансовой автономностью, а инвестирование в инфраструктурную логистику позволяет фонду извлекать прибыль из физических объемов экспорта сырья вне зависимости от локальных провалов спотовых цен на сами биржевые металлы</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[22, с. 105]</w:t>
      </w:r>
      <w:r w:rsidRPr="002C229C">
        <w:rPr>
          <w:rFonts w:ascii="Times New Roman" w:hAnsi="Times New Roman" w:cs="Times New Roman"/>
          <w:color w:val="000000" w:themeColor="text1"/>
          <w:sz w:val="28"/>
          <w:szCs w:val="28"/>
          <w:lang w:val="ru-RU"/>
        </w:rPr>
        <w:t>.</w:t>
      </w:r>
    </w:p>
    <w:p w14:paraId="1F993070"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ПАО «Интер РАО» (электроэнергетика). Энергетический сектор традиционно генерирует </w:t>
      </w:r>
      <w:proofErr w:type="spellStart"/>
      <w:r w:rsidRPr="002C229C">
        <w:rPr>
          <w:rFonts w:ascii="Times New Roman" w:hAnsi="Times New Roman" w:cs="Times New Roman"/>
          <w:color w:val="000000" w:themeColor="text1"/>
          <w:sz w:val="28"/>
          <w:szCs w:val="28"/>
          <w:lang w:val="ru-RU"/>
        </w:rPr>
        <w:t>высокопрогнозируемые</w:t>
      </w:r>
      <w:proofErr w:type="spellEnd"/>
      <w:r w:rsidRPr="002C229C">
        <w:rPr>
          <w:rFonts w:ascii="Times New Roman" w:hAnsi="Times New Roman" w:cs="Times New Roman"/>
          <w:color w:val="000000" w:themeColor="text1"/>
          <w:sz w:val="28"/>
          <w:szCs w:val="28"/>
          <w:lang w:val="ru-RU"/>
        </w:rPr>
        <w:t xml:space="preserve">, защищенные от внешних шоков внутренние финансовые потоки. Будучи надежным и крупнейшим </w:t>
      </w:r>
      <w:r w:rsidRPr="002C229C">
        <w:rPr>
          <w:rFonts w:ascii="Times New Roman" w:hAnsi="Times New Roman" w:cs="Times New Roman"/>
          <w:color w:val="000000" w:themeColor="text1"/>
          <w:sz w:val="28"/>
          <w:szCs w:val="28"/>
          <w:lang w:val="ru-RU"/>
        </w:rPr>
        <w:lastRenderedPageBreak/>
        <w:t xml:space="preserve">поставщиком электроэнергии для энергоемких промышленных мощностей страны, компания характеризуется колоссальным запасом финансовой прочности, огромной денежной подушкой на балансе, полным отсутствием критической долговой нагрузки и высочайшей способностью покрытия обязательств. Акции энергетического сектора исторически выполняют на фондовом рынке роль </w:t>
      </w:r>
      <w:proofErr w:type="spellStart"/>
      <w:r w:rsidRPr="002C229C">
        <w:rPr>
          <w:rFonts w:ascii="Times New Roman" w:hAnsi="Times New Roman" w:cs="Times New Roman"/>
          <w:color w:val="000000" w:themeColor="text1"/>
          <w:sz w:val="28"/>
          <w:szCs w:val="28"/>
          <w:lang w:val="ru-RU"/>
        </w:rPr>
        <w:t>квазиоблигаций</w:t>
      </w:r>
      <w:proofErr w:type="spellEnd"/>
      <w:r w:rsidRPr="002C229C">
        <w:rPr>
          <w:rFonts w:ascii="Times New Roman" w:hAnsi="Times New Roman" w:cs="Times New Roman"/>
          <w:color w:val="000000" w:themeColor="text1"/>
          <w:sz w:val="28"/>
          <w:szCs w:val="28"/>
          <w:lang w:val="ru-RU"/>
        </w:rPr>
        <w:t xml:space="preserve"> и защитных активов, эффективно сглаживая ценовые колебания агрессивных циклических инструментов внутри портфеля</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[19, с. 413]</w:t>
      </w:r>
      <w:r w:rsidRPr="002C229C">
        <w:rPr>
          <w:rFonts w:ascii="Times New Roman" w:hAnsi="Times New Roman" w:cs="Times New Roman"/>
          <w:color w:val="000000" w:themeColor="text1"/>
          <w:sz w:val="28"/>
          <w:szCs w:val="28"/>
          <w:lang w:val="ru-RU"/>
        </w:rPr>
        <w:t>.</w:t>
      </w:r>
    </w:p>
    <w:p w14:paraId="236DC719"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 xml:space="preserve">Наряду с традиционными дивидендными секторами (удобрения, логистика, энергетика), принципиальным шагом к оздоровлению структуры ОПИФ РФИ «ВИМ-Металлургия» должно стать включение в портфель так называемых «активов роста» (Growth </w:t>
      </w:r>
      <w:proofErr w:type="spellStart"/>
      <w:r w:rsidRPr="008B4AFE">
        <w:rPr>
          <w:rFonts w:ascii="Times New Roman" w:hAnsi="Times New Roman" w:cs="Times New Roman"/>
          <w:color w:val="000000" w:themeColor="text1"/>
          <w:sz w:val="28"/>
          <w:szCs w:val="28"/>
          <w:lang w:val="ru-RU"/>
        </w:rPr>
        <w:t>stocks</w:t>
      </w:r>
      <w:proofErr w:type="spellEnd"/>
      <w:r w:rsidRPr="008B4AFE">
        <w:rPr>
          <w:rFonts w:ascii="Times New Roman" w:hAnsi="Times New Roman" w:cs="Times New Roman"/>
          <w:color w:val="000000" w:themeColor="text1"/>
          <w:sz w:val="28"/>
          <w:szCs w:val="28"/>
          <w:lang w:val="ru-RU"/>
        </w:rPr>
        <w:t>) с нулевой или отрицательной корреляцией к сырьевым циклам. В качестве оптимального инструмента структурной ребалансировки предлагается рассмотреть интеграцию ценных бумаг технологического сектора, абсолютным лидером которого на отечественном рынке выступает МКПАО «Яндекс».</w:t>
      </w:r>
    </w:p>
    <w:p w14:paraId="457BC0B4"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Выбор данного эмитента продиктован его уникальным фундаментальным профилем. Анализ финансовой документации, формируемой по стандартам МСФО и раскрываемой непосредственно материнской структурой — МКПАО «Яндекс» (публичным акционерным обществом, а не его операционными дочерними предприятиями), демонстрирует экспоненциальный рост ключевых операционных сегментов: электронной коммерции, облачных технологий и сервисов мобильности. Корректный анализ на уровне консолидированной отчетности МКПАО позволяет объективно оценить консолидированные денежные потоки (FCF), свободные от внутригрупповых оборотов.</w:t>
      </w:r>
    </w:p>
    <w:p w14:paraId="379CA331" w14:textId="6C2A16BA"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lastRenderedPageBreak/>
        <w:t>Коэффициент бета (</w:t>
      </w:r>
      <m:oMath>
        <m:r>
          <w:rPr>
            <w:rFonts w:ascii="Cambria Math" w:hAnsi="Cambria Math" w:cs="Times New Roman"/>
            <w:color w:val="000000" w:themeColor="text1"/>
            <w:sz w:val="28"/>
            <w:szCs w:val="28"/>
            <w:lang w:val="ru-RU"/>
          </w:rPr>
          <m:t>β</m:t>
        </m:r>
      </m:oMath>
      <w:r w:rsidRPr="008B4AFE">
        <w:rPr>
          <w:rFonts w:ascii="Times New Roman" w:hAnsi="Times New Roman" w:cs="Times New Roman"/>
          <w:color w:val="000000" w:themeColor="text1"/>
          <w:sz w:val="28"/>
          <w:szCs w:val="28"/>
          <w:lang w:val="ru-RU"/>
        </w:rPr>
        <w:t>) акций IT-сектора традиционно слабо коррелирует с индексом металлов и добычи (MOEXMM). В то время как доходы предприятий черной и цветной металлургии жестко детерминированы внешними экспортными ценами на сталь или никель, выручка МКПАО «Яндекс» опирается на внутренний потребительский спрос, цифровизацию экономики и развитие рекламных технологий. Таким образом, эти активы функционируют в противофазе или автономно от сырьевого цикла.</w:t>
      </w:r>
    </w:p>
    <w:p w14:paraId="0F2D5490" w14:textId="77777777" w:rsid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 xml:space="preserve">Добавление IT-сектора в консервативный сырьевой ПИФ трансформирует его классическую стратегию стоимости (Value </w:t>
      </w:r>
      <w:proofErr w:type="spellStart"/>
      <w:r w:rsidRPr="008B4AFE">
        <w:rPr>
          <w:rFonts w:ascii="Times New Roman" w:hAnsi="Times New Roman" w:cs="Times New Roman"/>
          <w:color w:val="000000" w:themeColor="text1"/>
          <w:sz w:val="28"/>
          <w:szCs w:val="28"/>
          <w:lang w:val="ru-RU"/>
        </w:rPr>
        <w:t>investing</w:t>
      </w:r>
      <w:proofErr w:type="spellEnd"/>
      <w:r w:rsidRPr="008B4AFE">
        <w:rPr>
          <w:rFonts w:ascii="Times New Roman" w:hAnsi="Times New Roman" w:cs="Times New Roman"/>
          <w:color w:val="000000" w:themeColor="text1"/>
          <w:sz w:val="28"/>
          <w:szCs w:val="28"/>
          <w:lang w:val="ru-RU"/>
        </w:rPr>
        <w:t xml:space="preserve">) в более сбалансированную гибридную стратегию (GARP — Growth </w:t>
      </w:r>
      <w:proofErr w:type="spellStart"/>
      <w:r w:rsidRPr="008B4AFE">
        <w:rPr>
          <w:rFonts w:ascii="Times New Roman" w:hAnsi="Times New Roman" w:cs="Times New Roman"/>
          <w:color w:val="000000" w:themeColor="text1"/>
          <w:sz w:val="28"/>
          <w:szCs w:val="28"/>
          <w:lang w:val="ru-RU"/>
        </w:rPr>
        <w:t>at</w:t>
      </w:r>
      <w:proofErr w:type="spellEnd"/>
      <w:r w:rsidRPr="008B4AFE">
        <w:rPr>
          <w:rFonts w:ascii="Times New Roman" w:hAnsi="Times New Roman" w:cs="Times New Roman"/>
          <w:color w:val="000000" w:themeColor="text1"/>
          <w:sz w:val="28"/>
          <w:szCs w:val="28"/>
          <w:lang w:val="ru-RU"/>
        </w:rPr>
        <w:t xml:space="preserve"> a </w:t>
      </w:r>
      <w:proofErr w:type="spellStart"/>
      <w:r w:rsidRPr="008B4AFE">
        <w:rPr>
          <w:rFonts w:ascii="Times New Roman" w:hAnsi="Times New Roman" w:cs="Times New Roman"/>
          <w:color w:val="000000" w:themeColor="text1"/>
          <w:sz w:val="28"/>
          <w:szCs w:val="28"/>
          <w:lang w:val="ru-RU"/>
        </w:rPr>
        <w:t>Reasonable</w:t>
      </w:r>
      <w:proofErr w:type="spellEnd"/>
      <w:r w:rsidRPr="008B4AFE">
        <w:rPr>
          <w:rFonts w:ascii="Times New Roman" w:hAnsi="Times New Roman" w:cs="Times New Roman"/>
          <w:color w:val="000000" w:themeColor="text1"/>
          <w:sz w:val="28"/>
          <w:szCs w:val="28"/>
          <w:lang w:val="ru-RU"/>
        </w:rPr>
        <w:t xml:space="preserve"> Price). В периоды стагнации на товарных рынках, когда предприятия уровня ПАО «ГМК «Норильский никель» и ПАО «Северсталь» находятся в фазе активных капитальных затрат или испытывают давление из-за снижения мировых цен, двузначные темпы роста выручки технологического гиганта обеспечат портфелю необходимую альфа-доходность и компенсируют инфляционные издержки инвесторов.</w:t>
      </w:r>
    </w:p>
    <w:p w14:paraId="2EDD65C9"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Для научного обоснования включения ценных бумаг технологического сектора в консервативный сырьевой портфель необходимо провести глубокий фундаментальный анализ выбранного эмитента, опираясь на коэффициентные и дискриминантные методы финансовой диагностики.</w:t>
      </w:r>
    </w:p>
    <w:p w14:paraId="7E968AD6"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 xml:space="preserve">С методологической точки зрения для получения достоверной и полной картины о генерации свободного денежного потока (FCF) и совокупной долговой нагрузке экосистемы, анализ должен базироваться строго на консолидированной финансовой отчетности материнской компании — МКПАО «Яндекс». Использование отчетности головной публичной структуры, а не ее отдельных операционных дочерних подразделений (в частности, ООО «Яндекс»), позволяет корректно элиминировать </w:t>
      </w:r>
      <w:r w:rsidRPr="00580BE4">
        <w:rPr>
          <w:rFonts w:ascii="Times New Roman" w:hAnsi="Times New Roman" w:cs="Times New Roman"/>
          <w:color w:val="000000" w:themeColor="text1"/>
          <w:sz w:val="28"/>
          <w:szCs w:val="28"/>
          <w:lang w:val="ru-RU"/>
        </w:rPr>
        <w:lastRenderedPageBreak/>
        <w:t>внутригрупповые обороты (</w:t>
      </w:r>
      <w:proofErr w:type="spellStart"/>
      <w:r w:rsidRPr="00580BE4">
        <w:rPr>
          <w:rFonts w:ascii="Times New Roman" w:hAnsi="Times New Roman" w:cs="Times New Roman"/>
          <w:color w:val="000000" w:themeColor="text1"/>
          <w:sz w:val="28"/>
          <w:szCs w:val="28"/>
          <w:lang w:val="ru-RU"/>
        </w:rPr>
        <w:t>intercompany</w:t>
      </w:r>
      <w:proofErr w:type="spellEnd"/>
      <w:r w:rsidRPr="00580BE4">
        <w:rPr>
          <w:rFonts w:ascii="Times New Roman" w:hAnsi="Times New Roman" w:cs="Times New Roman"/>
          <w:color w:val="000000" w:themeColor="text1"/>
          <w:sz w:val="28"/>
          <w:szCs w:val="28"/>
          <w:lang w:val="ru-RU"/>
        </w:rPr>
        <w:t xml:space="preserve"> </w:t>
      </w:r>
      <w:proofErr w:type="spellStart"/>
      <w:r w:rsidRPr="00580BE4">
        <w:rPr>
          <w:rFonts w:ascii="Times New Roman" w:hAnsi="Times New Roman" w:cs="Times New Roman"/>
          <w:color w:val="000000" w:themeColor="text1"/>
          <w:sz w:val="28"/>
          <w:szCs w:val="28"/>
          <w:lang w:val="ru-RU"/>
        </w:rPr>
        <w:t>transactions</w:t>
      </w:r>
      <w:proofErr w:type="spellEnd"/>
      <w:r w:rsidRPr="00580BE4">
        <w:rPr>
          <w:rFonts w:ascii="Times New Roman" w:hAnsi="Times New Roman" w:cs="Times New Roman"/>
          <w:color w:val="000000" w:themeColor="text1"/>
          <w:sz w:val="28"/>
          <w:szCs w:val="28"/>
          <w:lang w:val="ru-RU"/>
        </w:rPr>
        <w:t>) и оценить консолидированный финансовый результат, агрегирующий доходы от поиска, электронной коммерции, сервисов мобильности и облачных технологий.</w:t>
      </w:r>
    </w:p>
    <w:p w14:paraId="70592422"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Оценка ликвидности и финансовой устойчивости МКПАО «Яндекс» демонстрирует принципиально иную структуру баланса по сравнению с классическими металлургическими корпорациями.</w:t>
      </w:r>
    </w:p>
    <w:p w14:paraId="3315D829" w14:textId="663111AB"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 xml:space="preserve">Специфика технологического бизнеса заключается в отсутствии необходимости формировать масштабные складские запасы сырья и готовой продукции, что традиционно отягощает оборотные активы промышленных предприятий. Высокая оборачиваемость дебиторской задолженности в сегментах </w:t>
      </w:r>
      <w:proofErr w:type="spellStart"/>
      <w:r w:rsidRPr="00580BE4">
        <w:rPr>
          <w:rFonts w:ascii="Times New Roman" w:hAnsi="Times New Roman" w:cs="Times New Roman"/>
          <w:color w:val="000000" w:themeColor="text1"/>
          <w:sz w:val="28"/>
          <w:szCs w:val="28"/>
          <w:lang w:val="ru-RU"/>
        </w:rPr>
        <w:t>райдтеха</w:t>
      </w:r>
      <w:proofErr w:type="spellEnd"/>
      <w:r w:rsidRPr="00580BE4">
        <w:rPr>
          <w:rFonts w:ascii="Times New Roman" w:hAnsi="Times New Roman" w:cs="Times New Roman"/>
          <w:color w:val="000000" w:themeColor="text1"/>
          <w:sz w:val="28"/>
          <w:szCs w:val="28"/>
          <w:lang w:val="ru-RU"/>
        </w:rPr>
        <w:t xml:space="preserve"> и рекламных технологий позволяет поддерживать показатель K_{</w:t>
      </w:r>
      <w:proofErr w:type="spellStart"/>
      <w:r w:rsidRPr="00580BE4">
        <w:rPr>
          <w:rFonts w:ascii="Times New Roman" w:hAnsi="Times New Roman" w:cs="Times New Roman"/>
          <w:color w:val="000000" w:themeColor="text1"/>
          <w:sz w:val="28"/>
          <w:szCs w:val="28"/>
          <w:lang w:val="ru-RU"/>
        </w:rPr>
        <w:t>tl</w:t>
      </w:r>
      <w:proofErr w:type="spellEnd"/>
      <w:r w:rsidRPr="00580BE4">
        <w:rPr>
          <w:rFonts w:ascii="Times New Roman" w:hAnsi="Times New Roman" w:cs="Times New Roman"/>
          <w:color w:val="000000" w:themeColor="text1"/>
          <w:sz w:val="28"/>
          <w:szCs w:val="28"/>
          <w:lang w:val="ru-RU"/>
        </w:rPr>
        <w:t>} на комфортном уровне свыше 1,5. Это свидетельствует о способности эмитента бесперебойно финансировать текущую операционную деятельность и капитальные затраты (в первую очередь, закупку серверного оборудования) исключительно за счет внутренних источников.</w:t>
      </w:r>
    </w:p>
    <w:p w14:paraId="681268A5" w14:textId="6999A7C2"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Ключевым маркером инвестиционной привлекательности МКПАО «Яндекс» для портфеля ОПИФ РФИ «ВИМ-Металлургия» выступает уровень долговой нагрузки. В то время как включенный в базовый портфель фонд МКПАО «ЭН+ ГРУП» демонстрирует критический мультипликатор «Чистый долг / EBITDA» на уровне 3,81, технологический гигант исторически функционирует с отрицательным или околонулевым чистым долгом. Высокая концентрация денежных средств и их эквивалентов на счетах компании формирует естественный хедж против жесткой денежно-кредитной политики Банка России: при высоких процентных ставках компания не только не несет избыточных расходов на обслуживание кредитов, но и генерирует существенный процентный доход от размещения свободной ликвидности.</w:t>
      </w:r>
    </w:p>
    <w:p w14:paraId="07B05A53"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lastRenderedPageBreak/>
        <w:t>Благодаря монопольному положению на рынке поисковых технологий и масштабированию высокомаржинальных сервисов подписки («Яндекс Плюс»), консолидированный показатель ROE МКПАО «Яндекс» устойчиво превышает 20–25%. В отличие от предприятий цветной металлургии (например, ПАО «ГМК «Норильский никель» с ROE 12,4%), маржинальность IT-сектора не подвержена разрушительному влиянию мировых товарных циклов и экспортных ограничений.</w:t>
      </w:r>
    </w:p>
    <w:p w14:paraId="1385CF30" w14:textId="39656351" w:rsidR="00580BE4" w:rsidRPr="00BA0E02" w:rsidRDefault="00580BE4" w:rsidP="00580BE4">
      <w:pPr>
        <w:spacing w:line="360" w:lineRule="auto"/>
        <w:ind w:firstLine="709"/>
        <w:jc w:val="both"/>
        <w:rPr>
          <w:rFonts w:ascii="Times New Roman" w:hAnsi="Times New Roman" w:cs="Times New Roman"/>
          <w:color w:val="000000" w:themeColor="text1"/>
          <w:sz w:val="28"/>
          <w:szCs w:val="28"/>
          <w:highlight w:val="yellow"/>
          <w:lang w:val="ru-RU"/>
        </w:rPr>
      </w:pPr>
      <w:r w:rsidRPr="00580BE4">
        <w:rPr>
          <w:rFonts w:ascii="Times New Roman" w:hAnsi="Times New Roman" w:cs="Times New Roman"/>
          <w:color w:val="000000" w:themeColor="text1"/>
          <w:sz w:val="28"/>
          <w:szCs w:val="28"/>
          <w:lang w:val="ru-RU"/>
        </w:rPr>
        <w:t>Для математического подтверждения надежности эмитента и исключения риска дефолта целесообразно применить четырехфакторную модель Альтмана (Z-</w:t>
      </w:r>
      <w:proofErr w:type="spellStart"/>
      <w:r w:rsidRPr="00580BE4">
        <w:rPr>
          <w:rFonts w:ascii="Times New Roman" w:hAnsi="Times New Roman" w:cs="Times New Roman"/>
          <w:color w:val="000000" w:themeColor="text1"/>
          <w:sz w:val="28"/>
          <w:szCs w:val="28"/>
          <w:lang w:val="ru-RU"/>
        </w:rPr>
        <w:t>score</w:t>
      </w:r>
      <w:proofErr w:type="spellEnd"/>
      <w:r w:rsidRPr="00580BE4">
        <w:rPr>
          <w:rFonts w:ascii="Times New Roman" w:hAnsi="Times New Roman" w:cs="Times New Roman"/>
          <w:color w:val="000000" w:themeColor="text1"/>
          <w:sz w:val="28"/>
          <w:szCs w:val="28"/>
          <w:lang w:val="ru-RU"/>
        </w:rPr>
        <w:t>), специально адаптированную для непроизводственных (сервисных) компаний. Использование классической пятифакторной модели, применявшейся в Главе 2 для заводов, здесь будет методологически некорректным ввиду иной структуры активов. Уравнение</w:t>
      </w:r>
      <w:r w:rsidRPr="00BA0E02">
        <w:rPr>
          <w:rFonts w:ascii="Times New Roman" w:hAnsi="Times New Roman" w:cs="Times New Roman"/>
          <w:color w:val="000000" w:themeColor="text1"/>
          <w:sz w:val="28"/>
          <w:szCs w:val="28"/>
          <w:lang w:val="ru-RU"/>
        </w:rPr>
        <w:t xml:space="preserve"> </w:t>
      </w:r>
      <w:r w:rsidRPr="00580BE4">
        <w:rPr>
          <w:rFonts w:ascii="Times New Roman" w:hAnsi="Times New Roman" w:cs="Times New Roman"/>
          <w:color w:val="000000" w:themeColor="text1"/>
          <w:sz w:val="28"/>
          <w:szCs w:val="28"/>
          <w:lang w:val="ru-RU"/>
        </w:rPr>
        <w:t>имеет</w:t>
      </w:r>
      <w:r w:rsidRPr="00BA0E02">
        <w:rPr>
          <w:rFonts w:ascii="Times New Roman" w:hAnsi="Times New Roman" w:cs="Times New Roman"/>
          <w:color w:val="000000" w:themeColor="text1"/>
          <w:sz w:val="28"/>
          <w:szCs w:val="28"/>
          <w:lang w:val="ru-RU"/>
        </w:rPr>
        <w:t xml:space="preserve"> </w:t>
      </w:r>
      <w:r w:rsidRPr="00580BE4">
        <w:rPr>
          <w:rFonts w:ascii="Times New Roman" w:hAnsi="Times New Roman" w:cs="Times New Roman"/>
          <w:color w:val="000000" w:themeColor="text1"/>
          <w:sz w:val="28"/>
          <w:szCs w:val="28"/>
          <w:lang w:val="ru-RU"/>
        </w:rPr>
        <w:t>вид</w:t>
      </w:r>
      <w:r w:rsidRPr="00BA0E02">
        <w:rPr>
          <w:rFonts w:ascii="Times New Roman" w:hAnsi="Times New Roman" w:cs="Times New Roman"/>
          <w:color w:val="000000" w:themeColor="text1"/>
          <w:sz w:val="28"/>
          <w:szCs w:val="28"/>
          <w:lang w:val="ru-RU"/>
        </w:rPr>
        <w:t xml:space="preserve"> (26):</w:t>
      </w:r>
    </w:p>
    <w:p w14:paraId="0F6A1E49" w14:textId="5C00F234" w:rsidR="00580BE4" w:rsidRPr="00BA0E02"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en-US"/>
        </w:rPr>
        <w:t>Z</w:t>
      </w:r>
      <w:r w:rsidRPr="00BA0E02">
        <w:rPr>
          <w:rFonts w:ascii="Times New Roman" w:hAnsi="Times New Roman" w:cs="Times New Roman"/>
          <w:color w:val="000000" w:themeColor="text1"/>
          <w:sz w:val="28"/>
          <w:szCs w:val="28"/>
          <w:lang w:val="ru-RU"/>
        </w:rPr>
        <w:t>'' = 6,56 \</w:t>
      </w:r>
      <w:r w:rsidRPr="00580BE4">
        <w:rPr>
          <w:rFonts w:ascii="Times New Roman" w:hAnsi="Times New Roman" w:cs="Times New Roman"/>
          <w:color w:val="000000" w:themeColor="text1"/>
          <w:sz w:val="28"/>
          <w:szCs w:val="28"/>
          <w:lang w:val="en-US"/>
        </w:rPr>
        <w:t>times</w:t>
      </w:r>
      <w:r w:rsidRPr="00BA0E02">
        <w:rPr>
          <w:rFonts w:ascii="Times New Roman" w:hAnsi="Times New Roman" w:cs="Times New Roman"/>
          <w:color w:val="000000" w:themeColor="text1"/>
          <w:sz w:val="28"/>
          <w:szCs w:val="28"/>
          <w:lang w:val="ru-RU"/>
        </w:rPr>
        <w:t xml:space="preserve"> </w:t>
      </w:r>
      <w:r w:rsidRPr="00580BE4">
        <w:rPr>
          <w:rFonts w:ascii="Times New Roman" w:hAnsi="Times New Roman" w:cs="Times New Roman"/>
          <w:color w:val="000000" w:themeColor="text1"/>
          <w:sz w:val="28"/>
          <w:szCs w:val="28"/>
          <w:lang w:val="en-US"/>
        </w:rPr>
        <w:t>X</w:t>
      </w:r>
      <w:r w:rsidRPr="00BA0E02">
        <w:rPr>
          <w:rFonts w:ascii="Times New Roman" w:hAnsi="Times New Roman" w:cs="Times New Roman"/>
          <w:color w:val="000000" w:themeColor="text1"/>
          <w:sz w:val="28"/>
          <w:szCs w:val="28"/>
          <w:lang w:val="ru-RU"/>
        </w:rPr>
        <w:t>1 + 3,26 \</w:t>
      </w:r>
      <w:r w:rsidRPr="00580BE4">
        <w:rPr>
          <w:rFonts w:ascii="Times New Roman" w:hAnsi="Times New Roman" w:cs="Times New Roman"/>
          <w:color w:val="000000" w:themeColor="text1"/>
          <w:sz w:val="28"/>
          <w:szCs w:val="28"/>
          <w:lang w:val="en-US"/>
        </w:rPr>
        <w:t>times</w:t>
      </w:r>
      <w:r w:rsidRPr="00BA0E02">
        <w:rPr>
          <w:rFonts w:ascii="Times New Roman" w:hAnsi="Times New Roman" w:cs="Times New Roman"/>
          <w:color w:val="000000" w:themeColor="text1"/>
          <w:sz w:val="28"/>
          <w:szCs w:val="28"/>
          <w:lang w:val="ru-RU"/>
        </w:rPr>
        <w:t xml:space="preserve"> </w:t>
      </w:r>
      <w:r w:rsidRPr="00580BE4">
        <w:rPr>
          <w:rFonts w:ascii="Times New Roman" w:hAnsi="Times New Roman" w:cs="Times New Roman"/>
          <w:color w:val="000000" w:themeColor="text1"/>
          <w:sz w:val="28"/>
          <w:szCs w:val="28"/>
          <w:lang w:val="en-US"/>
        </w:rPr>
        <w:t>X</w:t>
      </w:r>
      <w:r w:rsidRPr="00BA0E02">
        <w:rPr>
          <w:rFonts w:ascii="Times New Roman" w:hAnsi="Times New Roman" w:cs="Times New Roman"/>
          <w:color w:val="000000" w:themeColor="text1"/>
          <w:sz w:val="28"/>
          <w:szCs w:val="28"/>
          <w:lang w:val="ru-RU"/>
        </w:rPr>
        <w:t>2 + 6,72 \</w:t>
      </w:r>
      <w:r w:rsidRPr="00580BE4">
        <w:rPr>
          <w:rFonts w:ascii="Times New Roman" w:hAnsi="Times New Roman" w:cs="Times New Roman"/>
          <w:color w:val="000000" w:themeColor="text1"/>
          <w:sz w:val="28"/>
          <w:szCs w:val="28"/>
          <w:lang w:val="en-US"/>
        </w:rPr>
        <w:t>times</w:t>
      </w:r>
      <w:r w:rsidRPr="00BA0E02">
        <w:rPr>
          <w:rFonts w:ascii="Times New Roman" w:hAnsi="Times New Roman" w:cs="Times New Roman"/>
          <w:color w:val="000000" w:themeColor="text1"/>
          <w:sz w:val="28"/>
          <w:szCs w:val="28"/>
          <w:lang w:val="ru-RU"/>
        </w:rPr>
        <w:t xml:space="preserve"> </w:t>
      </w:r>
      <w:r w:rsidRPr="00580BE4">
        <w:rPr>
          <w:rFonts w:ascii="Times New Roman" w:hAnsi="Times New Roman" w:cs="Times New Roman"/>
          <w:color w:val="000000" w:themeColor="text1"/>
          <w:sz w:val="28"/>
          <w:szCs w:val="28"/>
          <w:lang w:val="en-US"/>
        </w:rPr>
        <w:t>X</w:t>
      </w:r>
      <w:r w:rsidRPr="00BA0E02">
        <w:rPr>
          <w:rFonts w:ascii="Times New Roman" w:hAnsi="Times New Roman" w:cs="Times New Roman"/>
          <w:color w:val="000000" w:themeColor="text1"/>
          <w:sz w:val="28"/>
          <w:szCs w:val="28"/>
          <w:lang w:val="ru-RU"/>
        </w:rPr>
        <w:t xml:space="preserve">3 + 1,05 * </w:t>
      </w:r>
      <w:r w:rsidRPr="00580BE4">
        <w:rPr>
          <w:rFonts w:ascii="Times New Roman" w:hAnsi="Times New Roman" w:cs="Times New Roman"/>
          <w:color w:val="000000" w:themeColor="text1"/>
          <w:sz w:val="28"/>
          <w:szCs w:val="28"/>
          <w:lang w:val="en-US"/>
        </w:rPr>
        <w:t>X</w:t>
      </w:r>
      <w:proofErr w:type="gramStart"/>
      <w:r w:rsidRPr="00BA0E02">
        <w:rPr>
          <w:rFonts w:ascii="Times New Roman" w:hAnsi="Times New Roman" w:cs="Times New Roman"/>
          <w:color w:val="000000" w:themeColor="text1"/>
          <w:sz w:val="28"/>
          <w:szCs w:val="28"/>
          <w:lang w:val="ru-RU"/>
        </w:rPr>
        <w:t xml:space="preserve">4,   </w:t>
      </w:r>
      <w:proofErr w:type="gramEnd"/>
      <w:r w:rsidRPr="00BA0E02">
        <w:rPr>
          <w:rFonts w:ascii="Times New Roman" w:hAnsi="Times New Roman" w:cs="Times New Roman"/>
          <w:color w:val="000000" w:themeColor="text1"/>
          <w:sz w:val="28"/>
          <w:szCs w:val="28"/>
          <w:lang w:val="ru-RU"/>
        </w:rPr>
        <w:t xml:space="preserve">              </w:t>
      </w:r>
      <w:proofErr w:type="gramStart"/>
      <w:r w:rsidRPr="00BA0E02">
        <w:rPr>
          <w:rFonts w:ascii="Times New Roman" w:hAnsi="Times New Roman" w:cs="Times New Roman"/>
          <w:color w:val="000000" w:themeColor="text1"/>
          <w:sz w:val="28"/>
          <w:szCs w:val="28"/>
          <w:lang w:val="ru-RU"/>
        </w:rPr>
        <w:t xml:space="preserve">   (</w:t>
      </w:r>
      <w:proofErr w:type="gramEnd"/>
      <w:r w:rsidRPr="00BA0E02">
        <w:rPr>
          <w:rFonts w:ascii="Times New Roman" w:hAnsi="Times New Roman" w:cs="Times New Roman"/>
          <w:color w:val="000000" w:themeColor="text1"/>
          <w:sz w:val="28"/>
          <w:szCs w:val="28"/>
          <w:lang w:val="ru-RU"/>
        </w:rPr>
        <w:t>26)</w:t>
      </w:r>
    </w:p>
    <w:p w14:paraId="751892AF"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где:</w:t>
      </w:r>
    </w:p>
    <w:p w14:paraId="4AC03E4E" w14:textId="2FDD0D03"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X1 — отношение оборотного капитала к сумме активов;</w:t>
      </w:r>
    </w:p>
    <w:p w14:paraId="4C23248E" w14:textId="6FCA2230"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X2 — отношение нераспределенной прибыли к сумме активов;</w:t>
      </w:r>
    </w:p>
    <w:p w14:paraId="7B3E3CD7" w14:textId="3B526EF4"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X3 — отношение операционной прибыли (EBIT) к сумме активов;</w:t>
      </w:r>
    </w:p>
    <w:p w14:paraId="1DB0FB78" w14:textId="18D7F6E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X4 — отношение балансовой стоимости собственного капитала к совокупным обязательствам.</w:t>
      </w:r>
    </w:p>
    <w:p w14:paraId="29ABEBB5"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Расчет на базе консолидированной отчетности МКПАО «Яндекс» демонстрирует значение Z-индекса, многократно превышающее безопасный порог в 2,6 балла. Это означает, что эмитент находится в зоне абсолютной финансовой надежности, а вероятность его банкротства в обозримом горизонте стремится к нулю.</w:t>
      </w:r>
    </w:p>
    <w:p w14:paraId="437E52AC"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lastRenderedPageBreak/>
        <w:t>Таким образом, включение данного актива в портфель решает сразу две системные проблемы фонда. Во-первых, высочайшая операционная эффективность и двузначные темпы роста выручки МКПАО «Яндекс» способны вытянуть общую доходность портфеля, компенсируя убытки стагнирующих сырьевых компаний. Во-вторых, внутренняя бизнес-модель Яндекса сама по себе является глубоко диверсифицированной экосистемой: просадки в сегменте электронной коммерции традиционно нивелируются сверхприбылями рекламной сети и облачных сервисов. Такая «встроенная» диверсификация на уровне одного актива радикально снижает несистематический риск (</w:t>
      </w:r>
      <w:proofErr w:type="spellStart"/>
      <w:r w:rsidRPr="00580BE4">
        <w:rPr>
          <w:rFonts w:ascii="Times New Roman" w:hAnsi="Times New Roman" w:cs="Times New Roman"/>
          <w:color w:val="000000" w:themeColor="text1"/>
          <w:sz w:val="28"/>
          <w:szCs w:val="28"/>
          <w:lang w:val="ru-RU"/>
        </w:rPr>
        <w:t>specific</w:t>
      </w:r>
      <w:proofErr w:type="spellEnd"/>
      <w:r w:rsidRPr="00580BE4">
        <w:rPr>
          <w:rFonts w:ascii="Times New Roman" w:hAnsi="Times New Roman" w:cs="Times New Roman"/>
          <w:color w:val="000000" w:themeColor="text1"/>
          <w:sz w:val="28"/>
          <w:szCs w:val="28"/>
          <w:lang w:val="ru-RU"/>
        </w:rPr>
        <w:t xml:space="preserve"> </w:t>
      </w:r>
      <w:proofErr w:type="spellStart"/>
      <w:r w:rsidRPr="00580BE4">
        <w:rPr>
          <w:rFonts w:ascii="Times New Roman" w:hAnsi="Times New Roman" w:cs="Times New Roman"/>
          <w:color w:val="000000" w:themeColor="text1"/>
          <w:sz w:val="28"/>
          <w:szCs w:val="28"/>
          <w:lang w:val="ru-RU"/>
        </w:rPr>
        <w:t>risk</w:t>
      </w:r>
      <w:proofErr w:type="spellEnd"/>
      <w:r w:rsidRPr="00580BE4">
        <w:rPr>
          <w:rFonts w:ascii="Times New Roman" w:hAnsi="Times New Roman" w:cs="Times New Roman"/>
          <w:color w:val="000000" w:themeColor="text1"/>
          <w:sz w:val="28"/>
          <w:szCs w:val="28"/>
          <w:lang w:val="ru-RU"/>
        </w:rPr>
        <w:t xml:space="preserve">), внося существенный вклад в оптимизацию кривой эффективного фронта </w:t>
      </w:r>
      <w:proofErr w:type="spellStart"/>
      <w:r w:rsidRPr="00580BE4">
        <w:rPr>
          <w:rFonts w:ascii="Times New Roman" w:hAnsi="Times New Roman" w:cs="Times New Roman"/>
          <w:color w:val="000000" w:themeColor="text1"/>
          <w:sz w:val="28"/>
          <w:szCs w:val="28"/>
          <w:lang w:val="ru-RU"/>
        </w:rPr>
        <w:t>Марковица</w:t>
      </w:r>
      <w:proofErr w:type="spellEnd"/>
      <w:r w:rsidRPr="00580BE4">
        <w:rPr>
          <w:rFonts w:ascii="Times New Roman" w:hAnsi="Times New Roman" w:cs="Times New Roman"/>
          <w:color w:val="000000" w:themeColor="text1"/>
          <w:sz w:val="28"/>
          <w:szCs w:val="28"/>
          <w:lang w:val="ru-RU"/>
        </w:rPr>
        <w:t xml:space="preserve"> для всего ОПИФ РФИ «ВИМ-Металлургия».</w:t>
      </w:r>
    </w:p>
    <w:p w14:paraId="52E3EC50" w14:textId="760A59EA"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Практическая имплементация предложенных мер приведет к ярко выраженному синергетическому эффекту. Замещение части </w:t>
      </w:r>
      <w:proofErr w:type="spellStart"/>
      <w:r w:rsidRPr="002C229C">
        <w:rPr>
          <w:rFonts w:ascii="Times New Roman" w:hAnsi="Times New Roman" w:cs="Times New Roman"/>
          <w:color w:val="000000" w:themeColor="text1"/>
          <w:sz w:val="28"/>
          <w:szCs w:val="28"/>
          <w:lang w:val="ru-RU"/>
        </w:rPr>
        <w:t>высоковолатильных</w:t>
      </w:r>
      <w:proofErr w:type="spellEnd"/>
      <w:r w:rsidRPr="002C229C">
        <w:rPr>
          <w:rFonts w:ascii="Times New Roman" w:hAnsi="Times New Roman" w:cs="Times New Roman"/>
          <w:color w:val="000000" w:themeColor="text1"/>
          <w:sz w:val="28"/>
          <w:szCs w:val="28"/>
          <w:lang w:val="ru-RU"/>
        </w:rPr>
        <w:t xml:space="preserve"> металлургических активов стабильными бумагами химической промышленности, морской логистики и энергетики позволит кардинально уменьшить амплитуду колебаний стоимости пая. В результате такой тактической и стратегической ребалансировки ожидается существенный рост риск-скорректированной доходности, что выведет анализируемый фонд на принципиально новый уровень качества корпоративного управления инвестициями.</w:t>
      </w:r>
    </w:p>
    <w:p w14:paraId="0CED98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Современная теория портфельного инвестирования базируется на строгом математическом моделировании оптимального соотношения ожидаемой доходности и совокупного риска. Главная концептуальная задача управляющего портфелем в рамках данной теории заключается в поиске эффективного фронта </w:t>
      </w:r>
      <w:proofErr w:type="spellStart"/>
      <w:r w:rsidRPr="002C229C">
        <w:rPr>
          <w:rFonts w:ascii="Times New Roman" w:hAnsi="Times New Roman" w:cs="Times New Roman"/>
          <w:color w:val="000000" w:themeColor="text1"/>
          <w:sz w:val="28"/>
          <w:szCs w:val="28"/>
          <w:lang w:val="ru-RU"/>
        </w:rPr>
        <w:t>Марковица</w:t>
      </w:r>
      <w:proofErr w:type="spellEnd"/>
      <w:r w:rsidRPr="002C229C">
        <w:rPr>
          <w:rFonts w:ascii="Times New Roman" w:hAnsi="Times New Roman" w:cs="Times New Roman"/>
          <w:color w:val="000000" w:themeColor="text1"/>
          <w:sz w:val="28"/>
          <w:szCs w:val="28"/>
          <w:lang w:val="ru-RU"/>
        </w:rPr>
        <w:t xml:space="preserve"> — геометрического места точек в многомерном пространстве параметров, которые соответствуют портфелям, </w:t>
      </w:r>
      <w:r w:rsidRPr="002C229C">
        <w:rPr>
          <w:rFonts w:ascii="Times New Roman" w:hAnsi="Times New Roman" w:cs="Times New Roman"/>
          <w:color w:val="000000" w:themeColor="text1"/>
          <w:sz w:val="28"/>
          <w:szCs w:val="28"/>
          <w:lang w:val="ru-RU"/>
        </w:rPr>
        <w:lastRenderedPageBreak/>
        <w:t>обеспечивающим абсолютный максимум ожидаемой доходности при жестко заданном уровне риска, либо абсолютный минимум риска при целевой требуемой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[20, с. 15]</w:t>
      </w:r>
      <w:r w:rsidRPr="002C229C">
        <w:rPr>
          <w:rFonts w:ascii="Times New Roman" w:hAnsi="Times New Roman" w:cs="Times New Roman"/>
          <w:color w:val="000000" w:themeColor="text1"/>
          <w:sz w:val="28"/>
          <w:szCs w:val="28"/>
          <w:lang w:val="ru-RU"/>
        </w:rPr>
        <w:t>.</w:t>
      </w:r>
    </w:p>
    <w:p w14:paraId="1206CFA3" w14:textId="7E88FB76"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 математической точки зрения ожидаемая доходность инвестиционного портфеля вычисляется как линейная комбинация — средневзвешенная величина математических ожиданий доходностей всех входящих в него финансовых инструментов. Данная зависимость формализуется следующим уравнением</w:t>
      </w:r>
      <w:r w:rsidR="00B67275">
        <w:rPr>
          <w:rFonts w:ascii="Times New Roman" w:hAnsi="Times New Roman" w:cs="Times New Roman"/>
          <w:color w:val="000000" w:themeColor="text1"/>
          <w:sz w:val="28"/>
          <w:szCs w:val="28"/>
          <w:lang w:val="ru-RU"/>
        </w:rPr>
        <w:t xml:space="preserve"> (</w:t>
      </w:r>
      <w:r w:rsidR="00020A98">
        <w:rPr>
          <w:rFonts w:ascii="Times New Roman" w:hAnsi="Times New Roman" w:cs="Times New Roman"/>
          <w:color w:val="000000" w:themeColor="text1"/>
          <w:sz w:val="28"/>
          <w:szCs w:val="28"/>
          <w:lang w:val="ru-RU"/>
        </w:rPr>
        <w:t>2</w:t>
      </w:r>
      <w:r w:rsidR="00580BE4">
        <w:rPr>
          <w:rFonts w:ascii="Times New Roman" w:hAnsi="Times New Roman" w:cs="Times New Roman"/>
          <w:color w:val="000000" w:themeColor="text1"/>
          <w:sz w:val="28"/>
          <w:szCs w:val="28"/>
          <w:lang w:val="ru-RU"/>
        </w:rPr>
        <w:t>7</w:t>
      </w:r>
      <w:r w:rsidR="00B67275">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2A5848D4" w14:textId="6593F6CA" w:rsidR="002C229C" w:rsidRPr="00564EEC" w:rsidRDefault="00564EEC" w:rsidP="00564EEC">
      <w:pPr>
        <w:spacing w:line="360" w:lineRule="auto"/>
        <w:ind w:firstLine="709"/>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en-US"/>
          </w:rPr>
          <m:t>E</m:t>
        </m:r>
        <m:d>
          <m:dPr>
            <m:ctrlPr>
              <w:rPr>
                <w:rFonts w:ascii="Cambria Math" w:hAnsi="Cambria Math" w:cs="Times New Roman"/>
                <w:i/>
                <w:color w:val="000000" w:themeColor="text1"/>
                <w:sz w:val="28"/>
                <w:szCs w:val="28"/>
                <w:lang w:val="en-US"/>
              </w:rPr>
            </m:ctrlPr>
          </m:dPr>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p</m:t>
                </m:r>
              </m:sub>
            </m:sSub>
          </m:e>
        </m:d>
        <m:r>
          <w:rPr>
            <w:rFonts w:ascii="Cambria Math" w:hAnsi="Cambria Math" w:cs="Times New Roman"/>
            <w:color w:val="000000" w:themeColor="text1"/>
            <w:sz w:val="28"/>
            <w:szCs w:val="28"/>
            <w:lang w:val="ru-RU"/>
          </w:rPr>
          <m:t xml:space="preserve">= </m:t>
        </m:r>
        <m:nary>
          <m:naryPr>
            <m:chr m:val="∑"/>
            <m:ctrlPr>
              <w:rPr>
                <w:rFonts w:ascii="Cambria Math" w:hAnsi="Cambria Math" w:cs="Times New Roman"/>
                <w:i/>
                <w:color w:val="000000" w:themeColor="text1"/>
                <w:sz w:val="28"/>
                <w:szCs w:val="28"/>
                <w:lang w:val="en-US"/>
              </w:rPr>
            </m:ctrlPr>
          </m:naryPr>
          <m:sub>
            <m:d>
              <m:dPr>
                <m:begChr m:val="{"/>
                <m:endChr m:val="}"/>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w:rPr>
                    <w:rFonts w:ascii="Cambria Math" w:hAnsi="Cambria Math" w:cs="Times New Roman"/>
                    <w:color w:val="000000" w:themeColor="text1"/>
                    <w:sz w:val="28"/>
                    <w:szCs w:val="28"/>
                    <w:lang w:val="ru-RU"/>
                  </w:rPr>
                  <m:t>=1</m:t>
                </m:r>
              </m:e>
            </m:d>
          </m:sub>
          <m:sup>
            <m:r>
              <w:rPr>
                <w:rFonts w:ascii="Cambria Math" w:hAnsi="Cambria Math" w:cs="Times New Roman"/>
                <w:color w:val="000000" w:themeColor="text1"/>
                <w:sz w:val="28"/>
                <w:szCs w:val="28"/>
                <w:lang w:val="en-US"/>
              </w:rPr>
              <m:t>n</m:t>
            </m:r>
          </m:sup>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w</m:t>
                </m: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lang w:val="en-US"/>
              </w:rPr>
              <m:t>E</m:t>
            </m:r>
            <m:d>
              <m:dPr>
                <m:ctrlPr>
                  <w:rPr>
                    <w:rFonts w:ascii="Cambria Math" w:hAnsi="Cambria Math" w:cs="Times New Roman"/>
                    <w:i/>
                    <w:color w:val="000000" w:themeColor="text1"/>
                    <w:sz w:val="28"/>
                    <w:szCs w:val="28"/>
                    <w:lang w:val="en-US"/>
                  </w:rPr>
                </m:ctrlPr>
              </m:dPr>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i</m:t>
                    </m:r>
                  </m:sub>
                </m:sSub>
              </m:e>
            </m:d>
          </m:e>
        </m:nary>
      </m:oMath>
      <w:r>
        <w:rPr>
          <w:rFonts w:ascii="Times New Roman" w:hAnsi="Times New Roman" w:cs="Times New Roman"/>
          <w:color w:val="000000" w:themeColor="text1"/>
          <w:sz w:val="28"/>
          <w:szCs w:val="28"/>
          <w:lang w:val="ru-RU"/>
        </w:rPr>
        <w:t xml:space="preserve">      </w:t>
      </w:r>
      <w:proofErr w:type="gramStart"/>
      <w:r w:rsidR="00580BE4">
        <w:rPr>
          <w:rFonts w:ascii="Times New Roman" w:hAnsi="Times New Roman" w:cs="Times New Roman"/>
          <w:color w:val="000000" w:themeColor="text1"/>
          <w:sz w:val="28"/>
          <w:szCs w:val="28"/>
          <w:lang w:val="ru-RU"/>
        </w:rPr>
        <w:t>,</w:t>
      </w:r>
      <w:r>
        <w:rPr>
          <w:rFonts w:ascii="Times New Roman" w:hAnsi="Times New Roman" w:cs="Times New Roman"/>
          <w:color w:val="000000" w:themeColor="text1"/>
          <w:sz w:val="28"/>
          <w:szCs w:val="28"/>
          <w:lang w:val="ru-RU"/>
        </w:rPr>
        <w:t xml:space="preserve">   </w:t>
      </w:r>
      <w:proofErr w:type="gramEnd"/>
      <w:r>
        <w:rPr>
          <w:rFonts w:ascii="Times New Roman" w:hAnsi="Times New Roman" w:cs="Times New Roman"/>
          <w:color w:val="000000" w:themeColor="text1"/>
          <w:sz w:val="28"/>
          <w:szCs w:val="28"/>
          <w:lang w:val="ru-RU"/>
        </w:rPr>
        <w:t xml:space="preserve">                                                              </w:t>
      </w:r>
      <w:proofErr w:type="gramStart"/>
      <w:r>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w:t>
      </w:r>
      <w:proofErr w:type="gramEnd"/>
      <w:r w:rsidR="00020A98">
        <w:rPr>
          <w:rFonts w:ascii="Times New Roman" w:hAnsi="Times New Roman" w:cs="Times New Roman"/>
          <w:color w:val="000000" w:themeColor="text1"/>
          <w:sz w:val="28"/>
          <w:szCs w:val="28"/>
          <w:lang w:val="ru-RU"/>
        </w:rPr>
        <w:t>2</w:t>
      </w:r>
      <w:r w:rsidR="00580BE4">
        <w:rPr>
          <w:rFonts w:ascii="Times New Roman" w:hAnsi="Times New Roman" w:cs="Times New Roman"/>
          <w:color w:val="000000" w:themeColor="text1"/>
          <w:sz w:val="28"/>
          <w:szCs w:val="28"/>
          <w:lang w:val="ru-RU"/>
        </w:rPr>
        <w:t>7</w:t>
      </w:r>
      <w:r w:rsidR="00B67275">
        <w:rPr>
          <w:rFonts w:ascii="Times New Roman" w:hAnsi="Times New Roman" w:cs="Times New Roman"/>
          <w:color w:val="000000" w:themeColor="text1"/>
          <w:sz w:val="28"/>
          <w:szCs w:val="28"/>
          <w:lang w:val="ru-RU"/>
        </w:rPr>
        <w:t>)</w:t>
      </w:r>
    </w:p>
    <w:p w14:paraId="17EEB1BA"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3B24F5B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инвестиционного портфеля;</w:t>
      </w:r>
    </w:p>
    <w:p w14:paraId="13F2B8A9" w14:textId="39F6342D"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i</m:t>
            </m:r>
          </m:sub>
        </m:sSub>
      </m:oMath>
      <w:r w:rsidR="002C229C" w:rsidRPr="00B67275">
        <w:rPr>
          <w:rFonts w:ascii="Times New Roman" w:hAnsi="Times New Roman" w:cs="Times New Roman"/>
          <w:color w:val="000000" w:themeColor="text1"/>
          <w:sz w:val="28"/>
          <w:szCs w:val="28"/>
          <w:lang w:val="ru-RU"/>
        </w:rPr>
        <w:t xml:space="preserve"> — удельный вес i</w:t>
      </w:r>
      <w:r w:rsidR="00BA0E02" w:rsidRPr="00BA0E02">
        <w:rPr>
          <w:rFonts w:ascii="Times New Roman" w:hAnsi="Times New Roman" w:cs="Times New Roman"/>
          <w:color w:val="000000" w:themeColor="text1"/>
          <w:sz w:val="28"/>
          <w:szCs w:val="28"/>
          <w:lang w:val="ru-RU"/>
        </w:rPr>
        <w:t>-</w:t>
      </w:r>
      <w:r w:rsidR="002C229C" w:rsidRPr="00B67275">
        <w:rPr>
          <w:rFonts w:ascii="Times New Roman" w:hAnsi="Times New Roman" w:cs="Times New Roman"/>
          <w:color w:val="000000" w:themeColor="text1"/>
          <w:sz w:val="28"/>
          <w:szCs w:val="28"/>
          <w:lang w:val="ru-RU"/>
        </w:rPr>
        <w:t>го актива в структуре портфеля;</w:t>
      </w:r>
    </w:p>
    <w:p w14:paraId="61A2DCB2" w14:textId="6B52BC2B"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i</m:t>
                </m:r>
              </m:sub>
            </m:sSub>
          </m:e>
        </m:d>
      </m:oMath>
      <w:r w:rsidRPr="00B67275">
        <w:rPr>
          <w:rFonts w:ascii="Times New Roman" w:hAnsi="Times New Roman" w:cs="Times New Roman"/>
          <w:color w:val="000000" w:themeColor="text1"/>
          <w:sz w:val="28"/>
          <w:szCs w:val="28"/>
          <w:lang w:val="ru-RU"/>
        </w:rPr>
        <w:t xml:space="preserve"> — ожидаемая (прогнозируемая) доходность i-го актива;</w:t>
      </w:r>
    </w:p>
    <w:p w14:paraId="3FF9866F"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n</m:t>
        </m:r>
      </m:oMath>
      <w:r w:rsidRPr="00B67275">
        <w:rPr>
          <w:rFonts w:ascii="Times New Roman" w:hAnsi="Times New Roman" w:cs="Times New Roman"/>
          <w:color w:val="000000" w:themeColor="text1"/>
          <w:sz w:val="28"/>
          <w:szCs w:val="28"/>
          <w:lang w:val="ru-RU"/>
        </w:rPr>
        <w:t xml:space="preserve"> — общее количество активов в портфеле.</w:t>
      </w:r>
    </w:p>
    <w:p w14:paraId="62A72E22" w14:textId="77777777" w:rsidR="0094314F"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Однако фундаментальным прорывом классической портфельной теории является строгое математическое доказательство того, что совокупный риск портфеля не равен простой средневзвешенной величине индивидуальных рисков составляющих его активов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156]</w:t>
      </w:r>
      <w:r w:rsidRPr="00B67275">
        <w:rPr>
          <w:rFonts w:ascii="Times New Roman" w:hAnsi="Times New Roman" w:cs="Times New Roman"/>
          <w:color w:val="000000" w:themeColor="text1"/>
          <w:sz w:val="28"/>
          <w:szCs w:val="28"/>
          <w:lang w:val="ru-RU"/>
        </w:rPr>
        <w:t xml:space="preserve">. </w:t>
      </w:r>
    </w:p>
    <w:p w14:paraId="42A1B813" w14:textId="6C14B7FC"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Риск инвестиционного портфеля, </w:t>
      </w:r>
      <w:proofErr w:type="spellStart"/>
      <w:r w:rsidRPr="00B67275">
        <w:rPr>
          <w:rFonts w:ascii="Times New Roman" w:hAnsi="Times New Roman" w:cs="Times New Roman"/>
          <w:color w:val="000000" w:themeColor="text1"/>
          <w:sz w:val="28"/>
          <w:szCs w:val="28"/>
          <w:lang w:val="ru-RU"/>
        </w:rPr>
        <w:t>квантифицируемый</w:t>
      </w:r>
      <w:proofErr w:type="spellEnd"/>
      <w:r w:rsidRPr="00B67275">
        <w:rPr>
          <w:rFonts w:ascii="Times New Roman" w:hAnsi="Times New Roman" w:cs="Times New Roman"/>
          <w:color w:val="000000" w:themeColor="text1"/>
          <w:sz w:val="28"/>
          <w:szCs w:val="28"/>
          <w:lang w:val="ru-RU"/>
        </w:rPr>
        <w:t xml:space="preserve"> как дисперсия (</w:t>
      </w: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 xml:space="preserve">) </m:t>
        </m:r>
      </m:oMath>
      <w:r w:rsidRPr="00B67275">
        <w:rPr>
          <w:rFonts w:ascii="Times New Roman" w:hAnsi="Times New Roman" w:cs="Times New Roman"/>
          <w:color w:val="000000" w:themeColor="text1"/>
          <w:sz w:val="28"/>
          <w:szCs w:val="28"/>
          <w:lang w:val="ru-RU"/>
        </w:rPr>
        <w:t>или стандартное отклонение (</w:t>
      </w:r>
      <m:oMath>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en-US"/>
              </w:rPr>
              <m:t>p</m:t>
            </m:r>
          </m:sub>
        </m:sSub>
      </m:oMath>
      <w:r w:rsidRPr="00B67275">
        <w:rPr>
          <w:rFonts w:ascii="Times New Roman" w:hAnsi="Times New Roman" w:cs="Times New Roman"/>
          <w:color w:val="000000" w:themeColor="text1"/>
          <w:sz w:val="28"/>
          <w:szCs w:val="28"/>
          <w:lang w:val="ru-RU"/>
        </w:rPr>
        <w:t>), всецело и нелинейно зависит от степени статистической взаимосвязи между доходностями активов. Математически дисперсия портфеля выражается развернутой формулой</w:t>
      </w:r>
      <w:r w:rsidR="00B67275" w:rsidRPr="00B67275">
        <w:rPr>
          <w:rFonts w:ascii="Times New Roman" w:hAnsi="Times New Roman" w:cs="Times New Roman"/>
          <w:color w:val="000000" w:themeColor="text1"/>
          <w:sz w:val="28"/>
          <w:szCs w:val="28"/>
          <w:lang w:val="ru-RU"/>
        </w:rPr>
        <w:t xml:space="preserve"> (</w:t>
      </w:r>
      <w:r w:rsidR="00020A98">
        <w:rPr>
          <w:rFonts w:ascii="Times New Roman" w:hAnsi="Times New Roman" w:cs="Times New Roman"/>
          <w:color w:val="000000" w:themeColor="text1"/>
          <w:sz w:val="28"/>
          <w:szCs w:val="28"/>
          <w:lang w:val="ru-RU"/>
        </w:rPr>
        <w:t>2</w:t>
      </w:r>
      <w:r w:rsidR="00580BE4">
        <w:rPr>
          <w:rFonts w:ascii="Times New Roman" w:hAnsi="Times New Roman" w:cs="Times New Roman"/>
          <w:color w:val="000000" w:themeColor="text1"/>
          <w:sz w:val="28"/>
          <w:szCs w:val="28"/>
          <w:lang w:val="ru-RU"/>
        </w:rPr>
        <w:t>8</w:t>
      </w:r>
      <w:r w:rsidR="00B67275" w:rsidRPr="00B67275">
        <w:rPr>
          <w:rFonts w:ascii="Times New Roman" w:hAnsi="Times New Roman" w:cs="Times New Roman"/>
          <w:color w:val="000000" w:themeColor="text1"/>
          <w:sz w:val="28"/>
          <w:szCs w:val="28"/>
          <w:lang w:val="ru-RU"/>
        </w:rPr>
        <w:t>)</w:t>
      </w:r>
      <w:r w:rsidRPr="00B67275">
        <w:rPr>
          <w:rFonts w:ascii="Times New Roman" w:hAnsi="Times New Roman" w:cs="Times New Roman"/>
          <w:color w:val="000000" w:themeColor="text1"/>
          <w:sz w:val="28"/>
          <w:szCs w:val="28"/>
          <w:lang w:val="ru-RU"/>
        </w:rPr>
        <w:t>:</w:t>
      </w:r>
    </w:p>
    <w:p w14:paraId="511F960E" w14:textId="6F2C0D96" w:rsidR="002C229C" w:rsidRPr="00564EEC" w:rsidRDefault="00000000" w:rsidP="002C229C">
      <w:pPr>
        <w:spacing w:line="360" w:lineRule="auto"/>
        <w:ind w:firstLine="709"/>
        <w:rPr>
          <w:rFonts w:ascii="Times New Roman" w:hAnsi="Times New Roman" w:cs="Times New Roman"/>
          <w:color w:val="000000" w:themeColor="text1"/>
          <w:sz w:val="28"/>
          <w:szCs w:val="28"/>
          <w:lang w:val="ru-RU"/>
        </w:rPr>
      </w:pP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m:t>
        </m:r>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i</m:t>
            </m:r>
            <m:r>
              <w:rPr>
                <w:rFonts w:ascii="Cambria Math" w:hAnsi="Cambria Math" w:cs="Times New Roman"/>
                <w:color w:val="000000" w:themeColor="text1"/>
                <w:sz w:val="28"/>
                <w:szCs w:val="28"/>
                <w:lang w:val="ru-RU"/>
              </w:rPr>
              <m:t>=1</m:t>
            </m:r>
          </m:sub>
          <m:sup>
            <m:r>
              <w:rPr>
                <w:rFonts w:ascii="Cambria Math" w:hAnsi="Cambria Math" w:cs="Times New Roman"/>
                <w:color w:val="000000" w:themeColor="text1"/>
                <w:sz w:val="28"/>
                <w:szCs w:val="28"/>
              </w:rPr>
              <m:t>n</m:t>
            </m:r>
          </m:sup>
          <m:e>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lang w:val="ru-RU"/>
                  </w:rPr>
                  <m:t>2</m:t>
                </m:r>
              </m:sup>
            </m:sSubSup>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lang w:val="ru-RU"/>
                  </w:rPr>
                  <m:t>2</m:t>
                </m:r>
              </m:sup>
            </m:sSubSup>
          </m:e>
        </m:nary>
        <m:r>
          <w:rPr>
            <w:rFonts w:ascii="Cambria Math" w:hAnsi="Cambria Math" w:cs="Times New Roman"/>
            <w:color w:val="000000" w:themeColor="text1"/>
            <w:sz w:val="28"/>
            <w:szCs w:val="28"/>
            <w:lang w:val="ru-RU"/>
          </w:rPr>
          <m:t>+</m:t>
        </m:r>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i</m:t>
            </m:r>
            <m:r>
              <w:rPr>
                <w:rFonts w:ascii="Cambria Math" w:hAnsi="Cambria Math" w:cs="Times New Roman"/>
                <w:color w:val="000000" w:themeColor="text1"/>
                <w:sz w:val="28"/>
                <w:szCs w:val="28"/>
                <w:lang w:val="ru-RU"/>
              </w:rPr>
              <m:t>=1</m:t>
            </m:r>
          </m:sub>
          <m:sup>
            <m:r>
              <w:rPr>
                <w:rFonts w:ascii="Cambria Math" w:hAnsi="Cambria Math" w:cs="Times New Roman"/>
                <w:color w:val="000000" w:themeColor="text1"/>
                <w:sz w:val="28"/>
                <w:szCs w:val="28"/>
              </w:rPr>
              <m:t>n</m:t>
            </m:r>
          </m:sup>
          <m:e>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j</m:t>
                </m:r>
                <m:r>
                  <w:rPr>
                    <w:rFonts w:ascii="Cambria Math" w:hAnsi="Cambria Math" w:cs="Times New Roman"/>
                    <w:color w:val="000000" w:themeColor="text1"/>
                    <w:sz w:val="28"/>
                    <w:szCs w:val="28"/>
                    <w:lang w:val="ru-RU"/>
                  </w:rPr>
                  <m:t xml:space="preserve">=1, </m:t>
                </m:r>
                <m:r>
                  <w:rPr>
                    <w:rFonts w:ascii="Cambria Math" w:hAnsi="Cambria Math" w:cs="Times New Roman"/>
                    <w:color w:val="000000" w:themeColor="text1"/>
                    <w:sz w:val="28"/>
                    <w:szCs w:val="28"/>
                  </w:rPr>
                  <m:t>j</m:t>
                </m:r>
                <m:r>
                  <w:rPr>
                    <w:rFonts w:ascii="Cambria Math" w:hAnsi="Cambria Math" w:cs="Times New Roman"/>
                    <w:color w:val="000000" w:themeColor="text1"/>
                    <w:sz w:val="28"/>
                    <w:szCs w:val="28"/>
                    <w:lang w:val="ru-RU"/>
                  </w:rPr>
                  <m:t xml:space="preserve"> ≠</m:t>
                </m:r>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rPr>
                  <m:t>n</m:t>
                </m:r>
              </m:sup>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rPr>
                      <m:t>w</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r>
                      <w:rPr>
                        <w:rFonts w:ascii="Cambria Math" w:hAnsi="Cambria Math" w:cs="Times New Roman"/>
                        <w:color w:val="000000" w:themeColor="text1"/>
                        <w:sz w:val="28"/>
                        <w:szCs w:val="28"/>
                      </w:rPr>
                      <m:t>ij</m:t>
                    </m:r>
                  </m:sub>
                </m:sSub>
              </m:e>
            </m:nary>
          </m:e>
        </m:nary>
        <m:r>
          <w:rPr>
            <w:rFonts w:ascii="Cambria Math" w:hAnsi="Cambria Math" w:cs="Times New Roman"/>
            <w:color w:val="000000" w:themeColor="text1"/>
            <w:sz w:val="28"/>
            <w:szCs w:val="28"/>
            <w:lang w:val="ru-RU"/>
          </w:rPr>
          <m:t xml:space="preserve">  </m:t>
        </m:r>
      </m:oMath>
      <w:proofErr w:type="gramStart"/>
      <w:r w:rsidR="00580BE4">
        <w:rPr>
          <w:rFonts w:ascii="Times New Roman" w:hAnsi="Times New Roman" w:cs="Times New Roman"/>
          <w:color w:val="000000" w:themeColor="text1"/>
          <w:sz w:val="28"/>
          <w:szCs w:val="28"/>
          <w:lang w:val="ru-RU"/>
        </w:rPr>
        <w:t>,</w:t>
      </w:r>
      <w:r w:rsidR="00564EEC">
        <w:rPr>
          <w:rFonts w:ascii="Times New Roman" w:hAnsi="Times New Roman" w:cs="Times New Roman"/>
          <w:color w:val="000000" w:themeColor="text1"/>
          <w:sz w:val="28"/>
          <w:szCs w:val="28"/>
          <w:lang w:val="ru-RU"/>
        </w:rPr>
        <w:t xml:space="preserve">   </w:t>
      </w:r>
      <w:proofErr w:type="gramEnd"/>
      <w:r w:rsidR="00564EEC">
        <w:rPr>
          <w:rFonts w:ascii="Times New Roman" w:hAnsi="Times New Roman" w:cs="Times New Roman"/>
          <w:color w:val="000000" w:themeColor="text1"/>
          <w:sz w:val="28"/>
          <w:szCs w:val="28"/>
          <w:lang w:val="ru-RU"/>
        </w:rPr>
        <w:t xml:space="preserve">                                 </w:t>
      </w:r>
      <w:proofErr w:type="gramStart"/>
      <w:r w:rsidR="00564EEC">
        <w:rPr>
          <w:rFonts w:ascii="Times New Roman" w:hAnsi="Times New Roman" w:cs="Times New Roman"/>
          <w:color w:val="000000" w:themeColor="text1"/>
          <w:sz w:val="28"/>
          <w:szCs w:val="28"/>
          <w:lang w:val="ru-RU"/>
        </w:rPr>
        <w:t xml:space="preserve">   </w:t>
      </w:r>
      <w:r w:rsidR="00B67275" w:rsidRPr="00564EEC">
        <w:rPr>
          <w:rFonts w:ascii="Times New Roman" w:hAnsi="Times New Roman" w:cs="Times New Roman"/>
          <w:color w:val="000000" w:themeColor="text1"/>
          <w:sz w:val="28"/>
          <w:szCs w:val="28"/>
          <w:lang w:val="ru-RU"/>
        </w:rPr>
        <w:t>(</w:t>
      </w:r>
      <w:proofErr w:type="gramEnd"/>
      <w:r w:rsidR="00020A98">
        <w:rPr>
          <w:rFonts w:ascii="Times New Roman" w:hAnsi="Times New Roman" w:cs="Times New Roman"/>
          <w:color w:val="000000" w:themeColor="text1"/>
          <w:sz w:val="28"/>
          <w:szCs w:val="28"/>
          <w:lang w:val="ru-RU"/>
        </w:rPr>
        <w:t>2</w:t>
      </w:r>
      <w:r w:rsidR="00580BE4">
        <w:rPr>
          <w:rFonts w:ascii="Times New Roman" w:hAnsi="Times New Roman" w:cs="Times New Roman"/>
          <w:color w:val="000000" w:themeColor="text1"/>
          <w:sz w:val="28"/>
          <w:szCs w:val="28"/>
          <w:lang w:val="ru-RU"/>
        </w:rPr>
        <w:t>8</w:t>
      </w:r>
      <w:r w:rsidR="00B67275" w:rsidRPr="00564EEC">
        <w:rPr>
          <w:rFonts w:ascii="Times New Roman" w:hAnsi="Times New Roman" w:cs="Times New Roman"/>
          <w:color w:val="000000" w:themeColor="text1"/>
          <w:sz w:val="28"/>
          <w:szCs w:val="28"/>
          <w:lang w:val="ru-RU"/>
        </w:rPr>
        <w:t>)</w:t>
      </w:r>
    </w:p>
    <w:p w14:paraId="43CC792B"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1651378C"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дисперсия доходности инвестиционного портфеля;</w:t>
      </w:r>
    </w:p>
    <w:p w14:paraId="44CCAFEE"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w:t>
      </w:r>
      <w:proofErr w:type="spellStart"/>
      <w:r w:rsidR="00B67275">
        <w:rPr>
          <w:rFonts w:ascii="Times New Roman" w:hAnsi="Times New Roman" w:cs="Times New Roman"/>
          <w:color w:val="000000" w:themeColor="text1"/>
          <w:sz w:val="28"/>
          <w:szCs w:val="28"/>
          <w:lang w:val="ru-RU"/>
        </w:rPr>
        <w:t>исперсия</w:t>
      </w:r>
      <w:proofErr w:type="spellEnd"/>
      <w:r w:rsidR="00B67275">
        <w:rPr>
          <w:rFonts w:ascii="Times New Roman" w:hAnsi="Times New Roman" w:cs="Times New Roman"/>
          <w:color w:val="000000" w:themeColor="text1"/>
          <w:sz w:val="28"/>
          <w:szCs w:val="28"/>
          <w:lang w:val="ru-RU"/>
        </w:rPr>
        <w:t xml:space="preserve"> доходности отдельного i</w:t>
      </w:r>
      <w:r w:rsidR="002C229C" w:rsidRPr="00B67275">
        <w:rPr>
          <w:rFonts w:ascii="Times New Roman" w:hAnsi="Times New Roman" w:cs="Times New Roman"/>
          <w:color w:val="000000" w:themeColor="text1"/>
          <w:sz w:val="28"/>
          <w:szCs w:val="28"/>
          <w:lang w:val="ru-RU"/>
        </w:rPr>
        <w:t>-го актива;</w:t>
      </w:r>
    </w:p>
    <w:p w14:paraId="7B860E88"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Sub>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j</m:t>
            </m:r>
          </m:sub>
        </m:sSub>
      </m:oMath>
      <w:r w:rsidR="002C229C" w:rsidRPr="00B67275">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 стандартные отклонения i-го и j</w:t>
      </w:r>
      <w:r w:rsidR="002C229C" w:rsidRPr="00B67275">
        <w:rPr>
          <w:rFonts w:ascii="Times New Roman" w:hAnsi="Times New Roman" w:cs="Times New Roman"/>
          <w:color w:val="000000" w:themeColor="text1"/>
          <w:sz w:val="28"/>
          <w:szCs w:val="28"/>
          <w:lang w:val="ru-RU"/>
        </w:rPr>
        <w:t>-го активов;</w:t>
      </w:r>
    </w:p>
    <w:p w14:paraId="60E865C6"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oMath>
      <w:r w:rsidR="002C229C" w:rsidRPr="00B67275">
        <w:rPr>
          <w:rFonts w:ascii="Times New Roman" w:hAnsi="Times New Roman" w:cs="Times New Roman"/>
          <w:color w:val="000000" w:themeColor="text1"/>
          <w:sz w:val="28"/>
          <w:szCs w:val="28"/>
          <w:lang w:val="ru-RU"/>
        </w:rPr>
        <w:t xml:space="preserve"> — коэффициент корреляции Пирсона между доходностями активов</w:t>
      </w:r>
      <m:oMath>
        <m:r>
          <w:rPr>
            <w:rFonts w:ascii="Cambria Math" w:hAnsi="Times New Roman" w:cs="Times New Roman"/>
            <w:color w:val="000000" w:themeColor="text1"/>
            <w:sz w:val="28"/>
            <w:szCs w:val="28"/>
            <w:lang w:val="ru-RU"/>
          </w:rPr>
          <m:t xml:space="preserve"> </m:t>
        </m:r>
        <m:r>
          <w:rPr>
            <w:rFonts w:ascii="Cambria Math" w:hAnsi="Cambria Math" w:cs="Times New Roman"/>
            <w:color w:val="000000" w:themeColor="text1"/>
            <w:sz w:val="28"/>
            <w:szCs w:val="28"/>
            <w:lang w:val="ru-RU"/>
          </w:rPr>
          <m:t>i</m:t>
        </m:r>
      </m:oMath>
      <w:r w:rsidR="002C229C" w:rsidRPr="00B67275">
        <w:rPr>
          <w:rFonts w:ascii="Times New Roman" w:hAnsi="Times New Roman" w:cs="Times New Roman"/>
          <w:color w:val="000000" w:themeColor="text1"/>
          <w:sz w:val="28"/>
          <w:szCs w:val="28"/>
          <w:lang w:val="ru-RU"/>
        </w:rPr>
        <w:t xml:space="preserve"> и </w:t>
      </w:r>
      <m:oMath>
        <m:r>
          <w:rPr>
            <w:rFonts w:ascii="Cambria Math" w:hAnsi="Cambria Math" w:cs="Times New Roman"/>
            <w:color w:val="000000" w:themeColor="text1"/>
            <w:sz w:val="28"/>
            <w:szCs w:val="28"/>
            <w:lang w:val="ru-RU"/>
          </w:rPr>
          <m:t>j</m:t>
        </m:r>
      </m:oMath>
      <w:r w:rsidR="002C229C" w:rsidRPr="00B67275">
        <w:rPr>
          <w:rFonts w:ascii="Times New Roman" w:hAnsi="Times New Roman" w:cs="Times New Roman"/>
          <w:color w:val="000000" w:themeColor="text1"/>
          <w:sz w:val="28"/>
          <w:szCs w:val="28"/>
          <w:lang w:val="ru-RU"/>
        </w:rPr>
        <w:t>.</w:t>
      </w:r>
    </w:p>
    <w:p w14:paraId="4E954C3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Второе слагаемое данного уравнения, представляющее собой сумму ковариаций всех пар активов, играет критическую роль в процессе оптимизации. В исходном состоянии инвестиционный портфель ОПИФ РФИ «ВИМ-Металлургия» является жестко концентрированным. С точки зрения математической статистики это означает, что значения коэффициента корреляции </w:t>
      </w:r>
      <m:oMath>
        <m:d>
          <m:dPr>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r</m:t>
            </m:r>
            <m:r>
              <w:rPr>
                <w:rFonts w:ascii="Times New Roman" w:hAnsi="Times New Roman" w:cs="Times New Roman"/>
                <w:color w:val="000000" w:themeColor="text1"/>
                <w:sz w:val="28"/>
                <w:szCs w:val="28"/>
                <w:lang w:val="ru-RU"/>
              </w:rPr>
              <m:t>h</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o</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e>
        </m:d>
      </m:oMath>
      <w:r w:rsidRPr="00B67275">
        <w:rPr>
          <w:rFonts w:ascii="Times New Roman" w:hAnsi="Times New Roman" w:cs="Times New Roman"/>
          <w:color w:val="000000" w:themeColor="text1"/>
          <w:sz w:val="28"/>
          <w:szCs w:val="28"/>
          <w:lang w:val="ru-RU"/>
        </w:rPr>
        <w:t>между активами фонда асимптотически стремятся к единице, поскольку предприятия одной узкой отрасли синхронно реагируют на фазы единого макроэкономического цикла. При значениях корреляции, близких к единице, эффект снижения риска за счет распределения капитала полностью обнуляется, а общая волатильность портфеля остается избыточно высокой, делая инвестиции неоправданно рискованными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[24, с. 781]</w:t>
      </w:r>
      <w:r w:rsidRPr="00B67275">
        <w:rPr>
          <w:rFonts w:ascii="Times New Roman" w:hAnsi="Times New Roman" w:cs="Times New Roman"/>
          <w:color w:val="000000" w:themeColor="text1"/>
          <w:sz w:val="28"/>
          <w:szCs w:val="28"/>
          <w:lang w:val="ru-RU"/>
        </w:rPr>
        <w:t>.</w:t>
      </w:r>
    </w:p>
    <w:p w14:paraId="50991040"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Глубинный экономический и математический смысл предложенной в данной главе ребалансировки заключается в целенаправленном внедрении в портфель активов, обладающих математически доказанной слабой, нулевой или отрицательной корреляцией с базовым ядром черной и цветной металлургии. Введение акций золотодобывающего сегмента и производителей минеральных удобрений радикально трансформирует ковариационную матрицу портфеля. Поскольку рынки драгоценных металлов и агрохимии зависят от автономных глобальных циклов, коэффициент корреляции между новыми активами и металлургическими гигантами существенно снижается. Согласно приведенному выше уравнению дисперсии, снижение корреляционной зависимости ведет к резкому и масштабному уменьшению второго слагаемого. Это позволяет нелинейно</w:t>
      </w:r>
      <w:r w:rsidRPr="002C229C">
        <w:rPr>
          <w:rFonts w:ascii="Times New Roman" w:hAnsi="Times New Roman" w:cs="Times New Roman"/>
          <w:color w:val="000000" w:themeColor="text1"/>
          <w:sz w:val="28"/>
          <w:szCs w:val="28"/>
          <w:lang w:val="ru-RU"/>
        </w:rPr>
        <w:t xml:space="preserve"> </w:t>
      </w:r>
      <w:r w:rsidRPr="00B67275">
        <w:rPr>
          <w:rFonts w:ascii="Times New Roman" w:hAnsi="Times New Roman" w:cs="Times New Roman"/>
          <w:color w:val="000000" w:themeColor="text1"/>
          <w:sz w:val="28"/>
          <w:szCs w:val="28"/>
          <w:lang w:val="ru-RU"/>
        </w:rPr>
        <w:t xml:space="preserve">снизить общее стандартное </w:t>
      </w:r>
      <w:r w:rsidRPr="00B67275">
        <w:rPr>
          <w:rFonts w:ascii="Times New Roman" w:hAnsi="Times New Roman" w:cs="Times New Roman"/>
          <w:color w:val="000000" w:themeColor="text1"/>
          <w:sz w:val="28"/>
          <w:szCs w:val="28"/>
          <w:lang w:val="ru-RU"/>
        </w:rPr>
        <w:lastRenderedPageBreak/>
        <w:t>отклонение портфеля, нивелируя значительную долю несистематического риска без потери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115]</w:t>
      </w:r>
      <w:r w:rsidRPr="00B67275">
        <w:rPr>
          <w:rFonts w:ascii="Times New Roman" w:hAnsi="Times New Roman" w:cs="Times New Roman"/>
          <w:color w:val="000000" w:themeColor="text1"/>
          <w:sz w:val="28"/>
          <w:szCs w:val="28"/>
          <w:lang w:val="ru-RU"/>
        </w:rPr>
        <w:t>.</w:t>
      </w:r>
    </w:p>
    <w:p w14:paraId="1B114B48"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Моделирование итоговых результатов ребалансировки базируется на алгоритме перераспределения удельных весов. В оптимизированной модели вес высокорисковых и </w:t>
      </w:r>
      <w:proofErr w:type="spellStart"/>
      <w:r w:rsidRPr="00B67275">
        <w:rPr>
          <w:rFonts w:ascii="Times New Roman" w:hAnsi="Times New Roman" w:cs="Times New Roman"/>
          <w:color w:val="000000" w:themeColor="text1"/>
          <w:sz w:val="28"/>
          <w:szCs w:val="28"/>
          <w:lang w:val="ru-RU"/>
        </w:rPr>
        <w:t>закредитованных</w:t>
      </w:r>
      <w:proofErr w:type="spellEnd"/>
      <w:r w:rsidRPr="00B67275">
        <w:rPr>
          <w:rFonts w:ascii="Times New Roman" w:hAnsi="Times New Roman" w:cs="Times New Roman"/>
          <w:color w:val="000000" w:themeColor="text1"/>
          <w:sz w:val="28"/>
          <w:szCs w:val="28"/>
          <w:lang w:val="ru-RU"/>
        </w:rPr>
        <w:t xml:space="preserve"> аутсайдеров директивно снижается. Высвобожденный капитал </w:t>
      </w:r>
      <w:proofErr w:type="spellStart"/>
      <w:r w:rsidRPr="00B67275">
        <w:rPr>
          <w:rFonts w:ascii="Times New Roman" w:hAnsi="Times New Roman" w:cs="Times New Roman"/>
          <w:color w:val="000000" w:themeColor="text1"/>
          <w:sz w:val="28"/>
          <w:szCs w:val="28"/>
          <w:lang w:val="ru-RU"/>
        </w:rPr>
        <w:t>аллоцируется</w:t>
      </w:r>
      <w:proofErr w:type="spellEnd"/>
      <w:r w:rsidRPr="00B67275">
        <w:rPr>
          <w:rFonts w:ascii="Times New Roman" w:hAnsi="Times New Roman" w:cs="Times New Roman"/>
          <w:color w:val="000000" w:themeColor="text1"/>
          <w:sz w:val="28"/>
          <w:szCs w:val="28"/>
          <w:lang w:val="ru-RU"/>
        </w:rPr>
        <w:t xml:space="preserve"> в бумаги фундаментально сильных эмитентов. Поскольку эти компании характеризуются высокой рентабельностью и стабильной генерацией свободного денежного потока, математическое ожидание их доходности стабильно превосходит показатели исключаемых корпораций. Таким образом, в уравнении ожидаемой доходности портфеля происходит математическое замещение неэффективных элементов на высокодоходные, что сохраняет или увеличивает совокупную доходность всей системы.</w:t>
      </w:r>
    </w:p>
    <w:p w14:paraId="0181CF71" w14:textId="5F1C8ABD"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Итоговым интегральным индикатором, безоговорочно и математически доказывающим эффективность предложенной структурной ребалансировки, выступает коэффициент Шарпа, оценивающий премию за риск на единицу совокупной волатильности</w:t>
      </w:r>
      <w:r w:rsidR="00020A98">
        <w:rPr>
          <w:rFonts w:ascii="Times New Roman" w:hAnsi="Times New Roman" w:cs="Times New Roman"/>
          <w:color w:val="000000" w:themeColor="text1"/>
          <w:sz w:val="28"/>
          <w:szCs w:val="28"/>
          <w:lang w:val="ru-RU"/>
        </w:rPr>
        <w:t xml:space="preserve"> (2</w:t>
      </w:r>
      <w:r w:rsidR="00580BE4">
        <w:rPr>
          <w:rFonts w:ascii="Times New Roman" w:hAnsi="Times New Roman" w:cs="Times New Roman"/>
          <w:color w:val="000000" w:themeColor="text1"/>
          <w:sz w:val="28"/>
          <w:szCs w:val="28"/>
          <w:lang w:val="ru-RU"/>
        </w:rPr>
        <w:t>9</w:t>
      </w:r>
      <w:r w:rsidR="00020A98">
        <w:rPr>
          <w:rFonts w:ascii="Times New Roman" w:hAnsi="Times New Roman" w:cs="Times New Roman"/>
          <w:color w:val="000000" w:themeColor="text1"/>
          <w:sz w:val="28"/>
          <w:szCs w:val="28"/>
          <w:lang w:val="ru-RU"/>
        </w:rPr>
        <w:t>)</w:t>
      </w:r>
      <w:r w:rsidRPr="00B67275">
        <w:rPr>
          <w:rFonts w:ascii="Times New Roman" w:hAnsi="Times New Roman" w:cs="Times New Roman"/>
          <w:color w:val="000000" w:themeColor="text1"/>
          <w:sz w:val="28"/>
          <w:szCs w:val="28"/>
          <w:lang w:val="ru-RU"/>
        </w:rPr>
        <w:t>:</w:t>
      </w:r>
    </w:p>
    <w:p w14:paraId="6BFFE40F" w14:textId="111F5E88" w:rsidR="002C229C" w:rsidRPr="00B67275" w:rsidRDefault="00B67275" w:rsidP="00B67275">
      <w:pPr>
        <w:spacing w:line="360" w:lineRule="auto"/>
        <w:ind w:firstLine="709"/>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r>
          <w:rPr>
            <w:rFonts w:ascii="Cambria Math" w:hAnsi="Times New Roman" w:cs="Times New Roman"/>
            <w:color w:val="000000" w:themeColor="text1"/>
            <w:sz w:val="28"/>
            <w:szCs w:val="28"/>
            <w:lang w:val="ru-RU"/>
          </w:rPr>
          <m:t>= \</m:t>
        </m:r>
        <m:r>
          <w:rPr>
            <w:rFonts w:ascii="Cambria Math" w:hAnsi="Cambria Math" w:cs="Times New Roman"/>
            <w:color w:val="000000" w:themeColor="text1"/>
            <w:sz w:val="28"/>
            <w:szCs w:val="28"/>
            <w:lang w:val="ru-RU"/>
          </w:rPr>
          <m:t>frac</m:t>
        </m:r>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r>
              <w:rPr>
                <w:rFonts w:ascii="Times New Roman" w:hAnsi="Times New Roman" w:cs="Times New Roman"/>
                <w:color w:val="000000" w:themeColor="text1"/>
                <w:sz w:val="28"/>
                <w:szCs w:val="28"/>
                <w:lang w:val="ru-RU"/>
              </w:rPr>
              <m:t>-</m:t>
            </m:r>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e>
        </m:d>
        <m:d>
          <m:dPr>
            <m:begChr m:val="{"/>
            <m:endChr m:val="}"/>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e>
        </m:d>
      </m:oMath>
      <w:proofErr w:type="gramStart"/>
      <w:r>
        <w:rPr>
          <w:rFonts w:ascii="Times New Roman" w:hAnsi="Times New Roman" w:cs="Times New Roman"/>
          <w:color w:val="000000" w:themeColor="text1"/>
          <w:sz w:val="28"/>
          <w:szCs w:val="28"/>
          <w:lang w:val="ru-RU"/>
        </w:rPr>
        <w:t xml:space="preserve">,   </w:t>
      </w:r>
      <w:proofErr w:type="gramEnd"/>
      <w:r>
        <w:rPr>
          <w:rFonts w:ascii="Times New Roman" w:hAnsi="Times New Roman" w:cs="Times New Roman"/>
          <w:color w:val="000000" w:themeColor="text1"/>
          <w:sz w:val="28"/>
          <w:szCs w:val="28"/>
          <w:lang w:val="ru-RU"/>
        </w:rPr>
        <w:t xml:space="preserve">                       </w:t>
      </w:r>
      <w:proofErr w:type="gramStart"/>
      <w:r>
        <w:rPr>
          <w:rFonts w:ascii="Times New Roman" w:hAnsi="Times New Roman" w:cs="Times New Roman"/>
          <w:color w:val="000000" w:themeColor="text1"/>
          <w:sz w:val="28"/>
          <w:szCs w:val="28"/>
          <w:lang w:val="ru-RU"/>
        </w:rPr>
        <w:t xml:space="preserve">   (</w:t>
      </w:r>
      <w:proofErr w:type="gramEnd"/>
      <w:r w:rsidR="00020A98">
        <w:rPr>
          <w:rFonts w:ascii="Times New Roman" w:hAnsi="Times New Roman" w:cs="Times New Roman"/>
          <w:color w:val="000000" w:themeColor="text1"/>
          <w:sz w:val="28"/>
          <w:szCs w:val="28"/>
          <w:lang w:val="ru-RU"/>
        </w:rPr>
        <w:t>2</w:t>
      </w:r>
      <w:r w:rsidR="004C64C2">
        <w:rPr>
          <w:rFonts w:ascii="Times New Roman" w:hAnsi="Times New Roman" w:cs="Times New Roman"/>
          <w:color w:val="000000" w:themeColor="text1"/>
          <w:sz w:val="28"/>
          <w:szCs w:val="28"/>
          <w:lang w:val="ru-RU"/>
        </w:rPr>
        <w:t>9</w:t>
      </w:r>
      <w:r>
        <w:rPr>
          <w:rFonts w:ascii="Times New Roman" w:hAnsi="Times New Roman" w:cs="Times New Roman"/>
          <w:color w:val="000000" w:themeColor="text1"/>
          <w:sz w:val="28"/>
          <w:szCs w:val="28"/>
          <w:lang w:val="ru-RU"/>
        </w:rPr>
        <w:t>)</w:t>
      </w:r>
    </w:p>
    <w:p w14:paraId="52DD14A0"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066D2934"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oMath>
      <w:r w:rsidR="002C229C" w:rsidRPr="00B67275">
        <w:rPr>
          <w:rFonts w:ascii="Times New Roman" w:hAnsi="Times New Roman" w:cs="Times New Roman"/>
          <w:color w:val="000000" w:themeColor="text1"/>
          <w:sz w:val="28"/>
          <w:szCs w:val="28"/>
          <w:lang w:val="ru-RU"/>
        </w:rPr>
        <w:t xml:space="preserve"> — коэффициент Шарпа;</w:t>
      </w:r>
    </w:p>
    <w:p w14:paraId="24D252A9"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портфеля;</w:t>
      </w:r>
    </w:p>
    <w:p w14:paraId="33B9DBA9"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oMath>
      <w:r w:rsidR="002C229C" w:rsidRPr="00B67275">
        <w:rPr>
          <w:rFonts w:ascii="Times New Roman" w:hAnsi="Times New Roman" w:cs="Times New Roman"/>
          <w:color w:val="000000" w:themeColor="text1"/>
          <w:sz w:val="28"/>
          <w:szCs w:val="28"/>
          <w:lang w:val="ru-RU"/>
        </w:rPr>
        <w:t xml:space="preserve"> — доходность безрискового актива;</w:t>
      </w:r>
    </w:p>
    <w:p w14:paraId="7C2CBA0F" w14:textId="77777777" w:rsidR="002C229C" w:rsidRPr="00B67275" w:rsidRDefault="00000000"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oMath>
      <w:r w:rsidR="002C229C" w:rsidRPr="00B67275">
        <w:rPr>
          <w:rFonts w:ascii="Times New Roman" w:hAnsi="Times New Roman" w:cs="Times New Roman"/>
          <w:color w:val="000000" w:themeColor="text1"/>
          <w:sz w:val="28"/>
          <w:szCs w:val="28"/>
          <w:lang w:val="ru-RU"/>
        </w:rPr>
        <w:t xml:space="preserve"> — стандартное отклонение портфеля.</w:t>
      </w:r>
    </w:p>
    <w:p w14:paraId="7D526CCC"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 xml:space="preserve">Глубинный экономический смысл предложенной структурной ребалансировки заключается во внедрении активов, обладающих доказанной </w:t>
      </w:r>
      <w:r w:rsidRPr="0000516F">
        <w:rPr>
          <w:rFonts w:ascii="Times New Roman" w:hAnsi="Times New Roman" w:cs="Times New Roman"/>
          <w:color w:val="000000" w:themeColor="text1"/>
          <w:sz w:val="28"/>
          <w:szCs w:val="28"/>
          <w:lang w:val="ru-RU"/>
        </w:rPr>
        <w:lastRenderedPageBreak/>
        <w:t>слабой корреляцией с базовым ядром черной металлургии. В Таблице 3 представлена расчетная матрица корреляций для предложенных активов.</w:t>
      </w:r>
    </w:p>
    <w:p w14:paraId="6855A6E7" w14:textId="77777777" w:rsidR="00020A98" w:rsidRPr="0000516F" w:rsidRDefault="00020A98" w:rsidP="004C64C2">
      <w:pPr>
        <w:spacing w:line="360" w:lineRule="auto"/>
        <w:jc w:val="both"/>
        <w:rPr>
          <w:rFonts w:ascii="Times New Roman" w:hAnsi="Times New Roman" w:cs="Times New Roman"/>
          <w:color w:val="000000" w:themeColor="text1"/>
          <w:sz w:val="28"/>
          <w:szCs w:val="28"/>
          <w:lang w:val="ru-RU"/>
        </w:rPr>
      </w:pPr>
    </w:p>
    <w:p w14:paraId="5E24C5EB" w14:textId="02C834C0" w:rsidR="0000516F" w:rsidRPr="0000516F" w:rsidRDefault="0000516F" w:rsidP="0000516F">
      <w:pPr>
        <w:spacing w:line="24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 xml:space="preserve">Таблица </w:t>
      </w:r>
      <w:r w:rsidR="00020A98">
        <w:rPr>
          <w:rFonts w:ascii="Times New Roman" w:hAnsi="Times New Roman" w:cs="Times New Roman"/>
          <w:color w:val="000000" w:themeColor="text1"/>
          <w:sz w:val="28"/>
          <w:szCs w:val="28"/>
          <w:lang w:val="ru-RU"/>
        </w:rPr>
        <w:t>5</w:t>
      </w:r>
      <w:r w:rsidRPr="0000516F">
        <w:rPr>
          <w:rFonts w:ascii="Times New Roman" w:hAnsi="Times New Roman" w:cs="Times New Roman"/>
          <w:color w:val="000000" w:themeColor="text1"/>
          <w:sz w:val="28"/>
          <w:szCs w:val="28"/>
          <w:lang w:val="ru-RU"/>
        </w:rPr>
        <w:t xml:space="preserve"> – Матрица коэффициентов корреляции активов оптимизированного портфеля</w:t>
      </w:r>
    </w:p>
    <w:tbl>
      <w:tblPr>
        <w:tblStyle w:val="af"/>
        <w:tblW w:w="0" w:type="auto"/>
        <w:tblLook w:val="04A0" w:firstRow="1" w:lastRow="0" w:firstColumn="1" w:lastColumn="0" w:noHBand="0" w:noVBand="1"/>
      </w:tblPr>
      <w:tblGrid>
        <w:gridCol w:w="1581"/>
        <w:gridCol w:w="1689"/>
        <w:gridCol w:w="1306"/>
        <w:gridCol w:w="1544"/>
        <w:gridCol w:w="1272"/>
        <w:gridCol w:w="1958"/>
      </w:tblGrid>
      <w:tr w:rsidR="0000516F" w:rsidRPr="0000516F" w14:paraId="0AD8E2E3" w14:textId="77777777" w:rsidTr="0000516F">
        <w:tc>
          <w:tcPr>
            <w:tcW w:w="0" w:type="auto"/>
            <w:vAlign w:val="center"/>
            <w:hideMark/>
          </w:tcPr>
          <w:p w14:paraId="43C9B34B"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Активы</w:t>
            </w:r>
          </w:p>
        </w:tc>
        <w:tc>
          <w:tcPr>
            <w:tcW w:w="0" w:type="auto"/>
            <w:hideMark/>
          </w:tcPr>
          <w:p w14:paraId="2BF025CE"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Металлурги (база)</w:t>
            </w:r>
          </w:p>
        </w:tc>
        <w:tc>
          <w:tcPr>
            <w:tcW w:w="0" w:type="auto"/>
            <w:hideMark/>
          </w:tcPr>
          <w:p w14:paraId="36E7165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«Полюс»</w:t>
            </w:r>
          </w:p>
        </w:tc>
        <w:tc>
          <w:tcPr>
            <w:tcW w:w="0" w:type="auto"/>
            <w:hideMark/>
          </w:tcPr>
          <w:p w14:paraId="5A5104E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«ФосАгро»</w:t>
            </w:r>
          </w:p>
        </w:tc>
        <w:tc>
          <w:tcPr>
            <w:tcW w:w="0" w:type="auto"/>
            <w:hideMark/>
          </w:tcPr>
          <w:p w14:paraId="713546E9"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«Интер РАО»</w:t>
            </w:r>
          </w:p>
        </w:tc>
        <w:tc>
          <w:tcPr>
            <w:tcW w:w="0" w:type="auto"/>
            <w:hideMark/>
          </w:tcPr>
          <w:p w14:paraId="23EE5FA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«Совкомфлот»</w:t>
            </w:r>
          </w:p>
        </w:tc>
      </w:tr>
      <w:tr w:rsidR="0000516F" w:rsidRPr="0000516F" w14:paraId="0B838617" w14:textId="77777777" w:rsidTr="0000516F">
        <w:tc>
          <w:tcPr>
            <w:tcW w:w="0" w:type="auto"/>
            <w:vAlign w:val="center"/>
            <w:hideMark/>
          </w:tcPr>
          <w:p w14:paraId="3D84E80B"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Металлурги (база)</w:t>
            </w:r>
          </w:p>
        </w:tc>
        <w:tc>
          <w:tcPr>
            <w:tcW w:w="0" w:type="auto"/>
            <w:vAlign w:val="center"/>
            <w:hideMark/>
          </w:tcPr>
          <w:p w14:paraId="2EC6D613"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1D0F55D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0,15</w:t>
            </w:r>
          </w:p>
        </w:tc>
        <w:tc>
          <w:tcPr>
            <w:tcW w:w="0" w:type="auto"/>
            <w:vAlign w:val="center"/>
            <w:hideMark/>
          </w:tcPr>
          <w:p w14:paraId="705D091F"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0,22</w:t>
            </w:r>
          </w:p>
        </w:tc>
        <w:tc>
          <w:tcPr>
            <w:tcW w:w="0" w:type="auto"/>
            <w:vAlign w:val="center"/>
            <w:hideMark/>
          </w:tcPr>
          <w:p w14:paraId="3C33D94E"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0,09</w:t>
            </w:r>
          </w:p>
        </w:tc>
        <w:tc>
          <w:tcPr>
            <w:tcW w:w="0" w:type="auto"/>
            <w:vAlign w:val="center"/>
            <w:hideMark/>
          </w:tcPr>
          <w:p w14:paraId="2C2466A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0,18</w:t>
            </w:r>
          </w:p>
        </w:tc>
      </w:tr>
      <w:tr w:rsidR="0000516F" w:rsidRPr="0000516F" w14:paraId="7273ABC8" w14:textId="77777777" w:rsidTr="0000516F">
        <w:tc>
          <w:tcPr>
            <w:tcW w:w="0" w:type="auto"/>
            <w:vAlign w:val="center"/>
            <w:hideMark/>
          </w:tcPr>
          <w:p w14:paraId="4FBBDD46"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ПАО «Полюс»</w:t>
            </w:r>
          </w:p>
        </w:tc>
        <w:tc>
          <w:tcPr>
            <w:tcW w:w="0" w:type="auto"/>
            <w:vAlign w:val="center"/>
            <w:hideMark/>
          </w:tcPr>
          <w:p w14:paraId="752493C1"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0,15</w:t>
            </w:r>
          </w:p>
        </w:tc>
        <w:tc>
          <w:tcPr>
            <w:tcW w:w="0" w:type="auto"/>
            <w:vAlign w:val="center"/>
            <w:hideMark/>
          </w:tcPr>
          <w:p w14:paraId="17453E57"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5675406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0,30</w:t>
            </w:r>
          </w:p>
        </w:tc>
        <w:tc>
          <w:tcPr>
            <w:tcW w:w="0" w:type="auto"/>
            <w:vAlign w:val="center"/>
            <w:hideMark/>
          </w:tcPr>
          <w:p w14:paraId="6B33D2F4"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0,05</w:t>
            </w:r>
          </w:p>
        </w:tc>
        <w:tc>
          <w:tcPr>
            <w:tcW w:w="0" w:type="auto"/>
            <w:vAlign w:val="center"/>
            <w:hideMark/>
          </w:tcPr>
          <w:p w14:paraId="3E30D54C"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0,11</w:t>
            </w:r>
          </w:p>
        </w:tc>
      </w:tr>
      <w:tr w:rsidR="0000516F" w:rsidRPr="0000516F" w14:paraId="40B7F1C4" w14:textId="77777777" w:rsidTr="0000516F">
        <w:tc>
          <w:tcPr>
            <w:tcW w:w="0" w:type="auto"/>
            <w:vAlign w:val="center"/>
            <w:hideMark/>
          </w:tcPr>
          <w:p w14:paraId="5A921C6E"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ПАО «ФосАгро»</w:t>
            </w:r>
          </w:p>
        </w:tc>
        <w:tc>
          <w:tcPr>
            <w:tcW w:w="0" w:type="auto"/>
            <w:vAlign w:val="center"/>
            <w:hideMark/>
          </w:tcPr>
          <w:p w14:paraId="32597CB5"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0,22</w:t>
            </w:r>
          </w:p>
        </w:tc>
        <w:tc>
          <w:tcPr>
            <w:tcW w:w="0" w:type="auto"/>
            <w:vAlign w:val="center"/>
            <w:hideMark/>
          </w:tcPr>
          <w:p w14:paraId="2E11EFF1"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0,30</w:t>
            </w:r>
          </w:p>
        </w:tc>
        <w:tc>
          <w:tcPr>
            <w:tcW w:w="0" w:type="auto"/>
            <w:vAlign w:val="center"/>
            <w:hideMark/>
          </w:tcPr>
          <w:p w14:paraId="012EAF45"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77069ED0"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0,12</w:t>
            </w:r>
          </w:p>
        </w:tc>
        <w:tc>
          <w:tcPr>
            <w:tcW w:w="0" w:type="auto"/>
            <w:vAlign w:val="center"/>
            <w:hideMark/>
          </w:tcPr>
          <w:p w14:paraId="54078CF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0,25</w:t>
            </w:r>
          </w:p>
        </w:tc>
      </w:tr>
    </w:tbl>
    <w:p w14:paraId="349B6887" w14:textId="38F67B32" w:rsidR="0000516F" w:rsidRPr="0000516F" w:rsidRDefault="0000516F" w:rsidP="0000516F">
      <w:pPr>
        <w:spacing w:line="360" w:lineRule="auto"/>
        <w:ind w:firstLine="709"/>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24</w:t>
      </w:r>
      <w:r w:rsidRPr="006C1187">
        <w:rPr>
          <w:rFonts w:ascii="Times New Roman" w:hAnsi="Times New Roman" w:cs="Times New Roman"/>
          <w:sz w:val="28"/>
          <w:szCs w:val="28"/>
          <w:lang w:val="ru-RU"/>
        </w:rPr>
        <w:t>].</w:t>
      </w:r>
    </w:p>
    <w:p w14:paraId="7ECFB49A"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6BC2C6B7" w14:textId="18B360F5"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 xml:space="preserve">Добавление золота и защитных секторов радикально снижает </w:t>
      </w:r>
      <w:proofErr w:type="spellStart"/>
      <w:r w:rsidRPr="0000516F">
        <w:rPr>
          <w:rFonts w:ascii="Times New Roman" w:hAnsi="Times New Roman" w:cs="Times New Roman"/>
          <w:color w:val="000000" w:themeColor="text1"/>
          <w:sz w:val="28"/>
          <w:szCs w:val="28"/>
          <w:lang w:val="ru-RU"/>
        </w:rPr>
        <w:t>внутрипортфельную</w:t>
      </w:r>
      <w:proofErr w:type="spellEnd"/>
      <w:r w:rsidRPr="0000516F">
        <w:rPr>
          <w:rFonts w:ascii="Times New Roman" w:hAnsi="Times New Roman" w:cs="Times New Roman"/>
          <w:color w:val="000000" w:themeColor="text1"/>
          <w:sz w:val="28"/>
          <w:szCs w:val="28"/>
          <w:lang w:val="ru-RU"/>
        </w:rPr>
        <w:t xml:space="preserve"> ковариацию. Коэффициенты корреляции стремятся к нулю (от 0,05 до 0,30), что ведет к резкому снижению общего риска портфеля по модели </w:t>
      </w:r>
      <w:proofErr w:type="spellStart"/>
      <w:r w:rsidRPr="0000516F">
        <w:rPr>
          <w:rFonts w:ascii="Times New Roman" w:hAnsi="Times New Roman" w:cs="Times New Roman"/>
          <w:color w:val="000000" w:themeColor="text1"/>
          <w:sz w:val="28"/>
          <w:szCs w:val="28"/>
          <w:lang w:val="ru-RU"/>
        </w:rPr>
        <w:t>Марковица</w:t>
      </w:r>
      <w:proofErr w:type="spellEnd"/>
      <w:r w:rsidRPr="0000516F">
        <w:rPr>
          <w:rFonts w:ascii="Times New Roman" w:hAnsi="Times New Roman" w:cs="Times New Roman"/>
          <w:color w:val="000000" w:themeColor="text1"/>
          <w:sz w:val="28"/>
          <w:szCs w:val="28"/>
          <w:lang w:val="ru-RU"/>
        </w:rPr>
        <w:t>.</w:t>
      </w:r>
    </w:p>
    <w:p w14:paraId="2A4E4481"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Для итоговой оценки результативности смоделируем параметры оптимизированного портфеля: мы исключили МКПАО «ЭН+ ГРУП» и перераспределили часть средств в новые активы. Сравнительная характеристика представлена в Таблице 4.</w:t>
      </w:r>
    </w:p>
    <w:p w14:paraId="6CE89B7B" w14:textId="77777777"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17A6E39B" w14:textId="08B70B74" w:rsidR="0000516F" w:rsidRDefault="0000516F" w:rsidP="0000516F">
      <w:pPr>
        <w:spacing w:line="24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 xml:space="preserve">Таблица </w:t>
      </w:r>
      <w:r w:rsidR="00020A98">
        <w:rPr>
          <w:rFonts w:ascii="Times New Roman" w:hAnsi="Times New Roman" w:cs="Times New Roman"/>
          <w:color w:val="000000" w:themeColor="text1"/>
          <w:sz w:val="28"/>
          <w:szCs w:val="28"/>
          <w:lang w:val="ru-RU"/>
        </w:rPr>
        <w:t>6</w:t>
      </w:r>
      <w:r w:rsidRPr="0000516F">
        <w:rPr>
          <w:rFonts w:ascii="Times New Roman" w:hAnsi="Times New Roman" w:cs="Times New Roman"/>
          <w:color w:val="000000" w:themeColor="text1"/>
          <w:sz w:val="28"/>
          <w:szCs w:val="28"/>
          <w:lang w:val="ru-RU"/>
        </w:rPr>
        <w:t xml:space="preserve"> – Сравнительная оценка качества существующего и потенциального портфелей</w:t>
      </w:r>
    </w:p>
    <w:p w14:paraId="2D3D1D0B" w14:textId="77777777" w:rsidR="0000516F" w:rsidRPr="0000516F" w:rsidRDefault="0000516F" w:rsidP="0000516F">
      <w:pPr>
        <w:spacing w:line="240" w:lineRule="auto"/>
        <w:ind w:firstLine="709"/>
        <w:jc w:val="both"/>
        <w:rPr>
          <w:rFonts w:ascii="Times New Roman" w:hAnsi="Times New Roman" w:cs="Times New Roman"/>
          <w:color w:val="000000" w:themeColor="text1"/>
          <w:sz w:val="28"/>
          <w:szCs w:val="28"/>
          <w:lang w:val="ru-RU"/>
        </w:rPr>
      </w:pPr>
    </w:p>
    <w:tbl>
      <w:tblPr>
        <w:tblStyle w:val="af"/>
        <w:tblW w:w="0" w:type="auto"/>
        <w:tblLook w:val="04A0" w:firstRow="1" w:lastRow="0" w:firstColumn="1" w:lastColumn="0" w:noHBand="0" w:noVBand="1"/>
      </w:tblPr>
      <w:tblGrid>
        <w:gridCol w:w="2571"/>
        <w:gridCol w:w="2277"/>
        <w:gridCol w:w="2734"/>
        <w:gridCol w:w="1768"/>
      </w:tblGrid>
      <w:tr w:rsidR="0000516F" w:rsidRPr="00020A98" w14:paraId="6EC47248" w14:textId="77777777" w:rsidTr="0000516F">
        <w:tc>
          <w:tcPr>
            <w:tcW w:w="0" w:type="auto"/>
            <w:hideMark/>
          </w:tcPr>
          <w:p w14:paraId="78766382" w14:textId="7777777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Показатель эффективности</w:t>
            </w:r>
          </w:p>
        </w:tc>
        <w:tc>
          <w:tcPr>
            <w:tcW w:w="0" w:type="auto"/>
            <w:hideMark/>
          </w:tcPr>
          <w:p w14:paraId="70D466E3" w14:textId="7777777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Существующий портфель (ПИФ)</w:t>
            </w:r>
          </w:p>
        </w:tc>
        <w:tc>
          <w:tcPr>
            <w:tcW w:w="0" w:type="auto"/>
            <w:hideMark/>
          </w:tcPr>
          <w:p w14:paraId="1F7C0BA0" w14:textId="7777777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Оптимизированный портфель (Проект)</w:t>
            </w:r>
          </w:p>
        </w:tc>
        <w:tc>
          <w:tcPr>
            <w:tcW w:w="0" w:type="auto"/>
            <w:hideMark/>
          </w:tcPr>
          <w:p w14:paraId="74D6C806" w14:textId="7777777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Абсолютное изменение</w:t>
            </w:r>
          </w:p>
        </w:tc>
      </w:tr>
      <w:tr w:rsidR="0000516F" w:rsidRPr="00020A98" w14:paraId="61B9482A" w14:textId="77777777" w:rsidTr="0000516F">
        <w:tc>
          <w:tcPr>
            <w:tcW w:w="0" w:type="auto"/>
            <w:hideMark/>
          </w:tcPr>
          <w:p w14:paraId="016127C6" w14:textId="75A1FF26"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Ожидаемая доходность (</w:t>
            </w:r>
            <m:oMath>
              <m:r>
                <w:rPr>
                  <w:rFonts w:ascii="Cambria Math" w:hAnsi="Cambria Math" w:cs="Times New Roman"/>
                  <w:color w:val="000000" w:themeColor="text1"/>
                  <w:sz w:val="24"/>
                  <w:szCs w:val="24"/>
                  <w:lang w:val="ru-RU"/>
                </w:rPr>
                <m:t>ER_p</m:t>
              </m:r>
            </m:oMath>
            <w:r w:rsidRPr="00020A98">
              <w:rPr>
                <w:rFonts w:ascii="Times New Roman" w:hAnsi="Times New Roman" w:cs="Times New Roman"/>
                <w:color w:val="000000" w:themeColor="text1"/>
                <w:sz w:val="24"/>
                <w:szCs w:val="24"/>
                <w:lang w:val="ru-RU"/>
              </w:rPr>
              <w:t>)</w:t>
            </w:r>
          </w:p>
        </w:tc>
        <w:tc>
          <w:tcPr>
            <w:tcW w:w="0" w:type="auto"/>
            <w:vAlign w:val="center"/>
            <w:hideMark/>
          </w:tcPr>
          <w:p w14:paraId="073F94E6"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13,5%</w:t>
            </w:r>
          </w:p>
        </w:tc>
        <w:tc>
          <w:tcPr>
            <w:tcW w:w="0" w:type="auto"/>
            <w:vAlign w:val="center"/>
            <w:hideMark/>
          </w:tcPr>
          <w:p w14:paraId="2D3FF75A"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22,1%</w:t>
            </w:r>
          </w:p>
        </w:tc>
        <w:tc>
          <w:tcPr>
            <w:tcW w:w="0" w:type="auto"/>
            <w:vAlign w:val="center"/>
            <w:hideMark/>
          </w:tcPr>
          <w:p w14:paraId="0A00F4BA"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 xml:space="preserve">+ 8,6 </w:t>
            </w:r>
            <w:proofErr w:type="spellStart"/>
            <w:r w:rsidRPr="00020A98">
              <w:rPr>
                <w:rFonts w:ascii="Times New Roman" w:hAnsi="Times New Roman" w:cs="Times New Roman"/>
                <w:color w:val="000000" w:themeColor="text1"/>
                <w:sz w:val="24"/>
                <w:szCs w:val="24"/>
                <w:lang w:val="ru-RU"/>
              </w:rPr>
              <w:t>п.п</w:t>
            </w:r>
            <w:proofErr w:type="spellEnd"/>
            <w:r w:rsidRPr="00020A98">
              <w:rPr>
                <w:rFonts w:ascii="Times New Roman" w:hAnsi="Times New Roman" w:cs="Times New Roman"/>
                <w:color w:val="000000" w:themeColor="text1"/>
                <w:sz w:val="24"/>
                <w:szCs w:val="24"/>
                <w:lang w:val="ru-RU"/>
              </w:rPr>
              <w:t>.</w:t>
            </w:r>
          </w:p>
        </w:tc>
      </w:tr>
      <w:tr w:rsidR="0000516F" w:rsidRPr="00020A98" w14:paraId="31559B57" w14:textId="77777777" w:rsidTr="0000516F">
        <w:tc>
          <w:tcPr>
            <w:tcW w:w="0" w:type="auto"/>
            <w:hideMark/>
          </w:tcPr>
          <w:p w14:paraId="1C126B7C" w14:textId="7EF1FEA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 xml:space="preserve">Совокупный риск (волатильность, </w:t>
            </w:r>
            <m:oMath>
              <m:r>
                <w:rPr>
                  <w:rFonts w:ascii="Cambria Math" w:hAnsi="Cambria Math" w:cs="Times New Roman"/>
                  <w:color w:val="000000" w:themeColor="text1"/>
                  <w:sz w:val="24"/>
                  <w:szCs w:val="24"/>
                  <w:lang w:val="ru-RU"/>
                </w:rPr>
                <m:t>\sigma_p</m:t>
              </m:r>
            </m:oMath>
            <w:r w:rsidRPr="00020A98">
              <w:rPr>
                <w:rFonts w:ascii="Times New Roman" w:hAnsi="Times New Roman" w:cs="Times New Roman"/>
                <w:color w:val="000000" w:themeColor="text1"/>
                <w:sz w:val="24"/>
                <w:szCs w:val="24"/>
                <w:lang w:val="ru-RU"/>
              </w:rPr>
              <w:t>)</w:t>
            </w:r>
          </w:p>
        </w:tc>
        <w:tc>
          <w:tcPr>
            <w:tcW w:w="0" w:type="auto"/>
            <w:vAlign w:val="center"/>
            <w:hideMark/>
          </w:tcPr>
          <w:p w14:paraId="09B2255A"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26,4%</w:t>
            </w:r>
          </w:p>
        </w:tc>
        <w:tc>
          <w:tcPr>
            <w:tcW w:w="0" w:type="auto"/>
            <w:vAlign w:val="center"/>
            <w:hideMark/>
          </w:tcPr>
          <w:p w14:paraId="124FB51B"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17,8%</w:t>
            </w:r>
          </w:p>
        </w:tc>
        <w:tc>
          <w:tcPr>
            <w:tcW w:w="0" w:type="auto"/>
            <w:vAlign w:val="center"/>
            <w:hideMark/>
          </w:tcPr>
          <w:p w14:paraId="16E38442"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 xml:space="preserve">- 8,6 </w:t>
            </w:r>
            <w:proofErr w:type="spellStart"/>
            <w:r w:rsidRPr="00020A98">
              <w:rPr>
                <w:rFonts w:ascii="Times New Roman" w:hAnsi="Times New Roman" w:cs="Times New Roman"/>
                <w:color w:val="000000" w:themeColor="text1"/>
                <w:sz w:val="24"/>
                <w:szCs w:val="24"/>
                <w:lang w:val="ru-RU"/>
              </w:rPr>
              <w:t>п.п</w:t>
            </w:r>
            <w:proofErr w:type="spellEnd"/>
            <w:r w:rsidRPr="00020A98">
              <w:rPr>
                <w:rFonts w:ascii="Times New Roman" w:hAnsi="Times New Roman" w:cs="Times New Roman"/>
                <w:color w:val="000000" w:themeColor="text1"/>
                <w:sz w:val="24"/>
                <w:szCs w:val="24"/>
                <w:lang w:val="ru-RU"/>
              </w:rPr>
              <w:t>.</w:t>
            </w:r>
          </w:p>
        </w:tc>
      </w:tr>
    </w:tbl>
    <w:p w14:paraId="7B7A2F7D" w14:textId="2825C799" w:rsidR="004C64C2" w:rsidRPr="004C64C2" w:rsidRDefault="004C64C2">
      <w:pPr>
        <w:rPr>
          <w:rFonts w:ascii="Times New Roman" w:hAnsi="Times New Roman" w:cs="Times New Roman"/>
          <w:color w:val="000000" w:themeColor="text1"/>
          <w:sz w:val="28"/>
          <w:szCs w:val="28"/>
          <w:lang w:val="ru-RU"/>
        </w:rPr>
      </w:pPr>
      <w:r w:rsidRPr="004C64C2">
        <w:rPr>
          <w:rFonts w:ascii="Times New Roman" w:hAnsi="Times New Roman" w:cs="Times New Roman"/>
          <w:color w:val="000000" w:themeColor="text1"/>
          <w:sz w:val="28"/>
          <w:szCs w:val="28"/>
          <w:lang w:val="ru-RU"/>
        </w:rPr>
        <w:lastRenderedPageBreak/>
        <w:t>Продолжение таблицы 6</w:t>
      </w:r>
    </w:p>
    <w:tbl>
      <w:tblPr>
        <w:tblStyle w:val="af"/>
        <w:tblW w:w="9351" w:type="dxa"/>
        <w:tblLook w:val="04A0" w:firstRow="1" w:lastRow="0" w:firstColumn="1" w:lastColumn="0" w:noHBand="0" w:noVBand="1"/>
      </w:tblPr>
      <w:tblGrid>
        <w:gridCol w:w="2547"/>
        <w:gridCol w:w="2268"/>
        <w:gridCol w:w="2693"/>
        <w:gridCol w:w="1843"/>
      </w:tblGrid>
      <w:tr w:rsidR="00020A98" w:rsidRPr="00020A98" w14:paraId="04E2D184" w14:textId="77777777" w:rsidTr="004C64C2">
        <w:tc>
          <w:tcPr>
            <w:tcW w:w="2547" w:type="dxa"/>
          </w:tcPr>
          <w:p w14:paraId="2924FAFC" w14:textId="10FCEE65" w:rsidR="00020A98" w:rsidRPr="00020A98" w:rsidRDefault="00020A98" w:rsidP="00020A98">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Безрисковая ставка (</w:t>
            </w:r>
            <m:oMath>
              <m:r>
                <w:rPr>
                  <w:rFonts w:ascii="Cambria Math" w:hAnsi="Cambria Math" w:cs="Times New Roman"/>
                  <w:color w:val="000000" w:themeColor="text1"/>
                  <w:sz w:val="24"/>
                  <w:szCs w:val="24"/>
                  <w:lang w:val="ru-RU"/>
                </w:rPr>
                <m:t>R_f</m:t>
              </m:r>
            </m:oMath>
            <w:r w:rsidRPr="0000516F">
              <w:rPr>
                <w:rFonts w:ascii="Times New Roman" w:hAnsi="Times New Roman" w:cs="Times New Roman"/>
                <w:color w:val="000000" w:themeColor="text1"/>
                <w:sz w:val="24"/>
                <w:szCs w:val="24"/>
                <w:lang w:val="ru-RU"/>
              </w:rPr>
              <w:t>)</w:t>
            </w:r>
          </w:p>
        </w:tc>
        <w:tc>
          <w:tcPr>
            <w:tcW w:w="2268" w:type="dxa"/>
            <w:vAlign w:val="center"/>
          </w:tcPr>
          <w:p w14:paraId="0ABD63ED" w14:textId="52524546"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15,0%</w:t>
            </w:r>
          </w:p>
        </w:tc>
        <w:tc>
          <w:tcPr>
            <w:tcW w:w="2693" w:type="dxa"/>
            <w:vAlign w:val="center"/>
          </w:tcPr>
          <w:p w14:paraId="1EAF2E6D" w14:textId="39386B31"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15,0%</w:t>
            </w:r>
          </w:p>
        </w:tc>
        <w:tc>
          <w:tcPr>
            <w:tcW w:w="1843" w:type="dxa"/>
            <w:vAlign w:val="center"/>
          </w:tcPr>
          <w:p w14:paraId="4194CF55" w14:textId="44750BB2"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w:t>
            </w:r>
          </w:p>
        </w:tc>
      </w:tr>
      <w:tr w:rsidR="00020A98" w:rsidRPr="00020A98" w14:paraId="36D324F7" w14:textId="77777777" w:rsidTr="004C64C2">
        <w:tc>
          <w:tcPr>
            <w:tcW w:w="2547" w:type="dxa"/>
          </w:tcPr>
          <w:p w14:paraId="2C0F029F" w14:textId="594E7DC9" w:rsidR="00020A98" w:rsidRPr="00020A98" w:rsidRDefault="00020A98" w:rsidP="00020A98">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Коэффициент Шарпа</w:t>
            </w:r>
          </w:p>
        </w:tc>
        <w:tc>
          <w:tcPr>
            <w:tcW w:w="2268" w:type="dxa"/>
            <w:vAlign w:val="center"/>
          </w:tcPr>
          <w:p w14:paraId="56E44B47" w14:textId="333C64DB"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- 0,057</w:t>
            </w:r>
          </w:p>
        </w:tc>
        <w:tc>
          <w:tcPr>
            <w:tcW w:w="2693" w:type="dxa"/>
            <w:vAlign w:val="center"/>
          </w:tcPr>
          <w:p w14:paraId="0F28C181" w14:textId="2EF6016C"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+ 0,399</w:t>
            </w:r>
          </w:p>
        </w:tc>
        <w:tc>
          <w:tcPr>
            <w:tcW w:w="1843" w:type="dxa"/>
            <w:vAlign w:val="center"/>
          </w:tcPr>
          <w:p w14:paraId="29943C1E" w14:textId="2EA15A3C"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Выход в прибыльную зону</w:t>
            </w:r>
          </w:p>
        </w:tc>
      </w:tr>
      <w:tr w:rsidR="00020A98" w:rsidRPr="00020A98" w14:paraId="7379E262" w14:textId="77777777" w:rsidTr="004C64C2">
        <w:tc>
          <w:tcPr>
            <w:tcW w:w="2547" w:type="dxa"/>
          </w:tcPr>
          <w:p w14:paraId="7C788CB1" w14:textId="7F0F8D01" w:rsidR="00020A98" w:rsidRPr="00020A98" w:rsidRDefault="00020A98" w:rsidP="00020A98">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Систематический риск (</w:t>
            </w:r>
            <m:oMath>
              <m:r>
                <w:rPr>
                  <w:rFonts w:ascii="Cambria Math" w:hAnsi="Cambria Math" w:cs="Times New Roman"/>
                  <w:color w:val="000000" w:themeColor="text1"/>
                  <w:sz w:val="24"/>
                  <w:szCs w:val="24"/>
                  <w:lang w:val="ru-RU"/>
                </w:rPr>
                <m:t>\beta</m:t>
              </m:r>
            </m:oMath>
            <w:r w:rsidRPr="0000516F">
              <w:rPr>
                <w:rFonts w:ascii="Times New Roman" w:hAnsi="Times New Roman" w:cs="Times New Roman"/>
                <w:color w:val="000000" w:themeColor="text1"/>
                <w:sz w:val="24"/>
                <w:szCs w:val="24"/>
                <w:lang w:val="ru-RU"/>
              </w:rPr>
              <w:t>)</w:t>
            </w:r>
          </w:p>
        </w:tc>
        <w:tc>
          <w:tcPr>
            <w:tcW w:w="2268" w:type="dxa"/>
            <w:vAlign w:val="center"/>
          </w:tcPr>
          <w:p w14:paraId="37BA6F2B" w14:textId="12A15E12"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1,05</w:t>
            </w:r>
          </w:p>
        </w:tc>
        <w:tc>
          <w:tcPr>
            <w:tcW w:w="2693" w:type="dxa"/>
            <w:vAlign w:val="center"/>
          </w:tcPr>
          <w:p w14:paraId="06478AAF" w14:textId="53A29202"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0,78</w:t>
            </w:r>
          </w:p>
        </w:tc>
        <w:tc>
          <w:tcPr>
            <w:tcW w:w="1843" w:type="dxa"/>
            <w:vAlign w:val="center"/>
          </w:tcPr>
          <w:p w14:paraId="01A008AF" w14:textId="1EC83CC8"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Снижение риска</w:t>
            </w:r>
          </w:p>
        </w:tc>
      </w:tr>
    </w:tbl>
    <w:p w14:paraId="2E0E75DE" w14:textId="4908259A" w:rsidR="004C64C2" w:rsidRPr="004C64C2" w:rsidRDefault="0000516F" w:rsidP="0000516F">
      <w:pPr>
        <w:spacing w:line="360" w:lineRule="auto"/>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Источник: составлено автором на основе [</w:t>
      </w:r>
      <w:r>
        <w:rPr>
          <w:rFonts w:ascii="Times New Roman" w:hAnsi="Times New Roman" w:cs="Times New Roman"/>
          <w:sz w:val="28"/>
          <w:szCs w:val="28"/>
          <w:lang w:val="ru-RU"/>
        </w:rPr>
        <w:t>13</w:t>
      </w:r>
      <w:r w:rsidRPr="006C1187">
        <w:rPr>
          <w:rFonts w:ascii="Times New Roman" w:hAnsi="Times New Roman" w:cs="Times New Roman"/>
          <w:sz w:val="28"/>
          <w:szCs w:val="28"/>
          <w:lang w:val="ru-RU"/>
        </w:rPr>
        <w:t>].</w:t>
      </w:r>
    </w:p>
    <w:p w14:paraId="4252B43C" w14:textId="77777777" w:rsidR="004C64C2" w:rsidRDefault="004C64C2" w:rsidP="0000516F">
      <w:pPr>
        <w:spacing w:line="360" w:lineRule="auto"/>
        <w:ind w:firstLine="709"/>
        <w:jc w:val="both"/>
        <w:rPr>
          <w:rFonts w:ascii="Times New Roman" w:hAnsi="Times New Roman" w:cs="Times New Roman"/>
          <w:color w:val="000000" w:themeColor="text1"/>
          <w:sz w:val="28"/>
          <w:szCs w:val="28"/>
          <w:lang w:val="ru-RU"/>
        </w:rPr>
      </w:pPr>
    </w:p>
    <w:p w14:paraId="50F4F878" w14:textId="58976035"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Практический вывод: Математическое моделирование строго доказывает состоятельность гипотезы. Оптимизированный портфель обладает метриками, многократно превышающими исторические показатели фонда: ожидаемая доходность возрастает с 13,5% до 22,1% за счет добавления высокомаржинальных активов, в то время как совокупный риск падает с 26,4% до 17,8% за счет эффекта диверсификации. Коэффициент Шарпа (0,399) означает, что обновленный портфель начинает генерировать реальную экономическую премию за риск для пайщиков, что подтверждает прикладной характер разработанных рекомендаций.</w:t>
      </w:r>
    </w:p>
    <w:p w14:paraId="7013A2D4"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 xml:space="preserve">Тем не менее, теоретическое обоснование новой структуры портфеля требует разработки практического алгоритма транзитного периода. Мгновенная ребалансировка активов объемом свыше 730 млн рублей сопряжена с существенными инфраструктурными рисками и транзакционными издержками, которые способны оказать негативное влияние на СЧА фонда в краткосрочной перспективе. </w:t>
      </w:r>
    </w:p>
    <w:p w14:paraId="3C5A8AFD"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Во-первых, управляющей компании необходимо учитывать фактор рыночного проскальзывания (</w:t>
      </w:r>
      <w:proofErr w:type="spellStart"/>
      <w:r w:rsidRPr="008B4AFE">
        <w:rPr>
          <w:rFonts w:ascii="Times New Roman" w:hAnsi="Times New Roman" w:cs="Times New Roman"/>
          <w:color w:val="000000" w:themeColor="text1"/>
          <w:sz w:val="28"/>
          <w:szCs w:val="28"/>
          <w:lang w:val="ru-RU"/>
        </w:rPr>
        <w:t>slippage</w:t>
      </w:r>
      <w:proofErr w:type="spellEnd"/>
      <w:r w:rsidRPr="008B4AFE">
        <w:rPr>
          <w:rFonts w:ascii="Times New Roman" w:hAnsi="Times New Roman" w:cs="Times New Roman"/>
          <w:color w:val="000000" w:themeColor="text1"/>
          <w:sz w:val="28"/>
          <w:szCs w:val="28"/>
          <w:lang w:val="ru-RU"/>
        </w:rPr>
        <w:t xml:space="preserve">) и ликвидности. Одномоментная продажа значительных пакетов акций МКПАО «ЭН+ ГРУП» или ПАО «ГМК «Норильский никель» способна оказать давление на стакан котировок, спровоцировав локальное снижение цены продажи. В связи с этим </w:t>
      </w:r>
      <w:r w:rsidRPr="008B4AFE">
        <w:rPr>
          <w:rFonts w:ascii="Times New Roman" w:hAnsi="Times New Roman" w:cs="Times New Roman"/>
          <w:color w:val="000000" w:themeColor="text1"/>
          <w:sz w:val="28"/>
          <w:szCs w:val="28"/>
          <w:lang w:val="ru-RU"/>
        </w:rPr>
        <w:lastRenderedPageBreak/>
        <w:t>рекомендуется применять алгоритмические стратегии исполнения заявок (например, TWAP — Time-</w:t>
      </w:r>
      <w:proofErr w:type="spellStart"/>
      <w:r w:rsidRPr="008B4AFE">
        <w:rPr>
          <w:rFonts w:ascii="Times New Roman" w:hAnsi="Times New Roman" w:cs="Times New Roman"/>
          <w:color w:val="000000" w:themeColor="text1"/>
          <w:sz w:val="28"/>
          <w:szCs w:val="28"/>
          <w:lang w:val="ru-RU"/>
        </w:rPr>
        <w:t>Weighted</w:t>
      </w:r>
      <w:proofErr w:type="spellEnd"/>
      <w:r w:rsidRPr="008B4AFE">
        <w:rPr>
          <w:rFonts w:ascii="Times New Roman" w:hAnsi="Times New Roman" w:cs="Times New Roman"/>
          <w:color w:val="000000" w:themeColor="text1"/>
          <w:sz w:val="28"/>
          <w:szCs w:val="28"/>
          <w:lang w:val="ru-RU"/>
        </w:rPr>
        <w:t xml:space="preserve"> </w:t>
      </w:r>
      <w:proofErr w:type="spellStart"/>
      <w:r w:rsidRPr="008B4AFE">
        <w:rPr>
          <w:rFonts w:ascii="Times New Roman" w:hAnsi="Times New Roman" w:cs="Times New Roman"/>
          <w:color w:val="000000" w:themeColor="text1"/>
          <w:sz w:val="28"/>
          <w:szCs w:val="28"/>
          <w:lang w:val="ru-RU"/>
        </w:rPr>
        <w:t>Average</w:t>
      </w:r>
      <w:proofErr w:type="spellEnd"/>
      <w:r w:rsidRPr="008B4AFE">
        <w:rPr>
          <w:rFonts w:ascii="Times New Roman" w:hAnsi="Times New Roman" w:cs="Times New Roman"/>
          <w:color w:val="000000" w:themeColor="text1"/>
          <w:sz w:val="28"/>
          <w:szCs w:val="28"/>
          <w:lang w:val="ru-RU"/>
        </w:rPr>
        <w:t xml:space="preserve"> Price), равномерно распределяя объемы реализации на горизонте 10–14 торговых сессий.</w:t>
      </w:r>
    </w:p>
    <w:p w14:paraId="7892DC01"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 xml:space="preserve">Во-вторых, важным аспектом выступает налоговый щит и брокерские комиссии. Любая реструктуризация требует уплаты инфраструктурных сборов клиринговому центру и бирже, что ложится бременем на финансовый результат фонда. Для минимизации данных потерь процесс замещения неэффективных активов на бумаги ПАО «ФосАгро», ПАО «Интер РАО», ПАО «Совкомфлот» и МКПАО «Яндекс» должен быть синхронизирован с периодами поступления дивидендных выплат от текущих холдингов (ПАО «Северсталь», ПАО «ММК»). Использование поступающего свободного денежного потока (Cash </w:t>
      </w:r>
      <w:proofErr w:type="spellStart"/>
      <w:r w:rsidRPr="008B4AFE">
        <w:rPr>
          <w:rFonts w:ascii="Times New Roman" w:hAnsi="Times New Roman" w:cs="Times New Roman"/>
          <w:color w:val="000000" w:themeColor="text1"/>
          <w:sz w:val="28"/>
          <w:szCs w:val="28"/>
          <w:lang w:val="ru-RU"/>
        </w:rPr>
        <w:t>Flow</w:t>
      </w:r>
      <w:proofErr w:type="spellEnd"/>
      <w:r w:rsidRPr="008B4AFE">
        <w:rPr>
          <w:rFonts w:ascii="Times New Roman" w:hAnsi="Times New Roman" w:cs="Times New Roman"/>
          <w:color w:val="000000" w:themeColor="text1"/>
          <w:sz w:val="28"/>
          <w:szCs w:val="28"/>
          <w:lang w:val="ru-RU"/>
        </w:rPr>
        <w:t>) для покупки новых бумаг избавит управляющего от необходимости ликвидировать текущие позиции с дисконтом.</w:t>
      </w:r>
    </w:p>
    <w:p w14:paraId="350F193C" w14:textId="4FEFD929"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Поэтапная интеграция предложенного математического алгоритма диверсификации позволит фонду не только преодолеть хроническое отставание от безрисковой ставки (которая зафиксирована на уровне 15,0%), но и трансформироваться в современный инвестиционный продукт, устойчивый к структурным шокам отечественной экономики.</w:t>
      </w:r>
    </w:p>
    <w:p w14:paraId="70F9E29C" w14:textId="77777777" w:rsidR="008B4AFE"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2816FEB6" w14:textId="77777777" w:rsidR="008B4AFE"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4BED92C3" w14:textId="77777777" w:rsidR="00793D47" w:rsidRPr="00B67275" w:rsidRDefault="00793D47" w:rsidP="00B67275">
      <w:pPr>
        <w:spacing w:line="360" w:lineRule="auto"/>
        <w:jc w:val="both"/>
        <w:rPr>
          <w:rFonts w:ascii="Times New Roman" w:hAnsi="Times New Roman" w:cs="Times New Roman"/>
          <w:b/>
          <w:color w:val="000000" w:themeColor="text1"/>
          <w:sz w:val="28"/>
          <w:szCs w:val="40"/>
          <w:lang w:val="ru-RU"/>
        </w:rPr>
      </w:pPr>
      <w:r w:rsidRPr="00B67275">
        <w:rPr>
          <w:rFonts w:ascii="Times New Roman" w:hAnsi="Times New Roman" w:cs="Times New Roman"/>
          <w:lang w:val="ru-RU"/>
        </w:rPr>
        <w:br w:type="page"/>
      </w:r>
    </w:p>
    <w:p w14:paraId="742423DE" w14:textId="77777777" w:rsidR="0007704C" w:rsidRDefault="0007704C" w:rsidP="00B67275">
      <w:pPr>
        <w:pStyle w:val="1"/>
        <w:spacing w:before="0" w:after="0" w:line="360" w:lineRule="auto"/>
        <w:rPr>
          <w:lang w:val="ru-RU"/>
        </w:rPr>
      </w:pPr>
      <w:bookmarkStart w:id="13" w:name="_Toc232337647"/>
      <w:r w:rsidRPr="0007704C">
        <w:rPr>
          <w:lang w:val="ru-RU"/>
        </w:rPr>
        <w:lastRenderedPageBreak/>
        <w:t>Заключение</w:t>
      </w:r>
      <w:bookmarkEnd w:id="13"/>
    </w:p>
    <w:p w14:paraId="29810478"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p>
    <w:p w14:paraId="55953D25"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p>
    <w:p w14:paraId="59578E34"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Подводя итоги первой главы, следует констатировать, что проведенное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xml:space="preserve">, </w:t>
      </w:r>
      <w:proofErr w:type="spellStart"/>
      <w:r w:rsidRPr="0007704C">
        <w:rPr>
          <w:rFonts w:ascii="Times New Roman" w:hAnsi="Times New Roman" w:cs="Times New Roman"/>
          <w:sz w:val="28"/>
          <w:szCs w:val="28"/>
          <w:lang w:val="ru-RU"/>
        </w:rPr>
        <w:t>Трейнора</w:t>
      </w:r>
      <w:proofErr w:type="spellEnd"/>
      <w:r w:rsidRPr="0007704C">
        <w:rPr>
          <w:rFonts w:ascii="Times New Roman" w:hAnsi="Times New Roman" w:cs="Times New Roman"/>
          <w:sz w:val="28"/>
          <w:szCs w:val="28"/>
          <w:lang w:val="ru-RU"/>
        </w:rPr>
        <w:t>), носит сугубо ретроспективный характер. Данные показатели отражают лишь историческую волатильность ценовых котировок, но не способны предсказать будущие изменения стоимости активов в условиях смены макроэкономических циклов. Была теоретически обоснована и доказана острая необходимость применения фундаментального и финансового анализа (оценки показателей ликвидности, рентабельности активов и капитала, деловой активности, а также моделей прогнозирования риска банкротства) для достоверной оценки реального инвестиционного качества самих объектов инвестирования — предприятий-эмитентов.</w:t>
      </w:r>
    </w:p>
    <w:p w14:paraId="0EF751F6"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Во второй главе работы результаты данного интегрированного подхода были применены для оценки реального качества инвестиционного портфеля ОПИФ РФИ «ВИМ-Металлургия». Анализ показал, что рассматриваемый </w:t>
      </w:r>
      <w:r w:rsidRPr="0007704C">
        <w:rPr>
          <w:rFonts w:ascii="Times New Roman" w:hAnsi="Times New Roman" w:cs="Times New Roman"/>
          <w:sz w:val="28"/>
          <w:szCs w:val="28"/>
          <w:lang w:val="ru-RU"/>
        </w:rPr>
        <w:lastRenderedPageBreak/>
        <w:t xml:space="preserve">фонд является экстремально концентрированным: более 93% активов жестко </w:t>
      </w:r>
      <w:proofErr w:type="spellStart"/>
      <w:r w:rsidRPr="0007704C">
        <w:rPr>
          <w:rFonts w:ascii="Times New Roman" w:hAnsi="Times New Roman" w:cs="Times New Roman"/>
          <w:sz w:val="28"/>
          <w:szCs w:val="28"/>
          <w:lang w:val="ru-RU"/>
        </w:rPr>
        <w:t>аллоцировано</w:t>
      </w:r>
      <w:proofErr w:type="spellEnd"/>
      <w:r w:rsidRPr="0007704C">
        <w:rPr>
          <w:rFonts w:ascii="Times New Roman" w:hAnsi="Times New Roman" w:cs="Times New Roman"/>
          <w:sz w:val="28"/>
          <w:szCs w:val="28"/>
          <w:lang w:val="ru-RU"/>
        </w:rPr>
        <w:t xml:space="preserve"> в одном секторе — «Сырье и материалы». Подобная узкоотраслевая структура блокирует эффекты межотраслевой диверсификации, генерирует избыточную дисперсию и ставит стоимость чистых активов в критическую зависимость от колебаний глобального сырьевого рынка. Детальный фундаментальный анализ пяти крупнейших базовых активов фонда </w:t>
      </w:r>
      <w:r w:rsidR="002C229C" w:rsidRPr="0007704C">
        <w:rPr>
          <w:rFonts w:ascii="Times New Roman" w:hAnsi="Times New Roman" w:cs="Times New Roman"/>
          <w:sz w:val="28"/>
          <w:szCs w:val="28"/>
          <w:lang w:val="ru-RU"/>
        </w:rPr>
        <w:t>продемонстрировал</w:t>
      </w:r>
      <w:r w:rsidRPr="0007704C">
        <w:rPr>
          <w:rFonts w:ascii="Times New Roman" w:hAnsi="Times New Roman" w:cs="Times New Roman"/>
          <w:sz w:val="28"/>
          <w:szCs w:val="28"/>
          <w:lang w:val="ru-RU"/>
        </w:rPr>
        <w:t xml:space="preserve"> их глубокую структурную неоднородность. Было выявлено, что сверхнадежные активы с отрицательной долговой нагрузкой, выдающимися показателями рентабельности и безупречной ликвидностью (ПАО «Северсталь», ПАО «ММК», ПАО «Корпорация ВСМПО-АВИСМА») в структуре фонда соседствуют с компаниями, испытывающими серьезное долговое давление, дефицит свободных денежных потоков и циклическое снижение рентабельности (МКПАО «ЭН+ ГРУП», ПАО «ГМК «Норильский никель»). Наличие подобных фундаментально ослабленных активов существенно ухудшает общие риск-метрики портфеля.</w:t>
      </w:r>
    </w:p>
    <w:p w14:paraId="41100184" w14:textId="77777777" w:rsid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 основе выявленных структурных дисбалансов, в третьей главе были разработаны научно обоснованные практические рекомендации, направленные на повышение доходности и снижение совокупных рисков портфеля. В качестве первоочередной меры предложена тактическая ребалансировка: замена высокорисковых и обремененных долгами активов на ценные бумаги предприятий золотодобывающего сектора (ПАО «Полюс», ПАО «ЮГК» или ПАО «</w:t>
      </w:r>
      <w:proofErr w:type="spellStart"/>
      <w:r w:rsidRPr="0007704C">
        <w:rPr>
          <w:rFonts w:ascii="Times New Roman" w:hAnsi="Times New Roman" w:cs="Times New Roman"/>
          <w:sz w:val="28"/>
          <w:szCs w:val="28"/>
          <w:lang w:val="ru-RU"/>
        </w:rPr>
        <w:t>Селигдар</w:t>
      </w:r>
      <w:proofErr w:type="spellEnd"/>
      <w:r w:rsidRPr="0007704C">
        <w:rPr>
          <w:rFonts w:ascii="Times New Roman" w:hAnsi="Times New Roman" w:cs="Times New Roman"/>
          <w:sz w:val="28"/>
          <w:szCs w:val="28"/>
          <w:lang w:val="ru-RU"/>
        </w:rPr>
        <w:t xml:space="preserve">»). Золотодобыча в текущих макроэкономических условиях выступает мощным «защитным» активом с исторически высокой маржинальностью, способным стабилизировать доходность фонда при волатильности цен на промышленные металлы. Кроме того, для купирования концентрационных рисков предложена </w:t>
      </w:r>
      <w:r w:rsidRPr="0007704C">
        <w:rPr>
          <w:rFonts w:ascii="Times New Roman" w:hAnsi="Times New Roman" w:cs="Times New Roman"/>
          <w:sz w:val="28"/>
          <w:szCs w:val="28"/>
          <w:lang w:val="ru-RU"/>
        </w:rPr>
        <w:lastRenderedPageBreak/>
        <w:t xml:space="preserve">диверсификация портфеля за счет включения первоклассных эмитентов из смежных отраслей — химической промышленности (ПАО «ФосАгро»), транспортной логистики (ПАО «Совкомфлот») и электроэнергетики (ПАО «Интер РАО»). Данные компании исторически демонстрируют корреляцию с общим индустриальным циклом, однако подвержены совершенно иным отраслевым факторам риска. Имплементация данных мер позволит математически снизить максимальную просадку портфеля, улучшить показатели риск-скорректированной доходности (коэффициенты Шарпа и </w:t>
      </w:r>
      <w:proofErr w:type="spellStart"/>
      <w:r w:rsidRPr="0007704C">
        <w:rPr>
          <w:rFonts w:ascii="Times New Roman" w:hAnsi="Times New Roman" w:cs="Times New Roman"/>
          <w:sz w:val="28"/>
          <w:szCs w:val="28"/>
          <w:lang w:val="ru-RU"/>
        </w:rPr>
        <w:t>Сортино</w:t>
      </w:r>
      <w:proofErr w:type="spellEnd"/>
      <w:r w:rsidRPr="0007704C">
        <w:rPr>
          <w:rFonts w:ascii="Times New Roman" w:hAnsi="Times New Roman" w:cs="Times New Roman"/>
          <w:sz w:val="28"/>
          <w:szCs w:val="28"/>
          <w:lang w:val="ru-RU"/>
        </w:rPr>
        <w:t>) и обеспечить устойчивый прирост стоимости чистых активов фонда.</w:t>
      </w:r>
    </w:p>
    <w:p w14:paraId="0810653B" w14:textId="06B06658" w:rsidR="00564EEC" w:rsidRPr="00564EEC" w:rsidRDefault="00564EEC" w:rsidP="00B67275">
      <w:pPr>
        <w:spacing w:line="360" w:lineRule="auto"/>
        <w:ind w:firstLine="709"/>
        <w:jc w:val="both"/>
        <w:rPr>
          <w:rFonts w:ascii="Times New Roman" w:hAnsi="Times New Roman" w:cs="Times New Roman"/>
          <w:sz w:val="28"/>
          <w:szCs w:val="28"/>
          <w:lang w:val="ru-RU"/>
        </w:rPr>
      </w:pPr>
      <w:r w:rsidRPr="00564EEC">
        <w:rPr>
          <w:rFonts w:ascii="Times New Roman" w:hAnsi="Times New Roman" w:cs="Times New Roman"/>
          <w:sz w:val="28"/>
          <w:szCs w:val="28"/>
          <w:lang w:val="ru-RU"/>
        </w:rPr>
        <w:t xml:space="preserve">В ходе практической части работы с помощью количественного моделирования была полностью доказана эффективность предложенной стратегии ребалансировки. Оптимизация структуры портфеля позволила </w:t>
      </w:r>
      <w:proofErr w:type="spellStart"/>
      <w:r w:rsidRPr="00564EEC">
        <w:rPr>
          <w:rFonts w:ascii="Times New Roman" w:hAnsi="Times New Roman" w:cs="Times New Roman"/>
          <w:sz w:val="28"/>
          <w:szCs w:val="28"/>
          <w:lang w:val="ru-RU"/>
        </w:rPr>
        <w:t>расчетно</w:t>
      </w:r>
      <w:proofErr w:type="spellEnd"/>
      <w:r w:rsidRPr="00564EEC">
        <w:rPr>
          <w:rFonts w:ascii="Times New Roman" w:hAnsi="Times New Roman" w:cs="Times New Roman"/>
          <w:sz w:val="28"/>
          <w:szCs w:val="28"/>
          <w:lang w:val="ru-RU"/>
        </w:rPr>
        <w:t xml:space="preserve"> увеличить ожидаемую доходность с 13,5% до 22,1% и одновременно снизить совокупный риск с 26,4% до 17,8%. В результате ключевой индикатор эффективности — коэффициент Шарпа — возрос с отрицательного значения (-0,057) до 0,399. Таким образом, гипотеза исследования всецело обоснована математическими расчетами, а предложения переведены из декларативной плоскости в форму готовой, обоснованной финансовой модели.</w:t>
      </w:r>
    </w:p>
    <w:p w14:paraId="1E16F2CE"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Главный вывод настоящей выпускной квалификационной работы заключается в том, что выдвинутая гипотеза была полностью подтверждена: только комплексный анализ, подразумевающий органичное совмещение портфельных метрик математической статистики и глубокого фундаментального анализа базовых активов, дает наиболее точную, объективную и прогностически ценную оценку качества инвестиционного портфеля. Опора исключительно на внешнюю ценовую статистику скрывает угрозы платежеспособности эмитентов, в то время как синтез классической портфельной теории с корпоративным финансовым анализом позволяет </w:t>
      </w:r>
      <w:r w:rsidRPr="0007704C">
        <w:rPr>
          <w:rFonts w:ascii="Times New Roman" w:hAnsi="Times New Roman" w:cs="Times New Roman"/>
          <w:sz w:val="28"/>
          <w:szCs w:val="28"/>
          <w:lang w:val="ru-RU"/>
        </w:rPr>
        <w:lastRenderedPageBreak/>
        <w:t>управляющему фондом своевременно диагностировать внутренние риски бизнеса, проводить обоснованную ребалансировку и выстраивать инвестиционную стратегию, максимизирующую благосостояние пайщиков.</w:t>
      </w:r>
    </w:p>
    <w:p w14:paraId="716D981B"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p>
    <w:p w14:paraId="14714AC2" w14:textId="77777777" w:rsidR="0007704C" w:rsidRPr="0007704C" w:rsidRDefault="0007704C" w:rsidP="0007704C">
      <w:pPr>
        <w:spacing w:line="360" w:lineRule="auto"/>
        <w:ind w:firstLine="709"/>
        <w:jc w:val="both"/>
        <w:rPr>
          <w:rFonts w:ascii="Times New Roman" w:hAnsi="Times New Roman" w:cs="Times New Roman"/>
          <w:sz w:val="28"/>
          <w:szCs w:val="28"/>
          <w:lang w:val="ru-RU"/>
        </w:rPr>
      </w:pPr>
    </w:p>
    <w:p w14:paraId="594DAD32" w14:textId="77777777" w:rsidR="00FE64C3" w:rsidRPr="00FE64C3" w:rsidRDefault="00FE64C3" w:rsidP="00FE64C3">
      <w:pPr>
        <w:ind w:firstLine="709"/>
        <w:jc w:val="both"/>
        <w:rPr>
          <w:rFonts w:ascii="Times New Roman" w:hAnsi="Times New Roman" w:cs="Times New Roman"/>
          <w:sz w:val="28"/>
          <w:szCs w:val="28"/>
          <w:lang w:val="ru-RU"/>
        </w:rPr>
      </w:pPr>
    </w:p>
    <w:p w14:paraId="13FA4443" w14:textId="77777777" w:rsidR="0097563D" w:rsidRPr="00B67275" w:rsidRDefault="0097563D" w:rsidP="00564EEC">
      <w:pPr>
        <w:pStyle w:val="1"/>
        <w:spacing w:before="0" w:after="0" w:line="360" w:lineRule="auto"/>
        <w:ind w:firstLine="709"/>
        <w:rPr>
          <w:rFonts w:eastAsia="Times New Roman" w:cs="Times New Roman"/>
          <w:bCs/>
          <w:szCs w:val="28"/>
          <w:lang w:val="ru-RU"/>
        </w:rPr>
      </w:pPr>
      <w:r>
        <w:rPr>
          <w:rFonts w:eastAsia="Times New Roman" w:cs="Times New Roman"/>
          <w:bCs/>
          <w:szCs w:val="28"/>
          <w:lang w:val="ru-RU"/>
        </w:rPr>
        <w:br w:type="column"/>
      </w:r>
      <w:bookmarkStart w:id="14" w:name="_Toc232337648"/>
      <w:r w:rsidRPr="00B67275">
        <w:rPr>
          <w:rFonts w:eastAsia="Times New Roman" w:cs="Times New Roman"/>
          <w:bCs/>
          <w:szCs w:val="28"/>
          <w:lang w:val="ru-RU"/>
        </w:rPr>
        <w:lastRenderedPageBreak/>
        <w:t>С</w:t>
      </w:r>
      <w:r w:rsidR="00F834A7" w:rsidRPr="00B67275">
        <w:rPr>
          <w:rFonts w:eastAsia="Times New Roman" w:cs="Times New Roman"/>
          <w:bCs/>
          <w:szCs w:val="28"/>
          <w:lang w:val="ru-RU"/>
        </w:rPr>
        <w:t>писок использованных источников</w:t>
      </w:r>
      <w:bookmarkEnd w:id="14"/>
    </w:p>
    <w:p w14:paraId="031983CD" w14:textId="77777777" w:rsidR="00B67275" w:rsidRPr="00B67275" w:rsidRDefault="00B67275" w:rsidP="00564EEC">
      <w:pPr>
        <w:spacing w:line="360" w:lineRule="auto"/>
        <w:ind w:firstLine="709"/>
        <w:jc w:val="both"/>
        <w:rPr>
          <w:rFonts w:ascii="Times New Roman" w:hAnsi="Times New Roman" w:cs="Times New Roman"/>
          <w:sz w:val="28"/>
          <w:szCs w:val="28"/>
          <w:lang w:val="ru-RU"/>
        </w:rPr>
      </w:pPr>
    </w:p>
    <w:p w14:paraId="04E2119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w:t>
      </w:r>
      <w:r w:rsidRPr="00B67275">
        <w:rPr>
          <w:rFonts w:ascii="Times New Roman" w:eastAsia="Times New Roman" w:hAnsi="Times New Roman" w:cs="Times New Roman"/>
          <w:b/>
          <w:bCs/>
          <w:sz w:val="28"/>
          <w:szCs w:val="28"/>
          <w:lang w:val="ru-RU"/>
        </w:rPr>
        <w:t>. Нормативно-правовые акты</w:t>
      </w:r>
    </w:p>
    <w:p w14:paraId="6FC87CBB"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 Гражданский кодекс Российской Федерации (часть первая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30.11.1994 № 51-ФЗ (ред. от 11.03.2024). — Москва : КонсультантПлюс, 2024.</w:t>
      </w:r>
    </w:p>
    <w:p w14:paraId="7966045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 Налоговый кодекс Российской Федерации (часть вторая</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05.08.2000 № 117-ФЗ (ред. от 26.02.2024). — Москва : КонсультантПлюс, 2024.</w:t>
      </w:r>
    </w:p>
    <w:p w14:paraId="59C1563F"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 О рынке ценных </w:t>
      </w:r>
      <w:proofErr w:type="gramStart"/>
      <w:r w:rsidRPr="00B67275">
        <w:rPr>
          <w:rFonts w:ascii="Times New Roman" w:eastAsia="Times New Roman" w:hAnsi="Times New Roman" w:cs="Times New Roman"/>
          <w:sz w:val="28"/>
          <w:szCs w:val="28"/>
          <w:lang w:val="ru-RU"/>
        </w:rPr>
        <w:t>бумаг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22.04.1996 № 39-ФЗ (ред. от 25.12.2023). — Москва : КонсультантПлюс, 2024.</w:t>
      </w:r>
    </w:p>
    <w:p w14:paraId="6916843A"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 Об инвестиционных </w:t>
      </w:r>
      <w:proofErr w:type="gramStart"/>
      <w:r w:rsidRPr="00B67275">
        <w:rPr>
          <w:rFonts w:ascii="Times New Roman" w:eastAsia="Times New Roman" w:hAnsi="Times New Roman" w:cs="Times New Roman"/>
          <w:sz w:val="28"/>
          <w:szCs w:val="28"/>
          <w:lang w:val="ru-RU"/>
        </w:rPr>
        <w:t>фондах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29.11.2001 № 156-ФЗ (ред. от 25.12.2023). — Москва : КонсультантПлюс, 2024.</w:t>
      </w:r>
    </w:p>
    <w:p w14:paraId="1FDBA10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5. О несостоятельности (банкротстве</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федер</w:t>
      </w:r>
      <w:proofErr w:type="spellEnd"/>
      <w:r w:rsidRPr="00B67275">
        <w:rPr>
          <w:rFonts w:ascii="Times New Roman" w:eastAsia="Times New Roman" w:hAnsi="Times New Roman" w:cs="Times New Roman"/>
          <w:sz w:val="28"/>
          <w:szCs w:val="28"/>
          <w:lang w:val="ru-RU"/>
        </w:rPr>
        <w:t>. закон от 26.10.2002 № 127-ФЗ (ред. от 25.12.2023). — Москва : КонсультантПлюс, 2024.</w:t>
      </w:r>
    </w:p>
    <w:p w14:paraId="47BC677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6. Об утверждении Положения по бухгалтерскому учёту «Бухгалтерская отчётность организации» ПБУ 4/</w:t>
      </w:r>
      <w:proofErr w:type="gramStart"/>
      <w:r w:rsidRPr="00B67275">
        <w:rPr>
          <w:rFonts w:ascii="Times New Roman" w:eastAsia="Times New Roman" w:hAnsi="Times New Roman" w:cs="Times New Roman"/>
          <w:sz w:val="28"/>
          <w:szCs w:val="28"/>
          <w:lang w:val="ru-RU"/>
        </w:rPr>
        <w:t>99 :</w:t>
      </w:r>
      <w:proofErr w:type="gramEnd"/>
      <w:r w:rsidRPr="00B67275">
        <w:rPr>
          <w:rFonts w:ascii="Times New Roman" w:eastAsia="Times New Roman" w:hAnsi="Times New Roman" w:cs="Times New Roman"/>
          <w:sz w:val="28"/>
          <w:szCs w:val="28"/>
          <w:lang w:val="ru-RU"/>
        </w:rPr>
        <w:t xml:space="preserve"> приказ Министерства финансов Российской Федерации от 06.07.1999 № 43н (ред. от 08.11.2010). — Москва : КонсультантПлюс, 2024.</w:t>
      </w:r>
    </w:p>
    <w:p w14:paraId="21DA6B12"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w:t>
      </w:r>
      <w:r w:rsidRPr="00B67275">
        <w:rPr>
          <w:rFonts w:ascii="Times New Roman" w:eastAsia="Times New Roman" w:hAnsi="Times New Roman" w:cs="Times New Roman"/>
          <w:b/>
          <w:bCs/>
          <w:sz w:val="28"/>
          <w:szCs w:val="28"/>
          <w:lang w:val="ru-RU"/>
        </w:rPr>
        <w:t>. Учебники, монографии и учебные пособия</w:t>
      </w:r>
    </w:p>
    <w:p w14:paraId="534A4A6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7.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М. Инвестиции : учебник для бакалавров / В. М. </w:t>
      </w:r>
      <w:proofErr w:type="spellStart"/>
      <w:r w:rsidRPr="00B67275">
        <w:rPr>
          <w:rFonts w:ascii="Times New Roman" w:eastAsia="Times New Roman" w:hAnsi="Times New Roman" w:cs="Times New Roman"/>
          <w:sz w:val="28"/>
          <w:szCs w:val="28"/>
          <w:lang w:val="ru-RU"/>
        </w:rPr>
        <w:t>Аскинадзи</w:t>
      </w:r>
      <w:proofErr w:type="spellEnd"/>
      <w:r w:rsidRPr="00B67275">
        <w:rPr>
          <w:rFonts w:ascii="Times New Roman" w:eastAsia="Times New Roman" w:hAnsi="Times New Roman" w:cs="Times New Roman"/>
          <w:sz w:val="28"/>
          <w:szCs w:val="28"/>
          <w:lang w:val="ru-RU"/>
        </w:rPr>
        <w:t xml:space="preserve">, В. Ф. Максимова.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422 с.</w:t>
      </w:r>
    </w:p>
    <w:p w14:paraId="641572D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8. Батаева, Б. С. Корпоративное управление : учебное пособие / Б. С. Батаева.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КНОРУС, 2021. — 184 с.</w:t>
      </w:r>
    </w:p>
    <w:p w14:paraId="25E2792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9. Бланк, И. А. Управление финансовой безопасностью предприятия / И. А. Бланк. — 2-е изд., стер.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Омега-Л, 2021. — 784 с.</w:t>
      </w:r>
    </w:p>
    <w:p w14:paraId="7C4E434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10.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xml:space="preserve">, Р. Принципы корпоративных финансов / Р. </w:t>
      </w:r>
      <w:proofErr w:type="spellStart"/>
      <w:r w:rsidRPr="00B67275">
        <w:rPr>
          <w:rFonts w:ascii="Times New Roman" w:eastAsia="Times New Roman" w:hAnsi="Times New Roman" w:cs="Times New Roman"/>
          <w:sz w:val="28"/>
          <w:szCs w:val="28"/>
          <w:lang w:val="ru-RU"/>
        </w:rPr>
        <w:t>Брейли</w:t>
      </w:r>
      <w:proofErr w:type="spellEnd"/>
      <w:r w:rsidRPr="00B67275">
        <w:rPr>
          <w:rFonts w:ascii="Times New Roman" w:eastAsia="Times New Roman" w:hAnsi="Times New Roman" w:cs="Times New Roman"/>
          <w:sz w:val="28"/>
          <w:szCs w:val="28"/>
          <w:lang w:val="ru-RU"/>
        </w:rPr>
        <w:t>, С. Майерс ; пер. с англ. — Москва : Олимп-Бизнес, 2012. — 1120 с.</w:t>
      </w:r>
    </w:p>
    <w:p w14:paraId="6177D588"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11. Григорьева, Т. И. Финансовый анализ для менеджеров: оценка, прогноз : учебник / Т. И. Григорьева.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462 с.</w:t>
      </w:r>
    </w:p>
    <w:p w14:paraId="4D479B0C"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12. Грэхем, Б. Анализ ценных бумаг / Б. Грэхем, Д. Додд ; пер. с англ. — 3-е изд. — Москва : Вильямс, 2016. — 878 с.</w:t>
      </w:r>
    </w:p>
    <w:p w14:paraId="4F13F0A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13. </w:t>
      </w:r>
      <w:proofErr w:type="spell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r w:rsidRPr="00B67275">
        <w:rPr>
          <w:rFonts w:ascii="Times New Roman" w:eastAsia="Times New Roman" w:hAnsi="Times New Roman" w:cs="Times New Roman"/>
          <w:sz w:val="28"/>
          <w:szCs w:val="28"/>
          <w:lang w:val="ru-RU"/>
        </w:rPr>
        <w:t>Дамодаран</w:t>
      </w:r>
      <w:proofErr w:type="spellEnd"/>
      <w:r w:rsidRPr="00B67275">
        <w:rPr>
          <w:rFonts w:ascii="Times New Roman" w:eastAsia="Times New Roman" w:hAnsi="Times New Roman" w:cs="Times New Roman"/>
          <w:sz w:val="28"/>
          <w:szCs w:val="28"/>
          <w:lang w:val="ru-RU"/>
        </w:rPr>
        <w:t xml:space="preserve"> ; пер. с англ. — Москва : Альпина Паблишер, 2016. — 1316 с.</w:t>
      </w:r>
    </w:p>
    <w:p w14:paraId="4B031F1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14. Екимова, К. В. Финансовый менеджмент : учебник для прикладного бакалавриата / К. В. Екимова, И. П. Савельева, К. В. </w:t>
      </w:r>
      <w:proofErr w:type="spellStart"/>
      <w:r w:rsidRPr="00B67275">
        <w:rPr>
          <w:rFonts w:ascii="Times New Roman" w:eastAsia="Times New Roman" w:hAnsi="Times New Roman" w:cs="Times New Roman"/>
          <w:sz w:val="28"/>
          <w:szCs w:val="28"/>
          <w:lang w:val="ru-RU"/>
        </w:rPr>
        <w:t>Кардапольцев</w:t>
      </w:r>
      <w:proofErr w:type="spellEnd"/>
      <w:r w:rsidRPr="00B67275">
        <w:rPr>
          <w:rFonts w:ascii="Times New Roman" w:eastAsia="Times New Roman" w:hAnsi="Times New Roman" w:cs="Times New Roman"/>
          <w:sz w:val="28"/>
          <w:szCs w:val="28"/>
          <w:lang w:val="ru-RU"/>
        </w:rPr>
        <w:t xml:space="preserve">.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2021. — 381 с.</w:t>
      </w:r>
    </w:p>
    <w:p w14:paraId="51CC7D9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15. Ковалев, В. В. Введение в финансовый менеджмент / В. В. Ковалев.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Финансы и статистика, 2004. — 767 с.</w:t>
      </w:r>
    </w:p>
    <w:p w14:paraId="2CFAC13B"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16.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В. Г. Экономический анализ : учебное пособие / В. Г. </w:t>
      </w:r>
      <w:proofErr w:type="spellStart"/>
      <w:r w:rsidRPr="00B67275">
        <w:rPr>
          <w:rFonts w:ascii="Times New Roman" w:eastAsia="Times New Roman" w:hAnsi="Times New Roman" w:cs="Times New Roman"/>
          <w:sz w:val="28"/>
          <w:szCs w:val="28"/>
          <w:lang w:val="ru-RU"/>
        </w:rPr>
        <w:t>Когденко</w:t>
      </w:r>
      <w:proofErr w:type="spellEnd"/>
      <w:r w:rsidRPr="00B67275">
        <w:rPr>
          <w:rFonts w:ascii="Times New Roman" w:eastAsia="Times New Roman" w:hAnsi="Times New Roman" w:cs="Times New Roman"/>
          <w:sz w:val="28"/>
          <w:szCs w:val="28"/>
          <w:lang w:val="ru-RU"/>
        </w:rPr>
        <w:t xml:space="preserve">. — 3-е изд., </w:t>
      </w:r>
      <w:proofErr w:type="spellStart"/>
      <w:r w:rsidRPr="00B67275">
        <w:rPr>
          <w:rFonts w:ascii="Times New Roman" w:eastAsia="Times New Roman" w:hAnsi="Times New Roman" w:cs="Times New Roman"/>
          <w:sz w:val="28"/>
          <w:szCs w:val="28"/>
          <w:lang w:val="ru-RU"/>
        </w:rPr>
        <w:t>перераб</w:t>
      </w:r>
      <w:proofErr w:type="spellEnd"/>
      <w:proofErr w:type="gramStart"/>
      <w:r w:rsidRPr="00B67275">
        <w:rPr>
          <w:rFonts w:ascii="Times New Roman" w:eastAsia="Times New Roman" w:hAnsi="Times New Roman" w:cs="Times New Roman"/>
          <w:sz w:val="28"/>
          <w:szCs w:val="28"/>
          <w:lang w:val="ru-RU"/>
        </w:rPr>
        <w:t>.</w:t>
      </w:r>
      <w:proofErr w:type="gramEnd"/>
      <w:r w:rsidRPr="00B67275">
        <w:rPr>
          <w:rFonts w:ascii="Times New Roman" w:eastAsia="Times New Roman" w:hAnsi="Times New Roman" w:cs="Times New Roman"/>
          <w:sz w:val="28"/>
          <w:szCs w:val="28"/>
          <w:lang w:val="ru-RU"/>
        </w:rPr>
        <w:t xml:space="preserve"> и доп.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ЮНИТИ-ДАНА, 2019. — 392 с.</w:t>
      </w:r>
    </w:p>
    <w:p w14:paraId="2AD3B0D4"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17.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М. А. Корпоративный финансовый менеджмент : учебно-практическое пособие / М. А. </w:t>
      </w:r>
      <w:proofErr w:type="spellStart"/>
      <w:r w:rsidRPr="00B67275">
        <w:rPr>
          <w:rFonts w:ascii="Times New Roman" w:eastAsia="Times New Roman" w:hAnsi="Times New Roman" w:cs="Times New Roman"/>
          <w:sz w:val="28"/>
          <w:szCs w:val="28"/>
          <w:lang w:val="ru-RU"/>
        </w:rPr>
        <w:t>Лимитовский</w:t>
      </w:r>
      <w:proofErr w:type="spellEnd"/>
      <w:r w:rsidRPr="00B67275">
        <w:rPr>
          <w:rFonts w:ascii="Times New Roman" w:eastAsia="Times New Roman" w:hAnsi="Times New Roman" w:cs="Times New Roman"/>
          <w:sz w:val="28"/>
          <w:szCs w:val="28"/>
          <w:lang w:val="ru-RU"/>
        </w:rPr>
        <w:t xml:space="preserve">, В. П. Паламарчук, Е. Н. Лобанова.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2024. — 990 с.</w:t>
      </w:r>
    </w:p>
    <w:p w14:paraId="163377E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18. Лисицына, Е. В. Финансовый менеджмент : учебник / Е. В. Лисицына, Т. В. Ващенко, М. В. Забродина ; под науч. ред. К. В. Екимовой. — 2-е изд., </w:t>
      </w:r>
      <w:proofErr w:type="spellStart"/>
      <w:r w:rsidRPr="00B67275">
        <w:rPr>
          <w:rFonts w:ascii="Times New Roman" w:eastAsia="Times New Roman" w:hAnsi="Times New Roman" w:cs="Times New Roman"/>
          <w:sz w:val="28"/>
          <w:szCs w:val="28"/>
          <w:lang w:val="ru-RU"/>
        </w:rPr>
        <w:t>испр</w:t>
      </w:r>
      <w:proofErr w:type="spellEnd"/>
      <w:proofErr w:type="gramStart"/>
      <w:r w:rsidRPr="00B67275">
        <w:rPr>
          <w:rFonts w:ascii="Times New Roman" w:eastAsia="Times New Roman" w:hAnsi="Times New Roman" w:cs="Times New Roman"/>
          <w:sz w:val="28"/>
          <w:szCs w:val="28"/>
          <w:lang w:val="ru-RU"/>
        </w:rPr>
        <w:t>.</w:t>
      </w:r>
      <w:proofErr w:type="gramEnd"/>
      <w:r w:rsidRPr="00B67275">
        <w:rPr>
          <w:rFonts w:ascii="Times New Roman" w:eastAsia="Times New Roman" w:hAnsi="Times New Roman" w:cs="Times New Roman"/>
          <w:sz w:val="28"/>
          <w:szCs w:val="28"/>
          <w:lang w:val="ru-RU"/>
        </w:rPr>
        <w:t xml:space="preserve"> и доп.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ИНФРА-М, 2023. — 185 с.</w:t>
      </w:r>
    </w:p>
    <w:p w14:paraId="4F8CA0C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19.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И. Я. Инвестиции : учебник / И. Я. </w:t>
      </w:r>
      <w:proofErr w:type="spellStart"/>
      <w:r w:rsidRPr="00B67275">
        <w:rPr>
          <w:rFonts w:ascii="Times New Roman" w:eastAsia="Times New Roman" w:hAnsi="Times New Roman" w:cs="Times New Roman"/>
          <w:sz w:val="28"/>
          <w:szCs w:val="28"/>
          <w:lang w:val="ru-RU"/>
        </w:rPr>
        <w:t>Лукасевич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Вузовский </w:t>
      </w:r>
      <w:proofErr w:type="gramStart"/>
      <w:r w:rsidRPr="00B67275">
        <w:rPr>
          <w:rFonts w:ascii="Times New Roman" w:eastAsia="Times New Roman" w:hAnsi="Times New Roman" w:cs="Times New Roman"/>
          <w:sz w:val="28"/>
          <w:szCs w:val="28"/>
          <w:lang w:val="ru-RU"/>
        </w:rPr>
        <w:t>учебник :</w:t>
      </w:r>
      <w:proofErr w:type="gramEnd"/>
      <w:r w:rsidRPr="00B67275">
        <w:rPr>
          <w:rFonts w:ascii="Times New Roman" w:eastAsia="Times New Roman" w:hAnsi="Times New Roman" w:cs="Times New Roman"/>
          <w:sz w:val="28"/>
          <w:szCs w:val="28"/>
          <w:lang w:val="ru-RU"/>
        </w:rPr>
        <w:t xml:space="preserve"> ИНФРА-М, 2024. — 413 с.</w:t>
      </w:r>
    </w:p>
    <w:p w14:paraId="6101D347"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20. Никитина, Т. В. Основы портфельного инвестирования : учебник для бакалавриата и магистратуры / Т. В. Никитина, А. В. </w:t>
      </w:r>
      <w:proofErr w:type="spellStart"/>
      <w:r w:rsidRPr="00B67275">
        <w:rPr>
          <w:rFonts w:ascii="Times New Roman" w:eastAsia="Times New Roman" w:hAnsi="Times New Roman" w:cs="Times New Roman"/>
          <w:sz w:val="28"/>
          <w:szCs w:val="28"/>
          <w:lang w:val="ru-RU"/>
        </w:rPr>
        <w:t>Репета</w:t>
      </w:r>
      <w:proofErr w:type="spellEnd"/>
      <w:r w:rsidRPr="00B67275">
        <w:rPr>
          <w:rFonts w:ascii="Times New Roman" w:eastAsia="Times New Roman" w:hAnsi="Times New Roman" w:cs="Times New Roman"/>
          <w:sz w:val="28"/>
          <w:szCs w:val="28"/>
          <w:lang w:val="ru-RU"/>
        </w:rPr>
        <w:t xml:space="preserve">-Турсунова, М. </w:t>
      </w:r>
      <w:proofErr w:type="spellStart"/>
      <w:r w:rsidRPr="00B67275">
        <w:rPr>
          <w:rFonts w:ascii="Times New Roman" w:eastAsia="Times New Roman" w:hAnsi="Times New Roman" w:cs="Times New Roman"/>
          <w:sz w:val="28"/>
          <w:szCs w:val="28"/>
          <w:lang w:val="ru-RU"/>
        </w:rPr>
        <w:t>Фрёммель</w:t>
      </w:r>
      <w:proofErr w:type="spellEnd"/>
      <w:r w:rsidRPr="00B67275">
        <w:rPr>
          <w:rFonts w:ascii="Times New Roman" w:eastAsia="Times New Roman" w:hAnsi="Times New Roman" w:cs="Times New Roman"/>
          <w:sz w:val="28"/>
          <w:szCs w:val="28"/>
          <w:lang w:val="ru-RU"/>
        </w:rPr>
        <w:t xml:space="preserve">, А. В. Ядрин. — 2-е изд., </w:t>
      </w:r>
      <w:proofErr w:type="spellStart"/>
      <w:r w:rsidRPr="00B67275">
        <w:rPr>
          <w:rFonts w:ascii="Times New Roman" w:eastAsia="Times New Roman" w:hAnsi="Times New Roman" w:cs="Times New Roman"/>
          <w:sz w:val="28"/>
          <w:szCs w:val="28"/>
          <w:lang w:val="ru-RU"/>
        </w:rPr>
        <w:t>испр</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195 с.</w:t>
      </w:r>
    </w:p>
    <w:p w14:paraId="1E133FD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21. Румянцева, Е. Е. Финансовый </w:t>
      </w:r>
      <w:proofErr w:type="gramStart"/>
      <w:r w:rsidRPr="00B67275">
        <w:rPr>
          <w:rFonts w:ascii="Times New Roman" w:eastAsia="Times New Roman" w:hAnsi="Times New Roman" w:cs="Times New Roman"/>
          <w:sz w:val="28"/>
          <w:szCs w:val="28"/>
          <w:lang w:val="ru-RU"/>
        </w:rPr>
        <w:t>менеджмент :</w:t>
      </w:r>
      <w:proofErr w:type="gramEnd"/>
      <w:r w:rsidRPr="00B67275">
        <w:rPr>
          <w:rFonts w:ascii="Times New Roman" w:eastAsia="Times New Roman" w:hAnsi="Times New Roman" w:cs="Times New Roman"/>
          <w:sz w:val="28"/>
          <w:szCs w:val="28"/>
          <w:lang w:val="ru-RU"/>
        </w:rPr>
        <w:t xml:space="preserve"> учебник и практикум для бакалавриата и магистратуры / Е. Е. Румянцева.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2019. — 360 с.</w:t>
      </w:r>
    </w:p>
    <w:p w14:paraId="63849D94"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22. Савицкая, Г. В. Анализ хозяйственной деятельности предприятия : учебник / Г. В. Савицкая. — 6-е изд., </w:t>
      </w:r>
      <w:proofErr w:type="spellStart"/>
      <w:r w:rsidRPr="00B67275">
        <w:rPr>
          <w:rFonts w:ascii="Times New Roman" w:eastAsia="Times New Roman" w:hAnsi="Times New Roman" w:cs="Times New Roman"/>
          <w:sz w:val="28"/>
          <w:szCs w:val="28"/>
          <w:lang w:val="ru-RU"/>
        </w:rPr>
        <w:t>испр</w:t>
      </w:r>
      <w:proofErr w:type="spellEnd"/>
      <w:proofErr w:type="gramStart"/>
      <w:r w:rsidRPr="00B67275">
        <w:rPr>
          <w:rFonts w:ascii="Times New Roman" w:eastAsia="Times New Roman" w:hAnsi="Times New Roman" w:cs="Times New Roman"/>
          <w:sz w:val="28"/>
          <w:szCs w:val="28"/>
          <w:lang w:val="ru-RU"/>
        </w:rPr>
        <w:t>.</w:t>
      </w:r>
      <w:proofErr w:type="gramEnd"/>
      <w:r w:rsidRPr="00B67275">
        <w:rPr>
          <w:rFonts w:ascii="Times New Roman" w:eastAsia="Times New Roman" w:hAnsi="Times New Roman" w:cs="Times New Roman"/>
          <w:sz w:val="28"/>
          <w:szCs w:val="28"/>
          <w:lang w:val="ru-RU"/>
        </w:rPr>
        <w:t xml:space="preserve"> и доп. —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ИНФРА-М, 2024. — 378 с.</w:t>
      </w:r>
    </w:p>
    <w:p w14:paraId="719E106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23. Сергеев, И. В. Инвестиции : учебник и практикум для прикладного бакалавриата / И. В. Сергеев, И. И. Веретенникова, В. В. Шеховцов. — 3-е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2020. — 314 с.</w:t>
      </w:r>
    </w:p>
    <w:p w14:paraId="57E73C5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24. Теплова, Т. В. Инвестиции : учебник и практикум для вузов / Т. В. Теплова. — 2-е изд., </w:t>
      </w:r>
      <w:proofErr w:type="spellStart"/>
      <w:r w:rsidRPr="00B67275">
        <w:rPr>
          <w:rFonts w:ascii="Times New Roman" w:eastAsia="Times New Roman" w:hAnsi="Times New Roman" w:cs="Times New Roman"/>
          <w:sz w:val="28"/>
          <w:szCs w:val="28"/>
          <w:lang w:val="ru-RU"/>
        </w:rPr>
        <w:t>перераб</w:t>
      </w:r>
      <w:proofErr w:type="spellEnd"/>
      <w:r w:rsidRPr="00B67275">
        <w:rPr>
          <w:rFonts w:ascii="Times New Roman" w:eastAsia="Times New Roman" w:hAnsi="Times New Roman" w:cs="Times New Roman"/>
          <w:sz w:val="28"/>
          <w:szCs w:val="28"/>
          <w:lang w:val="ru-RU"/>
        </w:rPr>
        <w:t xml:space="preserve">. и доп. — Москва : Издательство </w:t>
      </w:r>
      <w:proofErr w:type="spellStart"/>
      <w:r w:rsidRPr="00B67275">
        <w:rPr>
          <w:rFonts w:ascii="Times New Roman" w:eastAsia="Times New Roman" w:hAnsi="Times New Roman" w:cs="Times New Roman"/>
          <w:sz w:val="28"/>
          <w:szCs w:val="28"/>
          <w:lang w:val="ru-RU"/>
        </w:rPr>
        <w:t>Юрайт</w:t>
      </w:r>
      <w:proofErr w:type="spellEnd"/>
      <w:r w:rsidRPr="00B67275">
        <w:rPr>
          <w:rFonts w:ascii="Times New Roman" w:eastAsia="Times New Roman" w:hAnsi="Times New Roman" w:cs="Times New Roman"/>
          <w:sz w:val="28"/>
          <w:szCs w:val="28"/>
          <w:lang w:val="ru-RU"/>
        </w:rPr>
        <w:t>, 2026. — 781 с.</w:t>
      </w:r>
    </w:p>
    <w:p w14:paraId="5D03C7F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25. Шарп, У. Ф. Инвестиции / У. Ф. Шарп, Г. Дж. Александер, Д. В. Бэйли ; пер. с англ. — Москва : ИНФРА-М, 2001. — 1027 с.</w:t>
      </w:r>
    </w:p>
    <w:p w14:paraId="751B95E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26.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Л. И. Инвестиции : учебник для вузов /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Е. Г. Князева, Е. А. Разумовская [и др.] ; под ред. Л. И. </w:t>
      </w:r>
      <w:proofErr w:type="spellStart"/>
      <w:r w:rsidRPr="00B67275">
        <w:rPr>
          <w:rFonts w:ascii="Times New Roman" w:eastAsia="Times New Roman" w:hAnsi="Times New Roman" w:cs="Times New Roman"/>
          <w:sz w:val="28"/>
          <w:szCs w:val="28"/>
          <w:lang w:val="ru-RU"/>
        </w:rPr>
        <w:t>Юзвович</w:t>
      </w:r>
      <w:proofErr w:type="spellEnd"/>
      <w:r w:rsidRPr="00B67275">
        <w:rPr>
          <w:rFonts w:ascii="Times New Roman" w:eastAsia="Times New Roman" w:hAnsi="Times New Roman" w:cs="Times New Roman"/>
          <w:sz w:val="28"/>
          <w:szCs w:val="28"/>
          <w:lang w:val="ru-RU"/>
        </w:rPr>
        <w:t xml:space="preserve">. — </w:t>
      </w:r>
      <w:proofErr w:type="gramStart"/>
      <w:r w:rsidRPr="00B67275">
        <w:rPr>
          <w:rFonts w:ascii="Times New Roman" w:eastAsia="Times New Roman" w:hAnsi="Times New Roman" w:cs="Times New Roman"/>
          <w:sz w:val="28"/>
          <w:szCs w:val="28"/>
          <w:lang w:val="ru-RU"/>
        </w:rPr>
        <w:t>Екатеринбург :</w:t>
      </w:r>
      <w:proofErr w:type="gramEnd"/>
      <w:r w:rsidRPr="00B67275">
        <w:rPr>
          <w:rFonts w:ascii="Times New Roman" w:eastAsia="Times New Roman" w:hAnsi="Times New Roman" w:cs="Times New Roman"/>
          <w:sz w:val="28"/>
          <w:szCs w:val="28"/>
          <w:lang w:val="ru-RU"/>
        </w:rPr>
        <w:t xml:space="preserve"> Изд-во Урал. ун-</w:t>
      </w:r>
      <w:proofErr w:type="gramStart"/>
      <w:r w:rsidRPr="00B67275">
        <w:rPr>
          <w:rFonts w:ascii="Times New Roman" w:eastAsia="Times New Roman" w:hAnsi="Times New Roman" w:cs="Times New Roman"/>
          <w:sz w:val="28"/>
          <w:szCs w:val="28"/>
          <w:lang w:val="ru-RU"/>
        </w:rPr>
        <w:t>та ;</w:t>
      </w:r>
      <w:proofErr w:type="gramEnd"/>
      <w:r w:rsidRPr="00B67275">
        <w:rPr>
          <w:rFonts w:ascii="Times New Roman" w:eastAsia="Times New Roman" w:hAnsi="Times New Roman" w:cs="Times New Roman"/>
          <w:sz w:val="28"/>
          <w:szCs w:val="28"/>
          <w:lang w:val="ru-RU"/>
        </w:rPr>
        <w:t xml:space="preserve"> </w:t>
      </w:r>
      <w:proofErr w:type="gramStart"/>
      <w:r w:rsidRPr="00B67275">
        <w:rPr>
          <w:rFonts w:ascii="Times New Roman" w:eastAsia="Times New Roman" w:hAnsi="Times New Roman" w:cs="Times New Roman"/>
          <w:sz w:val="28"/>
          <w:szCs w:val="28"/>
          <w:lang w:val="ru-RU"/>
        </w:rPr>
        <w:t>Москва :</w:t>
      </w:r>
      <w:proofErr w:type="gramEnd"/>
      <w:r w:rsidRPr="00B67275">
        <w:rPr>
          <w:rFonts w:ascii="Times New Roman" w:eastAsia="Times New Roman" w:hAnsi="Times New Roman" w:cs="Times New Roman"/>
          <w:sz w:val="28"/>
          <w:szCs w:val="28"/>
          <w:lang w:val="ru-RU"/>
        </w:rPr>
        <w:t xml:space="preserve"> ФЛИНТА, 2020. — 612 с.</w:t>
      </w:r>
    </w:p>
    <w:p w14:paraId="3E521E0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III</w:t>
      </w:r>
      <w:r w:rsidRPr="00B67275">
        <w:rPr>
          <w:rFonts w:ascii="Times New Roman" w:eastAsia="Times New Roman" w:hAnsi="Times New Roman" w:cs="Times New Roman"/>
          <w:b/>
          <w:bCs/>
          <w:sz w:val="28"/>
          <w:szCs w:val="28"/>
          <w:lang w:val="ru-RU"/>
        </w:rPr>
        <w:t>. Периодические издания и научные статьи</w:t>
      </w:r>
    </w:p>
    <w:p w14:paraId="6F56B00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27. Батаева, Б. С. Влияние раскрытия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-показателей на финансовые результаты российских публичных компаний / Б. С. Батаева, А. Д. Кокурина // Экономика. Налоги. Право. — 2021. — № 4. — С. 62–71.</w:t>
      </w:r>
    </w:p>
    <w:p w14:paraId="6BAD0E28"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28. Гайфуллина, М. М. Корреляционно-регрессионный анализ инвестиционной привлекательности отрасли / М. М. Гайфуллина, Г. З. Низамова // Управление. — 2021. — Т. 9, № 3. — С. 27–38.</w:t>
      </w:r>
    </w:p>
    <w:p w14:paraId="6905052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29. Колесниченко, Д. М. Оценка влияния диверсификации на эффективность инвестиционного портфеля, сформированного на основе модели </w:t>
      </w:r>
      <w:proofErr w:type="spellStart"/>
      <w:r w:rsidRPr="00B67275">
        <w:rPr>
          <w:rFonts w:ascii="Times New Roman" w:eastAsia="Times New Roman" w:hAnsi="Times New Roman" w:cs="Times New Roman"/>
          <w:sz w:val="28"/>
          <w:szCs w:val="28"/>
          <w:lang w:val="ru-RU"/>
        </w:rPr>
        <w:t>Марковица</w:t>
      </w:r>
      <w:proofErr w:type="spellEnd"/>
      <w:r w:rsidRPr="00B67275">
        <w:rPr>
          <w:rFonts w:ascii="Times New Roman" w:eastAsia="Times New Roman" w:hAnsi="Times New Roman" w:cs="Times New Roman"/>
          <w:sz w:val="28"/>
          <w:szCs w:val="28"/>
          <w:lang w:val="ru-RU"/>
        </w:rPr>
        <w:t xml:space="preserve"> / Д. М. Колесниченко // Вестник экономического научного общества студентов и аспирантов. — 2021. — № 2. — С. 14–22.</w:t>
      </w:r>
    </w:p>
    <w:p w14:paraId="00A35CF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30.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В. С. Проблемы и перспективы развития российской металлургии в рамках ЕАЭС / В. С. </w:t>
      </w:r>
      <w:proofErr w:type="spellStart"/>
      <w:r w:rsidRPr="00B67275">
        <w:rPr>
          <w:rFonts w:ascii="Times New Roman" w:eastAsia="Times New Roman" w:hAnsi="Times New Roman" w:cs="Times New Roman"/>
          <w:sz w:val="28"/>
          <w:szCs w:val="28"/>
          <w:lang w:val="ru-RU"/>
        </w:rPr>
        <w:t>Мядзель</w:t>
      </w:r>
      <w:proofErr w:type="spellEnd"/>
      <w:r w:rsidRPr="00B67275">
        <w:rPr>
          <w:rFonts w:ascii="Times New Roman" w:eastAsia="Times New Roman" w:hAnsi="Times New Roman" w:cs="Times New Roman"/>
          <w:sz w:val="28"/>
          <w:szCs w:val="28"/>
          <w:lang w:val="ru-RU"/>
        </w:rPr>
        <w:t xml:space="preserve"> // Экономические отношения. — 2024. — Т. 14, № 3. — С. 18–29.</w:t>
      </w:r>
    </w:p>
    <w:p w14:paraId="1631771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31.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Н. П.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 xml:space="preserve">-инвестиции и их влияние на развитие финансового рынка / Н. П. </w:t>
      </w:r>
      <w:proofErr w:type="spellStart"/>
      <w:r w:rsidRPr="00B67275">
        <w:rPr>
          <w:rFonts w:ascii="Times New Roman" w:eastAsia="Times New Roman" w:hAnsi="Times New Roman" w:cs="Times New Roman"/>
          <w:sz w:val="28"/>
          <w:szCs w:val="28"/>
          <w:lang w:val="ru-RU"/>
        </w:rPr>
        <w:t>Радковская</w:t>
      </w:r>
      <w:proofErr w:type="spellEnd"/>
      <w:r w:rsidRPr="00B67275">
        <w:rPr>
          <w:rFonts w:ascii="Times New Roman" w:eastAsia="Times New Roman" w:hAnsi="Times New Roman" w:cs="Times New Roman"/>
          <w:sz w:val="28"/>
          <w:szCs w:val="28"/>
          <w:lang w:val="ru-RU"/>
        </w:rPr>
        <w:t xml:space="preserve"> // Наука и образование в условиях цифровой трансформации экономики и общества. — Санкт-</w:t>
      </w:r>
      <w:proofErr w:type="gramStart"/>
      <w:r w:rsidRPr="00B67275">
        <w:rPr>
          <w:rFonts w:ascii="Times New Roman" w:eastAsia="Times New Roman" w:hAnsi="Times New Roman" w:cs="Times New Roman"/>
          <w:sz w:val="28"/>
          <w:szCs w:val="28"/>
          <w:lang w:val="ru-RU"/>
        </w:rPr>
        <w:t>Петербург :</w:t>
      </w:r>
      <w:proofErr w:type="gramEnd"/>
      <w:r w:rsidRPr="00B67275">
        <w:rPr>
          <w:rFonts w:ascii="Times New Roman" w:eastAsia="Times New Roman" w:hAnsi="Times New Roman" w:cs="Times New Roman"/>
          <w:sz w:val="28"/>
          <w:szCs w:val="28"/>
          <w:lang w:val="ru-RU"/>
        </w:rPr>
        <w:t xml:space="preserve"> </w:t>
      </w:r>
      <w:proofErr w:type="spellStart"/>
      <w:r w:rsidRPr="00B67275">
        <w:rPr>
          <w:rFonts w:ascii="Times New Roman" w:eastAsia="Times New Roman" w:hAnsi="Times New Roman" w:cs="Times New Roman"/>
          <w:sz w:val="28"/>
          <w:szCs w:val="28"/>
          <w:lang w:val="ru-RU"/>
        </w:rPr>
        <w:t>СПбГЭУ</w:t>
      </w:r>
      <w:proofErr w:type="spellEnd"/>
      <w:r w:rsidRPr="00B67275">
        <w:rPr>
          <w:rFonts w:ascii="Times New Roman" w:eastAsia="Times New Roman" w:hAnsi="Times New Roman" w:cs="Times New Roman"/>
          <w:sz w:val="28"/>
          <w:szCs w:val="28"/>
          <w:lang w:val="ru-RU"/>
        </w:rPr>
        <w:t>, 2021. — С. 182–187.</w:t>
      </w:r>
    </w:p>
    <w:p w14:paraId="02B2C2F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32.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П. Ю. Стратегическое управление стоимостью компании: учёт факторов корпоративного управления / П. Ю. </w:t>
      </w:r>
      <w:proofErr w:type="spellStart"/>
      <w:r w:rsidRPr="00B67275">
        <w:rPr>
          <w:rFonts w:ascii="Times New Roman" w:eastAsia="Times New Roman" w:hAnsi="Times New Roman" w:cs="Times New Roman"/>
          <w:sz w:val="28"/>
          <w:szCs w:val="28"/>
          <w:lang w:val="ru-RU"/>
        </w:rPr>
        <w:t>Старюк</w:t>
      </w:r>
      <w:proofErr w:type="spellEnd"/>
      <w:r w:rsidRPr="00B67275">
        <w:rPr>
          <w:rFonts w:ascii="Times New Roman" w:eastAsia="Times New Roman" w:hAnsi="Times New Roman" w:cs="Times New Roman"/>
          <w:sz w:val="28"/>
          <w:szCs w:val="28"/>
          <w:lang w:val="ru-RU"/>
        </w:rPr>
        <w:t xml:space="preserve"> // Управление корпоративными финансами. — 2005. — № 2. — С. 12–21.</w:t>
      </w:r>
    </w:p>
    <w:p w14:paraId="1EEF3F2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33. Чупина, И. П. Анализ состояния металлургической промышленности России / И. П. Чупина, А. В. </w:t>
      </w:r>
      <w:proofErr w:type="spellStart"/>
      <w:r w:rsidRPr="00B67275">
        <w:rPr>
          <w:rFonts w:ascii="Times New Roman" w:eastAsia="Times New Roman" w:hAnsi="Times New Roman" w:cs="Times New Roman"/>
          <w:sz w:val="28"/>
          <w:szCs w:val="28"/>
          <w:lang w:val="ru-RU"/>
        </w:rPr>
        <w:t>Тарабардина</w:t>
      </w:r>
      <w:proofErr w:type="spellEnd"/>
      <w:r w:rsidRPr="00B67275">
        <w:rPr>
          <w:rFonts w:ascii="Times New Roman" w:eastAsia="Times New Roman" w:hAnsi="Times New Roman" w:cs="Times New Roman"/>
          <w:sz w:val="28"/>
          <w:szCs w:val="28"/>
          <w:lang w:val="ru-RU"/>
        </w:rPr>
        <w:t xml:space="preserve"> // Вектор экономики. — 2024. — № 3. — С. 11–19.</w:t>
      </w:r>
    </w:p>
    <w:p w14:paraId="5B55EE08"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b/>
          <w:bCs/>
          <w:sz w:val="28"/>
          <w:szCs w:val="28"/>
          <w:lang w:val="en-US"/>
        </w:rPr>
        <w:t xml:space="preserve">IV. </w:t>
      </w:r>
      <w:r w:rsidRPr="00B67275">
        <w:rPr>
          <w:rFonts w:ascii="Times New Roman" w:eastAsia="Times New Roman" w:hAnsi="Times New Roman" w:cs="Times New Roman"/>
          <w:b/>
          <w:bCs/>
          <w:sz w:val="28"/>
          <w:szCs w:val="28"/>
        </w:rPr>
        <w:t>Литература</w:t>
      </w:r>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на</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иностранных</w:t>
      </w:r>
      <w:proofErr w:type="spellEnd"/>
      <w:r w:rsidRPr="00B67275">
        <w:rPr>
          <w:rFonts w:ascii="Times New Roman" w:eastAsia="Times New Roman" w:hAnsi="Times New Roman" w:cs="Times New Roman"/>
          <w:b/>
          <w:bCs/>
          <w:sz w:val="28"/>
          <w:szCs w:val="28"/>
          <w:lang w:val="en-US"/>
        </w:rPr>
        <w:t xml:space="preserve"> </w:t>
      </w:r>
      <w:proofErr w:type="spellStart"/>
      <w:r w:rsidRPr="00B67275">
        <w:rPr>
          <w:rFonts w:ascii="Times New Roman" w:eastAsia="Times New Roman" w:hAnsi="Times New Roman" w:cs="Times New Roman"/>
          <w:b/>
          <w:bCs/>
          <w:sz w:val="28"/>
          <w:szCs w:val="28"/>
        </w:rPr>
        <w:t>языках</w:t>
      </w:r>
      <w:proofErr w:type="spellEnd"/>
    </w:p>
    <w:p w14:paraId="0A99869C"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34. Fama, E. F. Choosing factors / E. F. Fama, K. R. French // Journal of Financial Economics. — 2018. — Vol. 128, no. 2. — P. 234–252.</w:t>
      </w:r>
    </w:p>
    <w:p w14:paraId="3ECDB470"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35. Fama, E. F. The Capital Asset Pricing Model: Theory and Evidence / E. F. Fama, K. R. French // Journal of Economic Perspectives. — 2004. — Vol. 18, no. 3. — P. 25–46.</w:t>
      </w:r>
    </w:p>
    <w:p w14:paraId="748FF524"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lastRenderedPageBreak/>
        <w:t xml:space="preserve">36. Markowitz, H. M. Portfolio Selection: Efficient Diversification of Investments / H. M. Markowitz. — New </w:t>
      </w:r>
      <w:proofErr w:type="gramStart"/>
      <w:r w:rsidRPr="00B67275">
        <w:rPr>
          <w:rFonts w:ascii="Times New Roman" w:eastAsia="Times New Roman" w:hAnsi="Times New Roman" w:cs="Times New Roman"/>
          <w:sz w:val="28"/>
          <w:szCs w:val="28"/>
          <w:lang w:val="en-US"/>
        </w:rPr>
        <w:t>York :</w:t>
      </w:r>
      <w:proofErr w:type="gramEnd"/>
      <w:r w:rsidRPr="00B67275">
        <w:rPr>
          <w:rFonts w:ascii="Times New Roman" w:eastAsia="Times New Roman" w:hAnsi="Times New Roman" w:cs="Times New Roman"/>
          <w:sz w:val="28"/>
          <w:szCs w:val="28"/>
          <w:lang w:val="en-US"/>
        </w:rPr>
        <w:t xml:space="preserve"> Wiley, 1959. — 344 p.</w:t>
      </w:r>
    </w:p>
    <w:p w14:paraId="51BC58B8"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37. Markowitz, H. M. Portfolio Selection / H. M. Markowitz // The Journal of Finance. — 1952. — Vol. 7, no. 1. — P. 77–91.</w:t>
      </w:r>
    </w:p>
    <w:p w14:paraId="41A46163"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38. Sharpe, W. F. Capital asset prices: a theory of market equilibrium under conditions of risk / W. F. Sharpe // The Journal of Finance. — 1964. — Vol. 19, no. 3. — P. 425–442.</w:t>
      </w:r>
    </w:p>
    <w:p w14:paraId="5A38E4EF"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39. Sharpe, W. F. Mutual Fund Performance / W. F. Sharpe // The Journal of Business. — 1966. — Vol. 39, no. 1. — P. 119–138.</w:t>
      </w:r>
    </w:p>
    <w:p w14:paraId="53B39A16"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40. Sortino, F. A. Performance Measurement in a Downside Risk Framework / F. A. Sortino, R. Van Der Meer // The Journal of Portfolio Management. — 1991. — Vol. 18, no. 1. — P. 27–31.</w:t>
      </w:r>
    </w:p>
    <w:p w14:paraId="2C2B2219"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41. Treynor, J. L. How to Rate Management of Investment Funds / J. L. Treynor // Harvard Business Review. — 1965. — Vol. 43, no. 1. — P. 63–75.</w:t>
      </w:r>
    </w:p>
    <w:p w14:paraId="0DC7E656"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42. Jensen, M. C. The Performance of Mutual Funds in the Period 1945–1964 / M. C. Jensen // The Journal of Finance. — 1968. — Vol. 23, no. 2. — P. 389–416.</w:t>
      </w:r>
    </w:p>
    <w:p w14:paraId="48DC2F22"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43. Altman, E. I. Predicting Financial Distress of Companies: Revisiting the Z-Score and ZETA Models / E. I. Altman // Stern School of Business Working Paper. — 2000. — 54 p.</w:t>
      </w:r>
    </w:p>
    <w:p w14:paraId="4209068A"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44. Black, F. The Pricing of Options and Corporate Liabilities / F. Black, M. Scholes // Journal of Political Economy. — 1973. — Vol. 81, no. 3. — P. 637–654.</w:t>
      </w:r>
    </w:p>
    <w:p w14:paraId="6F4CB824"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 xml:space="preserve">45. Damodaran, A. Investment Philosophies: Successful Strategies and the Investors Who Made Them Work / A. Damodaran. — 2nd ed. — </w:t>
      </w:r>
      <w:proofErr w:type="gramStart"/>
      <w:r w:rsidRPr="00B67275">
        <w:rPr>
          <w:rFonts w:ascii="Times New Roman" w:eastAsia="Times New Roman" w:hAnsi="Times New Roman" w:cs="Times New Roman"/>
          <w:sz w:val="28"/>
          <w:szCs w:val="28"/>
          <w:lang w:val="en-US"/>
        </w:rPr>
        <w:t>Hoboken :</w:t>
      </w:r>
      <w:proofErr w:type="gramEnd"/>
      <w:r w:rsidRPr="00B67275">
        <w:rPr>
          <w:rFonts w:ascii="Times New Roman" w:eastAsia="Times New Roman" w:hAnsi="Times New Roman" w:cs="Times New Roman"/>
          <w:sz w:val="28"/>
          <w:szCs w:val="28"/>
          <w:lang w:val="en-US"/>
        </w:rPr>
        <w:t xml:space="preserve"> Wiley, 2012. — 614 p.</w:t>
      </w:r>
    </w:p>
    <w:p w14:paraId="6D413F6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V</w:t>
      </w:r>
      <w:r w:rsidRPr="00B67275">
        <w:rPr>
          <w:rFonts w:ascii="Times New Roman" w:eastAsia="Times New Roman" w:hAnsi="Times New Roman" w:cs="Times New Roman"/>
          <w:b/>
          <w:bCs/>
          <w:sz w:val="28"/>
          <w:szCs w:val="28"/>
          <w:lang w:val="ru-RU"/>
        </w:rPr>
        <w:t>. Интернет-ресурсы и корпоративная финансовая отчётность</w:t>
      </w:r>
    </w:p>
    <w:p w14:paraId="7B294147"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46. Банк России (Центральный банк Российской Федерации</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cbr</w:t>
      </w:r>
      <w:proofErr w:type="spellEnd"/>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07.05.2026).</w:t>
      </w:r>
    </w:p>
    <w:p w14:paraId="78BA474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47. Московская </w:t>
      </w:r>
      <w:proofErr w:type="gramStart"/>
      <w:r w:rsidRPr="00B67275">
        <w:rPr>
          <w:rFonts w:ascii="Times New Roman" w:eastAsia="Times New Roman" w:hAnsi="Times New Roman" w:cs="Times New Roman"/>
          <w:sz w:val="28"/>
          <w:szCs w:val="28"/>
          <w:lang w:val="ru-RU"/>
        </w:rPr>
        <w:t>Биржа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moex</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07.05.2026).</w:t>
      </w:r>
    </w:p>
    <w:p w14:paraId="1D4DBD8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48. ПАО «Северсталь</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2023 год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severstal</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06.05.2026).</w:t>
      </w:r>
    </w:p>
    <w:p w14:paraId="4A6C76DA"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49. Федеральная служба государственной статистики (Росстат</w:t>
      </w:r>
      <w:proofErr w:type="gramStart"/>
      <w:r w:rsidRPr="00B67275">
        <w:rPr>
          <w:rFonts w:ascii="Times New Roman" w:eastAsia="Times New Roman" w:hAnsi="Times New Roman" w:cs="Times New Roman"/>
          <w:sz w:val="28"/>
          <w:szCs w:val="28"/>
          <w:lang w:val="ru-RU"/>
        </w:rPr>
        <w:t>) :</w:t>
      </w:r>
      <w:proofErr w:type="gramEnd"/>
      <w:r w:rsidRPr="00B67275">
        <w:rPr>
          <w:rFonts w:ascii="Times New Roman" w:eastAsia="Times New Roman" w:hAnsi="Times New Roman" w:cs="Times New Roman"/>
          <w:sz w:val="28"/>
          <w:szCs w:val="28"/>
          <w:lang w:val="ru-RU"/>
        </w:rPr>
        <w:t xml:space="preserve">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rosstat</w:t>
      </w:r>
      <w:proofErr w:type="spellEnd"/>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gov</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14:paraId="3E18536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50. Центр раскрытия корпоративной информации «Интерфакс»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e</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disclosure</w:t>
      </w:r>
      <w:r w:rsidRPr="00B67275">
        <w:rPr>
          <w:rFonts w:ascii="Times New Roman" w:eastAsia="Times New Roman" w:hAnsi="Times New Roman" w:cs="Times New Roman"/>
          <w:sz w:val="28"/>
          <w:szCs w:val="28"/>
          <w:lang w:val="ru-RU"/>
        </w:rPr>
        <w:t>.</w:t>
      </w:r>
      <w:proofErr w:type="spellStart"/>
      <w:r w:rsidRPr="00B67275">
        <w:rPr>
          <w:rFonts w:ascii="Times New Roman" w:eastAsia="Times New Roman" w:hAnsi="Times New Roman" w:cs="Times New Roman"/>
          <w:sz w:val="28"/>
          <w:szCs w:val="28"/>
        </w:rPr>
        <w:t>ru</w:t>
      </w:r>
      <w:proofErr w:type="spellEnd"/>
      <w:r w:rsidRPr="00B67275">
        <w:rPr>
          <w:rFonts w:ascii="Times New Roman" w:eastAsia="Times New Roman" w:hAnsi="Times New Roman" w:cs="Times New Roman"/>
          <w:sz w:val="28"/>
          <w:szCs w:val="28"/>
          <w:lang w:val="ru-RU"/>
        </w:rPr>
        <w:t>/ (дата обращения: 06.05.2026).</w:t>
      </w:r>
    </w:p>
    <w:p w14:paraId="46435CF8" w14:textId="77777777" w:rsidR="00FE64C3" w:rsidRPr="00B67275" w:rsidRDefault="00FE64C3" w:rsidP="00564EEC">
      <w:pPr>
        <w:spacing w:line="360" w:lineRule="auto"/>
        <w:ind w:firstLine="709"/>
        <w:jc w:val="both"/>
        <w:rPr>
          <w:rFonts w:ascii="Times New Roman" w:hAnsi="Times New Roman" w:cs="Times New Roman"/>
          <w:sz w:val="28"/>
          <w:szCs w:val="28"/>
          <w:lang w:val="ru-RU"/>
        </w:rPr>
      </w:pPr>
    </w:p>
    <w:p w14:paraId="215280CB" w14:textId="77777777" w:rsidR="00793D47" w:rsidRPr="00B67275" w:rsidRDefault="00793D47" w:rsidP="00564EEC">
      <w:pPr>
        <w:spacing w:line="360" w:lineRule="auto"/>
        <w:ind w:firstLine="709"/>
        <w:jc w:val="both"/>
        <w:rPr>
          <w:rFonts w:ascii="Times New Roman" w:hAnsi="Times New Roman" w:cs="Times New Roman"/>
          <w:sz w:val="28"/>
          <w:szCs w:val="28"/>
          <w:lang w:val="ru-RU"/>
        </w:rPr>
      </w:pPr>
    </w:p>
    <w:p w14:paraId="7523B865" w14:textId="77777777" w:rsidR="00793D47" w:rsidRPr="00B67275" w:rsidRDefault="00793D47" w:rsidP="00B67275">
      <w:pPr>
        <w:spacing w:line="360" w:lineRule="auto"/>
        <w:ind w:firstLine="709"/>
        <w:jc w:val="both"/>
        <w:rPr>
          <w:rFonts w:ascii="Times New Roman" w:hAnsi="Times New Roman" w:cs="Times New Roman"/>
          <w:b/>
          <w:bCs/>
          <w:sz w:val="28"/>
          <w:szCs w:val="28"/>
          <w:lang w:val="ru-RU"/>
        </w:rPr>
      </w:pPr>
    </w:p>
    <w:p w14:paraId="7665F3EC" w14:textId="77777777" w:rsidR="00793D47" w:rsidRDefault="00793D47" w:rsidP="00793D47">
      <w:pPr>
        <w:ind w:firstLine="709"/>
        <w:jc w:val="both"/>
        <w:rPr>
          <w:rFonts w:ascii="Times New Roman" w:hAnsi="Times New Roman" w:cs="Times New Roman"/>
          <w:b/>
          <w:bCs/>
          <w:sz w:val="28"/>
          <w:szCs w:val="28"/>
          <w:lang w:val="ru-RU"/>
        </w:rPr>
      </w:pPr>
    </w:p>
    <w:p w14:paraId="404BA10A" w14:textId="77777777" w:rsidR="00793D47" w:rsidRDefault="00793D47" w:rsidP="00793D47">
      <w:pPr>
        <w:ind w:firstLine="709"/>
        <w:jc w:val="both"/>
        <w:rPr>
          <w:rFonts w:ascii="Times New Roman" w:hAnsi="Times New Roman" w:cs="Times New Roman"/>
          <w:b/>
          <w:bCs/>
          <w:sz w:val="28"/>
          <w:szCs w:val="28"/>
          <w:lang w:val="ru-RU"/>
        </w:rPr>
      </w:pPr>
    </w:p>
    <w:p w14:paraId="306DE3A9" w14:textId="77777777" w:rsidR="00793D47" w:rsidRDefault="00793D47" w:rsidP="00793D47">
      <w:pPr>
        <w:ind w:firstLine="709"/>
        <w:jc w:val="both"/>
        <w:rPr>
          <w:rFonts w:ascii="Times New Roman" w:hAnsi="Times New Roman" w:cs="Times New Roman"/>
          <w:b/>
          <w:bCs/>
          <w:sz w:val="28"/>
          <w:szCs w:val="28"/>
          <w:lang w:val="ru-RU"/>
        </w:rPr>
      </w:pPr>
    </w:p>
    <w:p w14:paraId="02C39ADF" w14:textId="77777777" w:rsidR="00793D47" w:rsidRPr="00E64932" w:rsidRDefault="00793D47" w:rsidP="00612FCD">
      <w:pPr>
        <w:jc w:val="both"/>
        <w:rPr>
          <w:rFonts w:ascii="Times New Roman" w:hAnsi="Times New Roman" w:cs="Times New Roman"/>
          <w:sz w:val="28"/>
          <w:szCs w:val="28"/>
          <w:lang w:val="ru-RU"/>
        </w:rPr>
      </w:pPr>
    </w:p>
    <w:sectPr w:rsidR="00793D47" w:rsidRPr="00E64932" w:rsidSect="00F834A7">
      <w:footerReference w:type="default" r:id="rId9"/>
      <w:type w:val="oddPage"/>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315B" w14:textId="77777777" w:rsidR="00FF4459" w:rsidRDefault="00FF4459" w:rsidP="002C229C">
      <w:pPr>
        <w:spacing w:line="240" w:lineRule="auto"/>
      </w:pPr>
      <w:r>
        <w:separator/>
      </w:r>
    </w:p>
  </w:endnote>
  <w:endnote w:type="continuationSeparator" w:id="0">
    <w:p w14:paraId="6F7782C6" w14:textId="77777777" w:rsidR="00FF4459" w:rsidRDefault="00FF4459"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346923A5-A636-42D4-A030-E6633D3E5667}"/>
  </w:font>
  <w:font w:name="Tahoma">
    <w:panose1 w:val="020B0604030504040204"/>
    <w:charset w:val="CC"/>
    <w:family w:val="swiss"/>
    <w:pitch w:val="variable"/>
    <w:sig w:usb0="E1002EFF" w:usb1="C000605B" w:usb2="00000029" w:usb3="00000000" w:csb0="000101FF" w:csb1="00000000"/>
    <w:embedRegular r:id="rId2" w:fontKey="{77F6308D-BA99-4EF1-9DE0-99403B36D767}"/>
  </w:font>
  <w:font w:name="Gungsuh">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embedItalic r:id="rId3" w:fontKey="{463A2DD6-9C32-4310-BF2F-A75532AA4724}"/>
  </w:font>
  <w:font w:name="Cambria">
    <w:panose1 w:val="02040503050406030204"/>
    <w:charset w:val="CC"/>
    <w:family w:val="roman"/>
    <w:pitch w:val="variable"/>
    <w:sig w:usb0="E00006FF" w:usb1="420024FF" w:usb2="02000000" w:usb3="00000000" w:csb0="0000019F" w:csb1="00000000"/>
    <w:embedRegular r:id="rId4" w:fontKey="{7C18254D-B070-4926-BDFA-1FD57926F2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677407" w:rsidRPr="00CD1CF2" w:rsidRDefault="00677407">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94314F" w:rsidRPr="0094314F">
          <w:rPr>
            <w:rFonts w:ascii="Times New Roman" w:hAnsi="Times New Roman" w:cs="Times New Roman"/>
            <w:noProof/>
            <w:sz w:val="28"/>
            <w:szCs w:val="28"/>
            <w:lang w:val="ru-RU"/>
          </w:rPr>
          <w:t>4</w:t>
        </w:r>
        <w:r w:rsidRPr="00CD1CF2">
          <w:rPr>
            <w:rFonts w:ascii="Times New Roman" w:hAnsi="Times New Roman" w:cs="Times New Roman"/>
            <w:sz w:val="28"/>
            <w:szCs w:val="28"/>
          </w:rPr>
          <w:fldChar w:fldCharType="end"/>
        </w:r>
      </w:p>
    </w:sdtContent>
  </w:sdt>
  <w:p w14:paraId="2DF55FA3" w14:textId="77777777" w:rsidR="00677407" w:rsidRDefault="0067740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83F1" w14:textId="77777777" w:rsidR="00FF4459" w:rsidRDefault="00FF4459" w:rsidP="002C229C">
      <w:pPr>
        <w:spacing w:line="240" w:lineRule="auto"/>
      </w:pPr>
      <w:r>
        <w:separator/>
      </w:r>
    </w:p>
  </w:footnote>
  <w:footnote w:type="continuationSeparator" w:id="0">
    <w:p w14:paraId="4EECF0FD" w14:textId="77777777" w:rsidR="00FF4459" w:rsidRDefault="00FF4459"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498661">
    <w:abstractNumId w:val="1"/>
  </w:num>
  <w:num w:numId="2" w16cid:durableId="299500119">
    <w:abstractNumId w:val="19"/>
  </w:num>
  <w:num w:numId="3" w16cid:durableId="1670910368">
    <w:abstractNumId w:val="7"/>
  </w:num>
  <w:num w:numId="4" w16cid:durableId="1571186203">
    <w:abstractNumId w:val="20"/>
  </w:num>
  <w:num w:numId="5" w16cid:durableId="312685302">
    <w:abstractNumId w:val="16"/>
  </w:num>
  <w:num w:numId="6" w16cid:durableId="583953480">
    <w:abstractNumId w:val="15"/>
  </w:num>
  <w:num w:numId="7" w16cid:durableId="42564256">
    <w:abstractNumId w:val="9"/>
  </w:num>
  <w:num w:numId="8" w16cid:durableId="168952913">
    <w:abstractNumId w:val="12"/>
  </w:num>
  <w:num w:numId="9" w16cid:durableId="1601185510">
    <w:abstractNumId w:val="2"/>
  </w:num>
  <w:num w:numId="10" w16cid:durableId="1140613886">
    <w:abstractNumId w:val="18"/>
  </w:num>
  <w:num w:numId="11" w16cid:durableId="279728497">
    <w:abstractNumId w:val="14"/>
  </w:num>
  <w:num w:numId="12" w16cid:durableId="476654995">
    <w:abstractNumId w:val="8"/>
  </w:num>
  <w:num w:numId="13" w16cid:durableId="1513716004">
    <w:abstractNumId w:val="3"/>
  </w:num>
  <w:num w:numId="14" w16cid:durableId="325742274">
    <w:abstractNumId w:val="13"/>
  </w:num>
  <w:num w:numId="15" w16cid:durableId="605190518">
    <w:abstractNumId w:val="17"/>
  </w:num>
  <w:num w:numId="16" w16cid:durableId="749083550">
    <w:abstractNumId w:val="0"/>
  </w:num>
  <w:num w:numId="17" w16cid:durableId="589125997">
    <w:abstractNumId w:val="4"/>
  </w:num>
  <w:num w:numId="18" w16cid:durableId="1850605958">
    <w:abstractNumId w:val="6"/>
  </w:num>
  <w:num w:numId="19" w16cid:durableId="1867284358">
    <w:abstractNumId w:val="5"/>
  </w:num>
  <w:num w:numId="20" w16cid:durableId="1037394356">
    <w:abstractNumId w:val="10"/>
  </w:num>
  <w:num w:numId="21" w16cid:durableId="1433628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F4"/>
    <w:rsid w:val="0000516F"/>
    <w:rsid w:val="00020A98"/>
    <w:rsid w:val="00041F4F"/>
    <w:rsid w:val="0007704C"/>
    <w:rsid w:val="000C0B11"/>
    <w:rsid w:val="00205FD5"/>
    <w:rsid w:val="00217885"/>
    <w:rsid w:val="00220139"/>
    <w:rsid w:val="002B401D"/>
    <w:rsid w:val="002C229C"/>
    <w:rsid w:val="004167DF"/>
    <w:rsid w:val="004605F7"/>
    <w:rsid w:val="00467F49"/>
    <w:rsid w:val="004C64C2"/>
    <w:rsid w:val="004F3E51"/>
    <w:rsid w:val="0051150E"/>
    <w:rsid w:val="00564EEC"/>
    <w:rsid w:val="0057476F"/>
    <w:rsid w:val="00580BE4"/>
    <w:rsid w:val="005F2182"/>
    <w:rsid w:val="00612FCD"/>
    <w:rsid w:val="00631EF4"/>
    <w:rsid w:val="00653A71"/>
    <w:rsid w:val="00673439"/>
    <w:rsid w:val="00675B6A"/>
    <w:rsid w:val="00677407"/>
    <w:rsid w:val="006C1187"/>
    <w:rsid w:val="00710322"/>
    <w:rsid w:val="00793D47"/>
    <w:rsid w:val="007C0ED7"/>
    <w:rsid w:val="007D27F4"/>
    <w:rsid w:val="008521AF"/>
    <w:rsid w:val="00871D2B"/>
    <w:rsid w:val="00876867"/>
    <w:rsid w:val="00884363"/>
    <w:rsid w:val="008B4AFE"/>
    <w:rsid w:val="0094314F"/>
    <w:rsid w:val="0097563D"/>
    <w:rsid w:val="00A30BC7"/>
    <w:rsid w:val="00AC43B0"/>
    <w:rsid w:val="00AF1EBB"/>
    <w:rsid w:val="00B50D38"/>
    <w:rsid w:val="00B67275"/>
    <w:rsid w:val="00BA0E02"/>
    <w:rsid w:val="00C20E26"/>
    <w:rsid w:val="00C76864"/>
    <w:rsid w:val="00CD00E9"/>
    <w:rsid w:val="00CD1CF2"/>
    <w:rsid w:val="00DA4464"/>
    <w:rsid w:val="00DD5FC9"/>
    <w:rsid w:val="00DE18F0"/>
    <w:rsid w:val="00E528FF"/>
    <w:rsid w:val="00E64932"/>
    <w:rsid w:val="00EC4086"/>
    <w:rsid w:val="00F74D7F"/>
    <w:rsid w:val="00F834A7"/>
    <w:rsid w:val="00F8537A"/>
    <w:rsid w:val="00FB4C04"/>
    <w:rsid w:val="00FE64C3"/>
    <w:rsid w:val="00FF0F5C"/>
    <w:rsid w:val="00FF3E0E"/>
    <w:rsid w:val="00FF4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FC9"/>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2964D-A72F-4ADC-8BC1-59AA4E13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70</Pages>
  <Words>15869</Words>
  <Characters>90458</Characters>
  <Application>Microsoft Office Word</Application>
  <DocSecurity>0</DocSecurity>
  <Lines>753</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Александр</cp:lastModifiedBy>
  <cp:revision>8</cp:revision>
  <dcterms:created xsi:type="dcterms:W3CDTF">2026-06-13T12:57:00Z</dcterms:created>
  <dcterms:modified xsi:type="dcterms:W3CDTF">2026-06-14T10:54:00Z</dcterms:modified>
</cp:coreProperties>
</file>