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8F293" w14:textId="134EB38B" w:rsidR="00986467" w:rsidRPr="003E7AB9" w:rsidRDefault="00986467" w:rsidP="00986467">
      <w:pPr>
        <w:keepNext/>
        <w:keepLines/>
        <w:spacing w:after="0" w:line="240" w:lineRule="auto"/>
        <w:ind w:left="5103" w:right="-427"/>
        <w:outlineLvl w:val="0"/>
        <w:rPr>
          <w:rFonts w:ascii="Times New Roman" w:eastAsia="Times New Roman" w:hAnsi="Times New Roman"/>
          <w:sz w:val="20"/>
          <w:szCs w:val="20"/>
          <w:lang w:val="ru-RU"/>
        </w:rPr>
      </w:pPr>
      <w:bookmarkStart w:id="0" w:name="_Toc488797005"/>
      <w:bookmarkStart w:id="1" w:name="_GoBack"/>
      <w:bookmarkEnd w:id="1"/>
      <w:r w:rsidRPr="003E7AB9">
        <w:rPr>
          <w:rFonts w:ascii="Times New Roman" w:hAnsi="Times New Roman"/>
          <w:sz w:val="20"/>
          <w:lang w:val="ru-RU"/>
        </w:rPr>
        <w:t>Приложение 4</w:t>
      </w:r>
    </w:p>
    <w:p w14:paraId="0DFEE82B" w14:textId="39200DE5" w:rsidR="00986467" w:rsidRPr="003E7AB9" w:rsidRDefault="00986467" w:rsidP="00986467">
      <w:pPr>
        <w:spacing w:after="0"/>
        <w:ind w:left="5103" w:right="-427"/>
        <w:rPr>
          <w:rFonts w:ascii="Times New Roman" w:eastAsia="Times New Roman" w:hAnsi="Times New Roman"/>
          <w:bCs/>
          <w:sz w:val="20"/>
          <w:szCs w:val="20"/>
          <w:lang w:val="ru-RU" w:eastAsia="ru-RU"/>
        </w:rPr>
      </w:pPr>
      <w:r w:rsidRPr="003E7AB9">
        <w:rPr>
          <w:rFonts w:ascii="Times New Roman" w:hAnsi="Times New Roman"/>
          <w:sz w:val="20"/>
          <w:szCs w:val="20"/>
          <w:lang w:val="ru-RU"/>
        </w:rPr>
        <w:t>к Порядку</w:t>
      </w:r>
      <w:r w:rsidRPr="003E7AB9">
        <w:rPr>
          <w:rFonts w:ascii="Times New Roman" w:eastAsia="Times New Roman" w:hAnsi="Times New Roman"/>
          <w:bCs/>
          <w:sz w:val="20"/>
          <w:szCs w:val="20"/>
          <w:lang w:val="ru-RU" w:eastAsia="ru-RU"/>
        </w:rPr>
        <w:t xml:space="preserve"> определения дефолта по операциям</w:t>
      </w:r>
      <w:r w:rsidRPr="003E7AB9">
        <w:rPr>
          <w:rFonts w:ascii="Times New Roman" w:eastAsia="Times New Roman" w:hAnsi="Times New Roman"/>
          <w:bCs/>
          <w:sz w:val="20"/>
          <w:szCs w:val="20"/>
          <w:lang w:val="ru-RU" w:eastAsia="ru-RU"/>
        </w:rPr>
        <w:br/>
        <w:t>АО «Россельхозбанк», несущим кредитный риск</w:t>
      </w:r>
      <w:r w:rsidR="004B3701">
        <w:rPr>
          <w:rFonts w:ascii="Times New Roman" w:eastAsia="Times New Roman" w:hAnsi="Times New Roman"/>
          <w:bCs/>
          <w:sz w:val="20"/>
          <w:szCs w:val="20"/>
          <w:lang w:val="ru-RU" w:eastAsia="ru-RU"/>
        </w:rPr>
        <w:t>,</w:t>
      </w:r>
      <w:r w:rsidRPr="003E7AB9">
        <w:rPr>
          <w:rFonts w:ascii="Times New Roman" w:eastAsia="Times New Roman" w:hAnsi="Times New Roman"/>
          <w:bCs/>
          <w:sz w:val="20"/>
          <w:szCs w:val="20"/>
          <w:lang w:val="ru-RU" w:eastAsia="ru-RU"/>
        </w:rPr>
        <w:t xml:space="preserve"> № </w:t>
      </w:r>
      <w:r w:rsidR="004B3701">
        <w:rPr>
          <w:rFonts w:ascii="Times New Roman" w:eastAsia="Times New Roman" w:hAnsi="Times New Roman"/>
          <w:bCs/>
          <w:sz w:val="20"/>
          <w:szCs w:val="20"/>
          <w:lang w:val="ru-RU" w:eastAsia="ru-RU"/>
        </w:rPr>
        <w:t>595</w:t>
      </w:r>
      <w:r w:rsidRPr="003E7AB9">
        <w:rPr>
          <w:rFonts w:ascii="Times New Roman" w:eastAsia="Times New Roman" w:hAnsi="Times New Roman"/>
          <w:bCs/>
          <w:sz w:val="20"/>
          <w:szCs w:val="20"/>
          <w:lang w:val="ru-RU" w:eastAsia="ru-RU"/>
        </w:rPr>
        <w:t>-П</w:t>
      </w:r>
    </w:p>
    <w:p w14:paraId="071D695B" w14:textId="61DFF5BD" w:rsidR="00986467" w:rsidRPr="003E7AB9" w:rsidRDefault="00986467" w:rsidP="00611794">
      <w:pPr>
        <w:spacing w:after="0"/>
        <w:ind w:left="5103" w:right="-427"/>
        <w:rPr>
          <w:rFonts w:ascii="Times New Roman" w:hAnsi="Times New Roman"/>
          <w:sz w:val="20"/>
          <w:szCs w:val="20"/>
          <w:lang w:val="ru-RU"/>
        </w:rPr>
      </w:pPr>
      <w:r w:rsidRPr="003E7AB9">
        <w:rPr>
          <w:rFonts w:ascii="Times New Roman" w:hAnsi="Times New Roman"/>
          <w:sz w:val="20"/>
          <w:szCs w:val="20"/>
          <w:lang w:val="ru-RU"/>
        </w:rPr>
        <w:t>(</w:t>
      </w:r>
      <w:r w:rsidRPr="003E7AB9">
        <w:rPr>
          <w:rFonts w:ascii="Times New Roman" w:eastAsia="Times New Roman" w:hAnsi="Times New Roman"/>
          <w:bCs/>
          <w:sz w:val="20"/>
          <w:szCs w:val="20"/>
          <w:lang w:val="ru-RU" w:eastAsia="ru-RU"/>
        </w:rPr>
        <w:t>приказ</w:t>
      </w:r>
      <w:r w:rsidRPr="003E7AB9">
        <w:rPr>
          <w:rFonts w:ascii="Times New Roman" w:hAnsi="Times New Roman"/>
          <w:sz w:val="20"/>
          <w:szCs w:val="20"/>
          <w:lang w:val="ru-RU"/>
        </w:rPr>
        <w:t xml:space="preserve"> АО «Россельхозбанк» </w:t>
      </w:r>
      <w:r w:rsidR="0035498A" w:rsidRPr="0035498A">
        <w:rPr>
          <w:rFonts w:ascii="Times New Roman" w:hAnsi="Times New Roman"/>
          <w:sz w:val="20"/>
          <w:szCs w:val="20"/>
          <w:lang w:val="ru-RU"/>
        </w:rPr>
        <w:t>от 21.08.2018 № 794-ОД</w:t>
      </w:r>
      <w:r w:rsidRPr="003E7AB9">
        <w:rPr>
          <w:rFonts w:ascii="Times New Roman" w:hAnsi="Times New Roman"/>
          <w:sz w:val="20"/>
          <w:szCs w:val="20"/>
          <w:lang w:val="ru-RU"/>
        </w:rPr>
        <w:t>)</w:t>
      </w:r>
    </w:p>
    <w:p w14:paraId="7E60FBF7" w14:textId="77777777" w:rsidR="00A94F1D" w:rsidRPr="007A654B" w:rsidRDefault="00A94F1D" w:rsidP="00611794">
      <w:pPr>
        <w:pStyle w:val="1"/>
        <w:spacing w:after="240" w:line="240" w:lineRule="auto"/>
        <w:jc w:val="center"/>
        <w:rPr>
          <w:sz w:val="24"/>
          <w:lang w:val="ru-RU"/>
        </w:rPr>
      </w:pPr>
      <w:r w:rsidRPr="007A654B">
        <w:rPr>
          <w:sz w:val="24"/>
          <w:lang w:val="ru-RU"/>
        </w:rPr>
        <w:t xml:space="preserve">События, влекущие признание финансового инструмента дефолтным (события дефолта) </w:t>
      </w:r>
      <w:r w:rsidR="005330D0">
        <w:rPr>
          <w:sz w:val="24"/>
          <w:szCs w:val="24"/>
          <w:lang w:val="ru-RU"/>
        </w:rPr>
        <w:br/>
      </w:r>
      <w:r w:rsidRPr="007A654B">
        <w:rPr>
          <w:sz w:val="24"/>
          <w:lang w:val="ru-RU"/>
        </w:rPr>
        <w:t>и условия прекращения данных событий</w:t>
      </w:r>
      <w:bookmarkEnd w:id="0"/>
    </w:p>
    <w:p w14:paraId="02755ED0" w14:textId="77777777" w:rsidR="00A94F1D" w:rsidRPr="00986467" w:rsidRDefault="00A94F1D" w:rsidP="007A654B">
      <w:pPr>
        <w:spacing w:after="120" w:line="240" w:lineRule="auto"/>
        <w:ind w:firstLine="709"/>
        <w:jc w:val="both"/>
        <w:rPr>
          <w:rFonts w:ascii="Times New Roman" w:hAnsi="Times New Roman"/>
          <w:sz w:val="24"/>
          <w:szCs w:val="24"/>
          <w:lang w:val="ru-RU"/>
        </w:rPr>
      </w:pPr>
      <w:r w:rsidRPr="00986467">
        <w:rPr>
          <w:rFonts w:ascii="Times New Roman" w:hAnsi="Times New Roman"/>
          <w:b/>
          <w:sz w:val="24"/>
          <w:szCs w:val="24"/>
          <w:lang w:val="ru-RU"/>
        </w:rPr>
        <w:t>1. События дефолта и условия прекращения события дефолта для Требований к корпоративным заемщикам и индивидуальным предпринимателям</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957"/>
        <w:gridCol w:w="5216"/>
      </w:tblGrid>
      <w:tr w:rsidR="009F51DB" w:rsidRPr="0035498A" w14:paraId="6F0DC8B5" w14:textId="77777777" w:rsidTr="00CB0AB7">
        <w:trPr>
          <w:trHeight w:val="266"/>
          <w:tblHeader/>
        </w:trPr>
        <w:tc>
          <w:tcPr>
            <w:tcW w:w="4957" w:type="dxa"/>
            <w:shd w:val="clear" w:color="auto" w:fill="D9D9D9" w:themeFill="background1" w:themeFillShade="D9"/>
            <w:vAlign w:val="center"/>
          </w:tcPr>
          <w:p w14:paraId="6BC2FF91" w14:textId="77777777" w:rsidR="00A94F1D" w:rsidRPr="00D25FF0" w:rsidRDefault="00A94F1D" w:rsidP="00CB0AB7">
            <w:pPr>
              <w:spacing w:before="60" w:after="60" w:line="240" w:lineRule="auto"/>
              <w:jc w:val="center"/>
              <w:rPr>
                <w:rFonts w:ascii="Times New Roman" w:hAnsi="Times New Roman"/>
                <w:sz w:val="24"/>
                <w:lang w:val="ru-RU"/>
              </w:rPr>
            </w:pPr>
            <w:r w:rsidRPr="00D25FF0">
              <w:rPr>
                <w:rFonts w:ascii="Times New Roman" w:hAnsi="Times New Roman"/>
                <w:sz w:val="24"/>
                <w:lang w:val="ru-RU"/>
              </w:rPr>
              <w:t>События дефолта</w:t>
            </w:r>
          </w:p>
        </w:tc>
        <w:tc>
          <w:tcPr>
            <w:tcW w:w="5216" w:type="dxa"/>
            <w:shd w:val="clear" w:color="auto" w:fill="D9D9D9" w:themeFill="background1" w:themeFillShade="D9"/>
            <w:vAlign w:val="center"/>
          </w:tcPr>
          <w:p w14:paraId="32D34BC0" w14:textId="77777777" w:rsidR="00A94F1D" w:rsidRPr="00D25FF0" w:rsidRDefault="00A94F1D" w:rsidP="00CB0AB7">
            <w:pPr>
              <w:spacing w:before="60" w:after="60" w:line="240" w:lineRule="auto"/>
              <w:jc w:val="center"/>
              <w:rPr>
                <w:rFonts w:ascii="Times New Roman" w:eastAsiaTheme="minorHAnsi" w:hAnsi="Times New Roman" w:cstheme="minorBidi"/>
                <w:sz w:val="24"/>
                <w:lang w:val="ru-RU"/>
              </w:rPr>
            </w:pPr>
            <w:r w:rsidRPr="00D25FF0">
              <w:rPr>
                <w:rFonts w:ascii="Times New Roman" w:hAnsi="Times New Roman"/>
                <w:sz w:val="24"/>
                <w:lang w:val="ru-RU"/>
              </w:rPr>
              <w:t>Условия прекращения событий дефолта (если приведено несколько условий достаточно выполнения одного из условий)</w:t>
            </w:r>
          </w:p>
        </w:tc>
      </w:tr>
      <w:tr w:rsidR="009F51DB" w:rsidRPr="0035498A" w14:paraId="1EC7D129" w14:textId="77777777" w:rsidTr="00D25FF0">
        <w:trPr>
          <w:trHeight w:val="595"/>
        </w:trPr>
        <w:tc>
          <w:tcPr>
            <w:tcW w:w="4957" w:type="dxa"/>
            <w:shd w:val="clear" w:color="auto" w:fill="FFFFFF"/>
          </w:tcPr>
          <w:p w14:paraId="7ED9BE49" w14:textId="0FCE1E02"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Срок просроченной задолженности</w:t>
            </w:r>
            <w:r w:rsidR="00BE1359">
              <w:rPr>
                <w:rStyle w:val="a6"/>
                <w:rFonts w:ascii="Times New Roman" w:hAnsi="Times New Roman"/>
                <w:sz w:val="24"/>
                <w:szCs w:val="24"/>
              </w:rPr>
              <w:footnoteReference w:id="2"/>
            </w:r>
            <w:r w:rsidR="00BE1359" w:rsidRPr="00BE1359">
              <w:rPr>
                <w:rFonts w:ascii="Times New Roman" w:hAnsi="Times New Roman"/>
                <w:sz w:val="24"/>
                <w:szCs w:val="24"/>
                <w:lang w:val="ru-RU"/>
              </w:rPr>
              <w:t>.</w:t>
            </w:r>
            <w:r w:rsidRPr="002239E9">
              <w:rPr>
                <w:rFonts w:ascii="Times New Roman" w:hAnsi="Times New Roman"/>
                <w:sz w:val="24"/>
                <w:szCs w:val="24"/>
                <w:lang w:val="ru-RU"/>
              </w:rPr>
              <w:t xml:space="preserve"> превысил 90 дней</w:t>
            </w:r>
          </w:p>
        </w:tc>
        <w:tc>
          <w:tcPr>
            <w:tcW w:w="5216" w:type="dxa"/>
            <w:shd w:val="clear" w:color="auto" w:fill="FFFFFF"/>
          </w:tcPr>
          <w:p w14:paraId="02660483" w14:textId="5FAF10F1" w:rsidR="00A94F1D" w:rsidRPr="002239E9" w:rsidRDefault="005330D0" w:rsidP="007A654B">
            <w:pPr>
              <w:numPr>
                <w:ilvl w:val="0"/>
                <w:numId w:val="4"/>
              </w:numPr>
              <w:tabs>
                <w:tab w:val="left" w:pos="371"/>
              </w:tabs>
              <w:spacing w:after="0" w:line="240" w:lineRule="auto"/>
              <w:ind w:left="5" w:firstLine="0"/>
              <w:rPr>
                <w:rFonts w:ascii="Times New Roman" w:hAnsi="Times New Roman"/>
                <w:sz w:val="24"/>
                <w:szCs w:val="24"/>
                <w:lang w:val="ru-RU"/>
              </w:rPr>
            </w:pPr>
            <w:r>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9F51DB" w:rsidRPr="0035498A" w14:paraId="704124DC" w14:textId="77777777" w:rsidTr="00D25FF0">
        <w:trPr>
          <w:trHeight w:val="595"/>
        </w:trPr>
        <w:tc>
          <w:tcPr>
            <w:tcW w:w="4957" w:type="dxa"/>
            <w:shd w:val="clear" w:color="auto" w:fill="FFFFFF"/>
          </w:tcPr>
          <w:p w14:paraId="72AFD4E1" w14:textId="2B6C271C"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Проведение вынужденной неокончательной реструктуризации</w:t>
            </w:r>
            <w:r w:rsidR="00E35BBB" w:rsidRPr="005D48F6">
              <w:rPr>
                <w:rFonts w:ascii="Times New Roman" w:hAnsi="Times New Roman"/>
                <w:sz w:val="24"/>
                <w:szCs w:val="24"/>
                <w:lang w:val="ru-RU"/>
              </w:rPr>
              <w:t>.</w:t>
            </w:r>
            <w:r w:rsidR="00791DC1">
              <w:rPr>
                <w:rFonts w:ascii="Times New Roman" w:hAnsi="Times New Roman"/>
                <w:sz w:val="24"/>
                <w:szCs w:val="24"/>
                <w:lang w:val="ru-RU"/>
              </w:rPr>
              <w:t xml:space="preserve"> </w:t>
            </w:r>
            <w:r w:rsidRPr="002239E9">
              <w:rPr>
                <w:rFonts w:ascii="Times New Roman" w:hAnsi="Times New Roman"/>
                <w:sz w:val="24"/>
                <w:szCs w:val="24"/>
                <w:lang w:val="ru-RU"/>
              </w:rPr>
              <w:t>Датой наступления события дефолта является дата принятия уполномоченным органом Банка решения о проведении вынужденной неокончательной реструктуризации</w:t>
            </w:r>
          </w:p>
        </w:tc>
        <w:tc>
          <w:tcPr>
            <w:tcW w:w="5216" w:type="dxa"/>
            <w:shd w:val="clear" w:color="auto" w:fill="FFFFFF"/>
          </w:tcPr>
          <w:p w14:paraId="5E86BB6A" w14:textId="79E6C619" w:rsidR="00A94F1D" w:rsidRPr="002239E9" w:rsidRDefault="005330D0" w:rsidP="007A654B">
            <w:pPr>
              <w:numPr>
                <w:ilvl w:val="0"/>
                <w:numId w:val="2"/>
              </w:numPr>
              <w:tabs>
                <w:tab w:val="left" w:pos="430"/>
              </w:tabs>
              <w:spacing w:after="0" w:line="240" w:lineRule="auto"/>
              <w:ind w:left="5" w:hanging="5"/>
              <w:rPr>
                <w:rFonts w:ascii="Times New Roman" w:hAnsi="Times New Roman"/>
                <w:sz w:val="24"/>
                <w:szCs w:val="24"/>
                <w:lang w:val="ru-RU"/>
              </w:rPr>
            </w:pPr>
            <w:r>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(по</w:t>
            </w:r>
            <w:r w:rsidR="00D25FF0">
              <w:rPr>
                <w:rFonts w:ascii="Times New Roman" w:hAnsi="Times New Roman"/>
                <w:sz w:val="24"/>
                <w:szCs w:val="24"/>
                <w:lang w:val="ru-RU"/>
              </w:rPr>
              <w:t>дписание соглашения с заемщиком/</w:t>
            </w:r>
            <w:r w:rsidR="00A94F1D" w:rsidRPr="002239E9">
              <w:rPr>
                <w:rFonts w:ascii="Times New Roman" w:hAnsi="Times New Roman"/>
                <w:sz w:val="24"/>
                <w:szCs w:val="24"/>
                <w:lang w:val="ru-RU"/>
              </w:rPr>
              <w:t>контрагентом) при условии, что реструктуризация является окончательной</w:t>
            </w:r>
          </w:p>
          <w:p w14:paraId="71D0BF20" w14:textId="77777777" w:rsidR="00A94F1D" w:rsidRPr="002239E9" w:rsidRDefault="00A94F1D" w:rsidP="007A654B">
            <w:pPr>
              <w:spacing w:after="0" w:line="240" w:lineRule="auto"/>
              <w:ind w:left="227"/>
              <w:rPr>
                <w:rFonts w:ascii="Times New Roman" w:hAnsi="Times New Roman"/>
                <w:sz w:val="24"/>
                <w:szCs w:val="24"/>
                <w:lang w:val="ru-RU"/>
              </w:rPr>
            </w:pPr>
          </w:p>
        </w:tc>
      </w:tr>
      <w:tr w:rsidR="009F51DB" w:rsidRPr="0035498A" w14:paraId="2731FBFF" w14:textId="77777777" w:rsidTr="00D25FF0">
        <w:trPr>
          <w:trHeight w:val="452"/>
        </w:trPr>
        <w:tc>
          <w:tcPr>
            <w:tcW w:w="4957" w:type="dxa"/>
            <w:shd w:val="clear" w:color="auto" w:fill="FFFFFF"/>
          </w:tcPr>
          <w:p w14:paraId="0E2FFE0B" w14:textId="304D9DCA" w:rsidR="00A94F1D" w:rsidRPr="00B84197"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Присвоение контрагенту/инструменту дефолтного рейтинга международным рейтинговым агентством</w:t>
            </w:r>
          </w:p>
        </w:tc>
        <w:tc>
          <w:tcPr>
            <w:tcW w:w="5216" w:type="dxa"/>
            <w:shd w:val="clear" w:color="auto" w:fill="FFFFFF"/>
          </w:tcPr>
          <w:p w14:paraId="623191AF" w14:textId="3B97D6E0" w:rsidR="00A94F1D" w:rsidRPr="002239E9" w:rsidRDefault="00554F12" w:rsidP="007A654B">
            <w:pPr>
              <w:numPr>
                <w:ilvl w:val="0"/>
                <w:numId w:val="3"/>
              </w:numPr>
              <w:tabs>
                <w:tab w:val="clear" w:pos="720"/>
                <w:tab w:val="num"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рисвоение контрагенту/инструменту рейтинга выше дефолтного;</w:t>
            </w:r>
          </w:p>
          <w:p w14:paraId="22AECE6D" w14:textId="684BBFB7" w:rsidR="00A94F1D" w:rsidRPr="002239E9" w:rsidRDefault="00554F12" w:rsidP="007A654B">
            <w:pPr>
              <w:numPr>
                <w:ilvl w:val="0"/>
                <w:numId w:val="3"/>
              </w:numPr>
              <w:tabs>
                <w:tab w:val="clear" w:pos="720"/>
                <w:tab w:val="num"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тзыв у контрагента/инструмента дефолтного рейтинга</w:t>
            </w:r>
          </w:p>
        </w:tc>
      </w:tr>
      <w:tr w:rsidR="009F51DB" w:rsidRPr="0035498A" w14:paraId="4A275D3D" w14:textId="77777777" w:rsidTr="00D25FF0">
        <w:trPr>
          <w:trHeight w:val="285"/>
        </w:trPr>
        <w:tc>
          <w:tcPr>
            <w:tcW w:w="4957" w:type="dxa"/>
            <w:shd w:val="clear" w:color="auto" w:fill="FFFFFF"/>
          </w:tcPr>
          <w:p w14:paraId="439D3BA8" w14:textId="2A3DEFBA"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Признание заемщика/контрагента банкротом – решение суда о введении любой процедуры банкротства заемщика/контрагента или признании заемщика/контрагента банкротом</w:t>
            </w:r>
          </w:p>
        </w:tc>
        <w:tc>
          <w:tcPr>
            <w:tcW w:w="5216" w:type="dxa"/>
            <w:shd w:val="clear" w:color="auto" w:fill="FFFFFF"/>
          </w:tcPr>
          <w:p w14:paraId="02066398" w14:textId="2BFE9887" w:rsidR="00A94F1D" w:rsidRPr="002239E9" w:rsidRDefault="00554F12" w:rsidP="007A654B">
            <w:pPr>
              <w:numPr>
                <w:ilvl w:val="0"/>
                <w:numId w:val="5"/>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рекращение процедуры банкротства по решению суда</w:t>
            </w:r>
          </w:p>
        </w:tc>
      </w:tr>
      <w:tr w:rsidR="009F51DB" w:rsidRPr="0035498A" w14:paraId="11491EBF" w14:textId="77777777" w:rsidTr="00D25FF0">
        <w:trPr>
          <w:trHeight w:val="285"/>
        </w:trPr>
        <w:tc>
          <w:tcPr>
            <w:tcW w:w="4957" w:type="dxa"/>
            <w:shd w:val="clear" w:color="auto" w:fill="FFFFFF"/>
          </w:tcPr>
          <w:p w14:paraId="6330CEA4" w14:textId="612E2D56" w:rsidR="00A94F1D" w:rsidRPr="002239E9" w:rsidRDefault="00A94F1D" w:rsidP="007A654B">
            <w:pPr>
              <w:spacing w:after="0" w:line="240" w:lineRule="auto"/>
              <w:rPr>
                <w:rFonts w:ascii="Times New Roman" w:hAnsi="Times New Roman"/>
                <w:sz w:val="24"/>
                <w:szCs w:val="24"/>
              </w:rPr>
            </w:pPr>
            <w:r w:rsidRPr="002239E9">
              <w:rPr>
                <w:rFonts w:ascii="Times New Roman" w:hAnsi="Times New Roman"/>
                <w:sz w:val="24"/>
                <w:szCs w:val="24"/>
                <w:lang w:val="ru-RU"/>
              </w:rPr>
              <w:t>Добровольная ликвидация заемщика/контрагента</w:t>
            </w:r>
            <w:r w:rsidRPr="002239E9">
              <w:rPr>
                <w:rFonts w:ascii="Times New Roman" w:hAnsi="Times New Roman"/>
                <w:sz w:val="24"/>
                <w:szCs w:val="24"/>
              </w:rPr>
              <w:t>:</w:t>
            </w:r>
          </w:p>
          <w:p w14:paraId="6274667B" w14:textId="254A990E" w:rsidR="00A94F1D" w:rsidRPr="002239E9" w:rsidRDefault="00A94F1D" w:rsidP="007A654B">
            <w:pPr>
              <w:numPr>
                <w:ilvl w:val="0"/>
                <w:numId w:val="6"/>
              </w:numPr>
              <w:tabs>
                <w:tab w:val="clear" w:pos="720"/>
                <w:tab w:val="left" w:pos="456"/>
                <w:tab w:val="num" w:pos="993"/>
              </w:tabs>
              <w:spacing w:after="0" w:line="240" w:lineRule="auto"/>
              <w:ind w:left="0" w:firstLine="0"/>
              <w:rPr>
                <w:rFonts w:ascii="Times New Roman" w:hAnsi="Times New Roman"/>
                <w:sz w:val="24"/>
                <w:szCs w:val="24"/>
                <w:lang w:val="ru-RU"/>
              </w:rPr>
            </w:pPr>
            <w:r w:rsidRPr="002239E9">
              <w:rPr>
                <w:rFonts w:ascii="Times New Roman" w:hAnsi="Times New Roman"/>
                <w:sz w:val="24"/>
                <w:szCs w:val="24"/>
                <w:lang w:val="ru-RU"/>
              </w:rPr>
              <w:t>получена информация о том, что уполномоченным органом заемщика/</w:t>
            </w:r>
            <w:r w:rsidR="00D25FF0">
              <w:rPr>
                <w:rFonts w:ascii="Times New Roman" w:hAnsi="Times New Roman"/>
                <w:sz w:val="24"/>
                <w:szCs w:val="24"/>
                <w:lang w:val="ru-RU"/>
              </w:rPr>
              <w:t xml:space="preserve"> </w:t>
            </w:r>
            <w:r w:rsidRPr="002239E9">
              <w:rPr>
                <w:rFonts w:ascii="Times New Roman" w:hAnsi="Times New Roman"/>
                <w:sz w:val="24"/>
                <w:szCs w:val="24"/>
                <w:lang w:val="ru-RU"/>
              </w:rPr>
              <w:t>контрагента принято решение о ликвидации;</w:t>
            </w:r>
          </w:p>
          <w:p w14:paraId="268C7505" w14:textId="6ECDD2DB" w:rsidR="00A94F1D" w:rsidRPr="002239E9" w:rsidRDefault="00A94F1D" w:rsidP="007A654B">
            <w:pPr>
              <w:numPr>
                <w:ilvl w:val="0"/>
                <w:numId w:val="6"/>
              </w:numPr>
              <w:tabs>
                <w:tab w:val="clear" w:pos="720"/>
                <w:tab w:val="left" w:pos="456"/>
                <w:tab w:val="num" w:pos="993"/>
              </w:tabs>
              <w:spacing w:after="0" w:line="240" w:lineRule="auto"/>
              <w:ind w:left="0" w:firstLine="0"/>
              <w:rPr>
                <w:rFonts w:ascii="Times New Roman" w:hAnsi="Times New Roman"/>
                <w:sz w:val="24"/>
                <w:szCs w:val="24"/>
                <w:lang w:val="ru-RU"/>
              </w:rPr>
            </w:pPr>
            <w:r w:rsidRPr="002239E9">
              <w:rPr>
                <w:rFonts w:ascii="Times New Roman" w:hAnsi="Times New Roman"/>
                <w:sz w:val="24"/>
                <w:szCs w:val="24"/>
                <w:lang w:val="ru-RU"/>
              </w:rPr>
              <w:t>получена информация о решении суда о ликвидации</w:t>
            </w:r>
          </w:p>
        </w:tc>
        <w:tc>
          <w:tcPr>
            <w:tcW w:w="5216" w:type="dxa"/>
            <w:shd w:val="clear" w:color="auto" w:fill="FFFFFF"/>
          </w:tcPr>
          <w:p w14:paraId="75720FB7" w14:textId="2B3E8CF9" w:rsidR="00A94F1D" w:rsidRPr="002239E9" w:rsidRDefault="00554F12" w:rsidP="007A654B">
            <w:pPr>
              <w:numPr>
                <w:ilvl w:val="0"/>
                <w:numId w:val="5"/>
              </w:numPr>
              <w:tabs>
                <w:tab w:val="left" w:pos="288"/>
              </w:tabs>
              <w:spacing w:after="0" w:line="240" w:lineRule="auto"/>
              <w:ind w:left="0" w:firstLine="5"/>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решения о ликвидации уполномоченным органом заемщика/контрагента;</w:t>
            </w:r>
          </w:p>
          <w:p w14:paraId="33D1C396" w14:textId="7FC75720" w:rsidR="00A94F1D" w:rsidRPr="002239E9" w:rsidRDefault="00554F12" w:rsidP="007A654B">
            <w:pPr>
              <w:numPr>
                <w:ilvl w:val="0"/>
                <w:numId w:val="5"/>
              </w:numPr>
              <w:tabs>
                <w:tab w:val="left" w:pos="430"/>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тзыв обращения в суд с заявлением о банкротстве</w:t>
            </w:r>
          </w:p>
        </w:tc>
      </w:tr>
      <w:tr w:rsidR="009F51DB" w:rsidRPr="002239E9" w14:paraId="61128C19" w14:textId="77777777" w:rsidTr="00D25FF0">
        <w:trPr>
          <w:trHeight w:val="284"/>
        </w:trPr>
        <w:tc>
          <w:tcPr>
            <w:tcW w:w="4957" w:type="dxa"/>
            <w:shd w:val="clear" w:color="auto" w:fill="FFFFFF"/>
          </w:tcPr>
          <w:p w14:paraId="3D2D4347" w14:textId="6F116353"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Дефолт по облигациям/еврооблигациям: просрочка исполнения заемщиком/контрагентом обязательств по выпущенным облигациям/еврооблигациям составила более 10</w:t>
            </w:r>
            <w:r w:rsidR="00CF00B3">
              <w:rPr>
                <w:rFonts w:ascii="Times New Roman" w:hAnsi="Times New Roman"/>
                <w:sz w:val="24"/>
                <w:szCs w:val="24"/>
                <w:lang w:val="ru-RU"/>
              </w:rPr>
              <w:t xml:space="preserve"> рабочих</w:t>
            </w:r>
            <w:r w:rsidRPr="002239E9">
              <w:rPr>
                <w:rFonts w:ascii="Times New Roman" w:hAnsi="Times New Roman"/>
                <w:sz w:val="24"/>
                <w:szCs w:val="24"/>
                <w:lang w:val="ru-RU"/>
              </w:rPr>
              <w:t xml:space="preserve"> дней или объявлен отказ от исполнения обязательств.</w:t>
            </w:r>
          </w:p>
        </w:tc>
        <w:tc>
          <w:tcPr>
            <w:tcW w:w="5216" w:type="dxa"/>
            <w:shd w:val="clear" w:color="auto" w:fill="FFFFFF"/>
          </w:tcPr>
          <w:p w14:paraId="0C7AD5FC" w14:textId="3510CC00" w:rsidR="00A94F1D" w:rsidRPr="002239E9" w:rsidRDefault="00B22411" w:rsidP="007A654B">
            <w:pPr>
              <w:numPr>
                <w:ilvl w:val="0"/>
                <w:numId w:val="7"/>
              </w:numPr>
              <w:tabs>
                <w:tab w:val="clear" w:pos="720"/>
                <w:tab w:val="left" w:pos="430"/>
                <w:tab w:val="num" w:pos="1280"/>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и</w:t>
            </w:r>
            <w:r w:rsidR="00A94F1D" w:rsidRPr="002239E9">
              <w:rPr>
                <w:rFonts w:ascii="Times New Roman" w:hAnsi="Times New Roman"/>
                <w:sz w:val="24"/>
                <w:szCs w:val="24"/>
                <w:lang w:val="ru-RU"/>
              </w:rPr>
              <w:t>сполнение заемщиком/контрагентом обязательств по облигациям/еврооблигациям;</w:t>
            </w:r>
          </w:p>
          <w:p w14:paraId="5F6FDA32" w14:textId="1D35DB22" w:rsidR="00A94F1D" w:rsidRPr="002239E9" w:rsidRDefault="00B22411" w:rsidP="007A654B">
            <w:pPr>
              <w:numPr>
                <w:ilvl w:val="0"/>
                <w:numId w:val="7"/>
              </w:numPr>
              <w:tabs>
                <w:tab w:val="clear" w:pos="720"/>
                <w:tab w:val="left" w:pos="430"/>
                <w:tab w:val="num" w:pos="1280"/>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долговых обязательств</w:t>
            </w:r>
          </w:p>
        </w:tc>
      </w:tr>
      <w:tr w:rsidR="009F51DB" w:rsidRPr="0035498A" w14:paraId="5E867B4C" w14:textId="77777777" w:rsidTr="00D25FF0">
        <w:trPr>
          <w:trHeight w:val="284"/>
        </w:trPr>
        <w:tc>
          <w:tcPr>
            <w:tcW w:w="4957" w:type="dxa"/>
            <w:shd w:val="clear" w:color="auto" w:fill="FFFFFF"/>
          </w:tcPr>
          <w:p w14:paraId="1F95966B" w14:textId="2BAEE956"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Уполномоченным органом Банка принято решение о присвоении заемщику/контрагенту/инструменту дефолтного рейтинга</w:t>
            </w:r>
          </w:p>
        </w:tc>
        <w:tc>
          <w:tcPr>
            <w:tcW w:w="5216" w:type="dxa"/>
            <w:shd w:val="clear" w:color="auto" w:fill="FFFFFF"/>
          </w:tcPr>
          <w:p w14:paraId="48B83999" w14:textId="703A4FDF" w:rsidR="00A94F1D" w:rsidRPr="002239E9" w:rsidRDefault="00B22411" w:rsidP="007A654B">
            <w:pPr>
              <w:numPr>
                <w:ilvl w:val="0"/>
                <w:numId w:val="8"/>
              </w:numPr>
              <w:tabs>
                <w:tab w:val="left" w:pos="430"/>
              </w:tabs>
              <w:spacing w:after="0" w:line="240" w:lineRule="auto"/>
              <w:ind w:left="0" w:firstLine="5"/>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или окончание срока действия соответствующего решения уполномоченного органа</w:t>
            </w:r>
          </w:p>
        </w:tc>
      </w:tr>
    </w:tbl>
    <w:p w14:paraId="667D317E" w14:textId="77777777" w:rsidR="00CB0AB7" w:rsidRDefault="00CB0AB7" w:rsidP="007A654B">
      <w:pPr>
        <w:spacing w:before="240" w:after="120" w:line="240" w:lineRule="auto"/>
        <w:ind w:firstLine="709"/>
        <w:jc w:val="both"/>
        <w:rPr>
          <w:rFonts w:ascii="Times New Roman" w:hAnsi="Times New Roman"/>
          <w:b/>
          <w:sz w:val="24"/>
          <w:szCs w:val="24"/>
          <w:lang w:val="ru-RU"/>
        </w:rPr>
      </w:pPr>
    </w:p>
    <w:p w14:paraId="22C59F9A" w14:textId="77777777" w:rsidR="00CB0AB7" w:rsidRDefault="00CB0AB7">
      <w:pPr>
        <w:spacing w:after="0" w:line="240" w:lineRule="auto"/>
        <w:rPr>
          <w:rFonts w:ascii="Times New Roman" w:hAnsi="Times New Roman"/>
          <w:b/>
          <w:sz w:val="24"/>
          <w:szCs w:val="24"/>
          <w:lang w:val="ru-RU"/>
        </w:rPr>
      </w:pPr>
      <w:r>
        <w:rPr>
          <w:rFonts w:ascii="Times New Roman" w:hAnsi="Times New Roman"/>
          <w:b/>
          <w:sz w:val="24"/>
          <w:szCs w:val="24"/>
          <w:lang w:val="ru-RU"/>
        </w:rPr>
        <w:br w:type="page"/>
      </w:r>
    </w:p>
    <w:p w14:paraId="6834EED8" w14:textId="6BE09BCB" w:rsidR="00A94F1D" w:rsidRPr="00986467" w:rsidRDefault="00A94F1D" w:rsidP="007A654B">
      <w:pPr>
        <w:spacing w:before="240" w:after="120" w:line="240" w:lineRule="auto"/>
        <w:ind w:firstLine="709"/>
        <w:jc w:val="both"/>
        <w:rPr>
          <w:rFonts w:ascii="Times New Roman" w:hAnsi="Times New Roman"/>
          <w:sz w:val="24"/>
          <w:szCs w:val="24"/>
          <w:lang w:val="ru-RU"/>
        </w:rPr>
      </w:pPr>
      <w:r w:rsidRPr="00986467">
        <w:rPr>
          <w:rFonts w:ascii="Times New Roman" w:hAnsi="Times New Roman"/>
          <w:b/>
          <w:sz w:val="24"/>
          <w:szCs w:val="24"/>
          <w:lang w:val="ru-RU"/>
        </w:rPr>
        <w:lastRenderedPageBreak/>
        <w:t>2. События дефолта и условия прекращения события дефолта для Требований к корпоративным заемщикам по сделкам проектного финансирования</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957"/>
        <w:gridCol w:w="5216"/>
      </w:tblGrid>
      <w:tr w:rsidR="009F51DB" w:rsidRPr="0035498A" w14:paraId="6842B855" w14:textId="77777777" w:rsidTr="00CB0AB7">
        <w:trPr>
          <w:trHeight w:val="266"/>
          <w:tblHeader/>
        </w:trPr>
        <w:tc>
          <w:tcPr>
            <w:tcW w:w="4957" w:type="dxa"/>
            <w:shd w:val="clear" w:color="auto" w:fill="D9D9D9" w:themeFill="background1" w:themeFillShade="D9"/>
            <w:vAlign w:val="center"/>
          </w:tcPr>
          <w:p w14:paraId="51BBC54F" w14:textId="77777777" w:rsidR="00A94F1D" w:rsidRPr="00D25FF0" w:rsidRDefault="00A94F1D" w:rsidP="00CB0AB7">
            <w:pPr>
              <w:spacing w:after="0" w:line="240" w:lineRule="auto"/>
              <w:jc w:val="center"/>
              <w:rPr>
                <w:rFonts w:ascii="Times New Roman" w:hAnsi="Times New Roman"/>
                <w:sz w:val="24"/>
                <w:lang w:val="ru-RU"/>
              </w:rPr>
            </w:pPr>
            <w:r w:rsidRPr="00D25FF0">
              <w:rPr>
                <w:rFonts w:ascii="Times New Roman" w:hAnsi="Times New Roman"/>
                <w:sz w:val="24"/>
                <w:lang w:val="ru-RU"/>
              </w:rPr>
              <w:t>События дефолта</w:t>
            </w:r>
          </w:p>
        </w:tc>
        <w:tc>
          <w:tcPr>
            <w:tcW w:w="5216" w:type="dxa"/>
            <w:shd w:val="clear" w:color="auto" w:fill="D9D9D9" w:themeFill="background1" w:themeFillShade="D9"/>
            <w:vAlign w:val="center"/>
          </w:tcPr>
          <w:p w14:paraId="2B8D56AB" w14:textId="77777777" w:rsidR="00A94F1D" w:rsidRPr="00D25FF0" w:rsidRDefault="00A94F1D" w:rsidP="00CB0AB7">
            <w:pPr>
              <w:spacing w:after="0" w:line="240" w:lineRule="auto"/>
              <w:jc w:val="center"/>
              <w:rPr>
                <w:rFonts w:ascii="Times New Roman" w:eastAsiaTheme="minorHAnsi" w:hAnsi="Times New Roman" w:cstheme="minorBidi"/>
                <w:sz w:val="24"/>
                <w:lang w:val="ru-RU"/>
              </w:rPr>
            </w:pPr>
            <w:r w:rsidRPr="00D25FF0">
              <w:rPr>
                <w:rFonts w:ascii="Times New Roman" w:hAnsi="Times New Roman"/>
                <w:sz w:val="24"/>
                <w:lang w:val="ru-RU"/>
              </w:rPr>
              <w:t>Условия прекращения событий дефолта (если приведено несколько условий достаточно выполнения одного из условий)</w:t>
            </w:r>
          </w:p>
        </w:tc>
      </w:tr>
      <w:tr w:rsidR="009F51DB" w:rsidRPr="0035498A" w14:paraId="3772946B" w14:textId="77777777" w:rsidTr="00D25FF0">
        <w:trPr>
          <w:trHeight w:val="595"/>
        </w:trPr>
        <w:tc>
          <w:tcPr>
            <w:tcW w:w="4957" w:type="dxa"/>
            <w:shd w:val="clear" w:color="auto" w:fill="FFFFFF"/>
          </w:tcPr>
          <w:p w14:paraId="62A68964"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Срок просроченной задолженности превысил 90 дней</w:t>
            </w:r>
          </w:p>
        </w:tc>
        <w:tc>
          <w:tcPr>
            <w:tcW w:w="5216" w:type="dxa"/>
            <w:shd w:val="clear" w:color="auto" w:fill="FFFFFF"/>
          </w:tcPr>
          <w:p w14:paraId="29F1AC7A" w14:textId="262ED038" w:rsidR="00A94F1D" w:rsidRPr="002239E9" w:rsidRDefault="008342FF"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9F51DB" w:rsidRPr="0035498A" w14:paraId="567C8F33" w14:textId="77777777" w:rsidTr="00D25FF0">
        <w:trPr>
          <w:trHeight w:val="595"/>
        </w:trPr>
        <w:tc>
          <w:tcPr>
            <w:tcW w:w="4957" w:type="dxa"/>
            <w:shd w:val="clear" w:color="auto" w:fill="FFFFFF"/>
          </w:tcPr>
          <w:p w14:paraId="41B4AD61" w14:textId="6E756B88"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Проведение вынужденной неокончательной реструктуризации</w:t>
            </w:r>
            <w:r w:rsidR="00E35BBB" w:rsidRPr="005D48F6">
              <w:rPr>
                <w:rFonts w:ascii="Times New Roman" w:hAnsi="Times New Roman"/>
                <w:sz w:val="24"/>
                <w:szCs w:val="24"/>
                <w:lang w:val="ru-RU"/>
              </w:rPr>
              <w:t>.</w:t>
            </w:r>
            <w:r w:rsidR="009368AE">
              <w:rPr>
                <w:rFonts w:ascii="Times New Roman" w:hAnsi="Times New Roman"/>
                <w:sz w:val="24"/>
                <w:szCs w:val="24"/>
                <w:lang w:val="ru-RU"/>
              </w:rPr>
              <w:t xml:space="preserve"> </w:t>
            </w:r>
            <w:r w:rsidRPr="002239E9">
              <w:rPr>
                <w:rFonts w:ascii="Times New Roman" w:hAnsi="Times New Roman"/>
                <w:sz w:val="24"/>
                <w:szCs w:val="24"/>
                <w:lang w:val="ru-RU"/>
              </w:rPr>
              <w:t>Датой наступления события дефолта является дата принятия уполномоченным органом Банка решения о проведении вынужденной неокончательной реструктуризации</w:t>
            </w:r>
          </w:p>
        </w:tc>
        <w:tc>
          <w:tcPr>
            <w:tcW w:w="5216" w:type="dxa"/>
            <w:shd w:val="clear" w:color="auto" w:fill="FFFFFF"/>
          </w:tcPr>
          <w:p w14:paraId="4B6C3A47" w14:textId="145518C2" w:rsidR="00A94F1D" w:rsidRPr="002239E9" w:rsidRDefault="008342FF"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(по</w:t>
            </w:r>
            <w:r w:rsidR="00D25FF0">
              <w:rPr>
                <w:rFonts w:ascii="Times New Roman" w:hAnsi="Times New Roman"/>
                <w:sz w:val="24"/>
                <w:szCs w:val="24"/>
                <w:lang w:val="ru-RU"/>
              </w:rPr>
              <w:t>дписание соглашения с заемщиком/</w:t>
            </w:r>
            <w:r w:rsidR="00A94F1D" w:rsidRPr="002239E9">
              <w:rPr>
                <w:rFonts w:ascii="Times New Roman" w:hAnsi="Times New Roman"/>
                <w:sz w:val="24"/>
                <w:szCs w:val="24"/>
                <w:lang w:val="ru-RU"/>
              </w:rPr>
              <w:t>контрагентом) при условии, что реструктуризация является окончательной;</w:t>
            </w:r>
          </w:p>
          <w:p w14:paraId="1204A00B" w14:textId="77777777" w:rsidR="00A94F1D" w:rsidRPr="002239E9" w:rsidRDefault="00A94F1D" w:rsidP="007A654B">
            <w:pPr>
              <w:tabs>
                <w:tab w:val="left" w:pos="248"/>
              </w:tabs>
              <w:spacing w:after="0" w:line="240" w:lineRule="auto"/>
              <w:ind w:left="5" w:hanging="5"/>
              <w:rPr>
                <w:rFonts w:ascii="Times New Roman" w:hAnsi="Times New Roman"/>
                <w:sz w:val="24"/>
                <w:szCs w:val="24"/>
                <w:lang w:val="ru-RU"/>
              </w:rPr>
            </w:pPr>
          </w:p>
        </w:tc>
      </w:tr>
      <w:tr w:rsidR="009F51DB" w:rsidRPr="0035498A" w14:paraId="16A7227F" w14:textId="77777777" w:rsidTr="00D25FF0">
        <w:trPr>
          <w:trHeight w:val="452"/>
        </w:trPr>
        <w:tc>
          <w:tcPr>
            <w:tcW w:w="4957" w:type="dxa"/>
            <w:shd w:val="clear" w:color="auto" w:fill="FFFFFF"/>
          </w:tcPr>
          <w:p w14:paraId="038E8321" w14:textId="1D3F58F7" w:rsidR="00A94F1D" w:rsidRPr="00B84197" w:rsidRDefault="00B84197" w:rsidP="007A654B">
            <w:pPr>
              <w:spacing w:after="0" w:line="240" w:lineRule="auto"/>
              <w:rPr>
                <w:rFonts w:ascii="Times New Roman" w:hAnsi="Times New Roman"/>
                <w:sz w:val="24"/>
                <w:szCs w:val="24"/>
                <w:lang w:val="ru-RU"/>
              </w:rPr>
            </w:pPr>
            <w:r w:rsidRPr="00B84197">
              <w:rPr>
                <w:rFonts w:ascii="Times New Roman" w:hAnsi="Times New Roman"/>
                <w:sz w:val="24"/>
                <w:szCs w:val="24"/>
                <w:lang w:val="ru-RU"/>
              </w:rPr>
              <w:t>Присвоение контрагенту/инструменту дефолтного рейтинга международным рейтинговым агентством</w:t>
            </w:r>
          </w:p>
        </w:tc>
        <w:tc>
          <w:tcPr>
            <w:tcW w:w="5216" w:type="dxa"/>
            <w:shd w:val="clear" w:color="auto" w:fill="FFFFFF"/>
          </w:tcPr>
          <w:p w14:paraId="0D49362C" w14:textId="53B8CC5B"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D25FF0">
              <w:rPr>
                <w:rFonts w:ascii="Times New Roman" w:hAnsi="Times New Roman"/>
                <w:sz w:val="24"/>
                <w:szCs w:val="24"/>
                <w:lang w:val="ru-RU"/>
              </w:rPr>
              <w:t>рисвоение контрагенту/</w:t>
            </w:r>
            <w:r w:rsidR="00A94F1D" w:rsidRPr="002239E9">
              <w:rPr>
                <w:rFonts w:ascii="Times New Roman" w:hAnsi="Times New Roman"/>
                <w:sz w:val="24"/>
                <w:szCs w:val="24"/>
                <w:lang w:val="ru-RU"/>
              </w:rPr>
              <w:t>инструменту рейтинга выше дефолтного;</w:t>
            </w:r>
          </w:p>
          <w:p w14:paraId="4CAFFDC4" w14:textId="644D760C"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D25FF0">
              <w:rPr>
                <w:rFonts w:ascii="Times New Roman" w:hAnsi="Times New Roman"/>
                <w:sz w:val="24"/>
                <w:szCs w:val="24"/>
                <w:lang w:val="ru-RU"/>
              </w:rPr>
              <w:t>тзыв у контрагента/</w:t>
            </w:r>
            <w:r w:rsidR="00A94F1D" w:rsidRPr="002239E9">
              <w:rPr>
                <w:rFonts w:ascii="Times New Roman" w:hAnsi="Times New Roman"/>
                <w:sz w:val="24"/>
                <w:szCs w:val="24"/>
                <w:lang w:val="ru-RU"/>
              </w:rPr>
              <w:t>инструмента дефолтного рейтинга</w:t>
            </w:r>
          </w:p>
        </w:tc>
      </w:tr>
      <w:tr w:rsidR="009F51DB" w:rsidRPr="0035498A" w14:paraId="00E45F09" w14:textId="77777777" w:rsidTr="00D25FF0">
        <w:trPr>
          <w:trHeight w:val="285"/>
        </w:trPr>
        <w:tc>
          <w:tcPr>
            <w:tcW w:w="4957" w:type="dxa"/>
            <w:shd w:val="clear" w:color="auto" w:fill="FFFFFF"/>
          </w:tcPr>
          <w:p w14:paraId="24E310E5" w14:textId="1C62E87E" w:rsidR="00A94F1D" w:rsidRPr="002239E9" w:rsidRDefault="00A94F1D" w:rsidP="00D25FF0">
            <w:pPr>
              <w:spacing w:after="0" w:line="240" w:lineRule="auto"/>
              <w:rPr>
                <w:rFonts w:ascii="Times New Roman" w:hAnsi="Times New Roman"/>
                <w:sz w:val="24"/>
                <w:szCs w:val="24"/>
                <w:lang w:val="ru-RU"/>
              </w:rPr>
            </w:pPr>
            <w:r w:rsidRPr="002239E9">
              <w:rPr>
                <w:rFonts w:ascii="Times New Roman" w:hAnsi="Times New Roman"/>
                <w:sz w:val="24"/>
                <w:szCs w:val="24"/>
                <w:lang w:val="ru-RU"/>
              </w:rPr>
              <w:t>Признание заемщика</w:t>
            </w:r>
            <w:r w:rsidR="00D25FF0">
              <w:rPr>
                <w:rFonts w:ascii="Times New Roman" w:hAnsi="Times New Roman"/>
                <w:sz w:val="24"/>
                <w:szCs w:val="24"/>
                <w:lang w:val="ru-RU"/>
              </w:rPr>
              <w:t>/</w:t>
            </w:r>
            <w:r w:rsidRPr="002239E9">
              <w:rPr>
                <w:rFonts w:ascii="Times New Roman" w:hAnsi="Times New Roman"/>
                <w:sz w:val="24"/>
                <w:szCs w:val="24"/>
                <w:lang w:val="ru-RU"/>
              </w:rPr>
              <w:t>контрагента банкротом – решение суда о введении любой</w:t>
            </w:r>
            <w:r w:rsidR="00D25FF0">
              <w:rPr>
                <w:rFonts w:ascii="Times New Roman" w:hAnsi="Times New Roman"/>
                <w:sz w:val="24"/>
                <w:szCs w:val="24"/>
                <w:lang w:val="ru-RU"/>
              </w:rPr>
              <w:t xml:space="preserve"> процедуры банкротства заемщика/ </w:t>
            </w:r>
            <w:r w:rsidRPr="002239E9">
              <w:rPr>
                <w:rFonts w:ascii="Times New Roman" w:hAnsi="Times New Roman"/>
                <w:sz w:val="24"/>
                <w:szCs w:val="24"/>
                <w:lang w:val="ru-RU"/>
              </w:rPr>
              <w:t>кон</w:t>
            </w:r>
            <w:r w:rsidR="00D25FF0">
              <w:rPr>
                <w:rFonts w:ascii="Times New Roman" w:hAnsi="Times New Roman"/>
                <w:sz w:val="24"/>
                <w:szCs w:val="24"/>
                <w:lang w:val="ru-RU"/>
              </w:rPr>
              <w:t xml:space="preserve">трагента или признании заемщика/ </w:t>
            </w:r>
            <w:r w:rsidRPr="002239E9">
              <w:rPr>
                <w:rFonts w:ascii="Times New Roman" w:hAnsi="Times New Roman"/>
                <w:sz w:val="24"/>
                <w:szCs w:val="24"/>
                <w:lang w:val="ru-RU"/>
              </w:rPr>
              <w:t>контрагента банкротом</w:t>
            </w:r>
          </w:p>
        </w:tc>
        <w:tc>
          <w:tcPr>
            <w:tcW w:w="5216" w:type="dxa"/>
            <w:shd w:val="clear" w:color="auto" w:fill="FFFFFF"/>
          </w:tcPr>
          <w:p w14:paraId="360BE1DB" w14:textId="5AAC8062"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рекращение процедуры банкротства по решению суда;</w:t>
            </w:r>
          </w:p>
        </w:tc>
      </w:tr>
      <w:tr w:rsidR="009F51DB" w:rsidRPr="0035498A" w14:paraId="3B6C35EC" w14:textId="77777777" w:rsidTr="00D25FF0">
        <w:trPr>
          <w:trHeight w:val="285"/>
        </w:trPr>
        <w:tc>
          <w:tcPr>
            <w:tcW w:w="4957" w:type="dxa"/>
            <w:shd w:val="clear" w:color="auto" w:fill="FFFFFF"/>
          </w:tcPr>
          <w:p w14:paraId="541E92E4" w14:textId="0FB4455D" w:rsidR="00A94F1D" w:rsidRPr="002239E9" w:rsidRDefault="00A94F1D" w:rsidP="007A654B">
            <w:pPr>
              <w:spacing w:after="0" w:line="240" w:lineRule="auto"/>
              <w:rPr>
                <w:rFonts w:ascii="Times New Roman" w:hAnsi="Times New Roman"/>
                <w:sz w:val="24"/>
                <w:szCs w:val="24"/>
              </w:rPr>
            </w:pPr>
            <w:r w:rsidRPr="002239E9">
              <w:rPr>
                <w:rFonts w:ascii="Times New Roman" w:hAnsi="Times New Roman"/>
                <w:sz w:val="24"/>
                <w:szCs w:val="24"/>
                <w:lang w:val="ru-RU"/>
              </w:rPr>
              <w:t>Д</w:t>
            </w:r>
            <w:r w:rsidR="00D25FF0">
              <w:rPr>
                <w:rFonts w:ascii="Times New Roman" w:hAnsi="Times New Roman"/>
                <w:sz w:val="24"/>
                <w:szCs w:val="24"/>
                <w:lang w:val="ru-RU"/>
              </w:rPr>
              <w:t>обровольная ликвидация заемщика</w:t>
            </w:r>
            <w:r w:rsidRPr="002239E9">
              <w:rPr>
                <w:rFonts w:ascii="Times New Roman" w:hAnsi="Times New Roman"/>
                <w:sz w:val="24"/>
                <w:szCs w:val="24"/>
                <w:lang w:val="ru-RU"/>
              </w:rPr>
              <w:t>/ контрагента</w:t>
            </w:r>
            <w:r w:rsidRPr="002239E9">
              <w:rPr>
                <w:rFonts w:ascii="Times New Roman" w:hAnsi="Times New Roman"/>
                <w:sz w:val="24"/>
                <w:szCs w:val="24"/>
              </w:rPr>
              <w:t>:</w:t>
            </w:r>
          </w:p>
          <w:p w14:paraId="33F61EA1" w14:textId="4FA7B20B" w:rsidR="00A94F1D" w:rsidRPr="002239E9" w:rsidRDefault="00A94F1D"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 xml:space="preserve">получена информация о том, что уполномоченным </w:t>
            </w:r>
            <w:r w:rsidR="00D25FF0">
              <w:rPr>
                <w:rFonts w:ascii="Times New Roman" w:hAnsi="Times New Roman"/>
                <w:sz w:val="24"/>
                <w:szCs w:val="24"/>
                <w:lang w:val="ru-RU"/>
              </w:rPr>
              <w:t>органом заемщика</w:t>
            </w:r>
            <w:r w:rsidRPr="002239E9">
              <w:rPr>
                <w:rFonts w:ascii="Times New Roman" w:hAnsi="Times New Roman"/>
                <w:sz w:val="24"/>
                <w:szCs w:val="24"/>
                <w:lang w:val="ru-RU"/>
              </w:rPr>
              <w:t>/ контрагента принято решение о ликвидации;</w:t>
            </w:r>
          </w:p>
          <w:p w14:paraId="0401D7B7" w14:textId="77777777" w:rsidR="00A94F1D" w:rsidRPr="002239E9" w:rsidRDefault="00A94F1D"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получена информация о решении суда о ликвидации.</w:t>
            </w:r>
          </w:p>
        </w:tc>
        <w:tc>
          <w:tcPr>
            <w:tcW w:w="5216" w:type="dxa"/>
            <w:shd w:val="clear" w:color="auto" w:fill="FFFFFF"/>
          </w:tcPr>
          <w:p w14:paraId="55BD370F" w14:textId="170593E5"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решения о ликвидации уполномоченным органом заемщика/</w:t>
            </w:r>
            <w:r w:rsidR="00D25FF0">
              <w:rPr>
                <w:rFonts w:ascii="Times New Roman" w:hAnsi="Times New Roman"/>
                <w:sz w:val="24"/>
                <w:szCs w:val="24"/>
                <w:lang w:val="ru-RU"/>
              </w:rPr>
              <w:t xml:space="preserve"> </w:t>
            </w:r>
            <w:r w:rsidR="00A94F1D" w:rsidRPr="002239E9">
              <w:rPr>
                <w:rFonts w:ascii="Times New Roman" w:hAnsi="Times New Roman"/>
                <w:sz w:val="24"/>
                <w:szCs w:val="24"/>
                <w:lang w:val="ru-RU"/>
              </w:rPr>
              <w:t>контрагента;</w:t>
            </w:r>
          </w:p>
          <w:p w14:paraId="56F62166" w14:textId="066A7C90"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тзыв обращения в суд с заявлением о банкротстве;</w:t>
            </w:r>
          </w:p>
        </w:tc>
      </w:tr>
      <w:tr w:rsidR="009F51DB" w:rsidRPr="002239E9" w14:paraId="2846D224" w14:textId="77777777" w:rsidTr="00D25FF0">
        <w:trPr>
          <w:trHeight w:val="284"/>
        </w:trPr>
        <w:tc>
          <w:tcPr>
            <w:tcW w:w="4957" w:type="dxa"/>
            <w:shd w:val="clear" w:color="auto" w:fill="FFFFFF"/>
          </w:tcPr>
          <w:p w14:paraId="415D7FD7" w14:textId="1AF8792C" w:rsidR="00A94F1D" w:rsidRPr="002239E9" w:rsidRDefault="00A94F1D" w:rsidP="00D25FF0">
            <w:pPr>
              <w:spacing w:after="0" w:line="240" w:lineRule="auto"/>
              <w:rPr>
                <w:rFonts w:ascii="Times New Roman" w:hAnsi="Times New Roman"/>
                <w:sz w:val="24"/>
                <w:szCs w:val="24"/>
                <w:lang w:val="ru-RU"/>
              </w:rPr>
            </w:pPr>
            <w:r w:rsidRPr="002239E9">
              <w:rPr>
                <w:rFonts w:ascii="Times New Roman" w:hAnsi="Times New Roman"/>
                <w:sz w:val="24"/>
                <w:szCs w:val="24"/>
                <w:lang w:val="ru-RU"/>
              </w:rPr>
              <w:t>Дефолт по облигациям</w:t>
            </w:r>
            <w:r w:rsidR="00D25FF0">
              <w:rPr>
                <w:rFonts w:ascii="Times New Roman" w:hAnsi="Times New Roman"/>
                <w:sz w:val="24"/>
                <w:szCs w:val="24"/>
                <w:lang w:val="ru-RU"/>
              </w:rPr>
              <w:t>/</w:t>
            </w:r>
            <w:r w:rsidRPr="002239E9">
              <w:rPr>
                <w:rFonts w:ascii="Times New Roman" w:hAnsi="Times New Roman"/>
                <w:sz w:val="24"/>
                <w:szCs w:val="24"/>
                <w:lang w:val="ru-RU"/>
              </w:rPr>
              <w:t>еврооблигациям:</w:t>
            </w:r>
            <w:r w:rsidR="00D25FF0">
              <w:rPr>
                <w:rFonts w:ascii="Times New Roman" w:hAnsi="Times New Roman"/>
                <w:sz w:val="24"/>
                <w:szCs w:val="24"/>
                <w:lang w:val="ru-RU"/>
              </w:rPr>
              <w:t xml:space="preserve"> просрочка исполнения заемщиком</w:t>
            </w:r>
            <w:r w:rsidRPr="002239E9">
              <w:rPr>
                <w:rFonts w:ascii="Times New Roman" w:hAnsi="Times New Roman"/>
                <w:sz w:val="24"/>
                <w:szCs w:val="24"/>
                <w:lang w:val="ru-RU"/>
              </w:rPr>
              <w:t>/ контрагентом обязат</w:t>
            </w:r>
            <w:r w:rsidR="00D25FF0">
              <w:rPr>
                <w:rFonts w:ascii="Times New Roman" w:hAnsi="Times New Roman"/>
                <w:sz w:val="24"/>
                <w:szCs w:val="24"/>
                <w:lang w:val="ru-RU"/>
              </w:rPr>
              <w:t>ельств по выпущенным облигациям/</w:t>
            </w:r>
            <w:r w:rsidRPr="002239E9">
              <w:rPr>
                <w:rFonts w:ascii="Times New Roman" w:hAnsi="Times New Roman"/>
                <w:sz w:val="24"/>
                <w:szCs w:val="24"/>
                <w:lang w:val="ru-RU"/>
              </w:rPr>
              <w:t>еврооблигациям составила более 10</w:t>
            </w:r>
            <w:r w:rsidR="00CF00B3">
              <w:rPr>
                <w:rFonts w:ascii="Times New Roman" w:hAnsi="Times New Roman"/>
                <w:sz w:val="24"/>
                <w:szCs w:val="24"/>
                <w:lang w:val="ru-RU"/>
              </w:rPr>
              <w:t xml:space="preserve"> рабочих</w:t>
            </w:r>
            <w:r w:rsidRPr="002239E9">
              <w:rPr>
                <w:rFonts w:ascii="Times New Roman" w:hAnsi="Times New Roman"/>
                <w:sz w:val="24"/>
                <w:szCs w:val="24"/>
                <w:lang w:val="ru-RU"/>
              </w:rPr>
              <w:t xml:space="preserve"> дней или объявлен отказ от исполнения обязательств.</w:t>
            </w:r>
          </w:p>
        </w:tc>
        <w:tc>
          <w:tcPr>
            <w:tcW w:w="5216" w:type="dxa"/>
            <w:shd w:val="clear" w:color="auto" w:fill="FFFFFF"/>
          </w:tcPr>
          <w:p w14:paraId="3AFE4488" w14:textId="3DC88403"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и</w:t>
            </w:r>
            <w:r w:rsidR="00A94F1D" w:rsidRPr="002239E9">
              <w:rPr>
                <w:rFonts w:ascii="Times New Roman" w:hAnsi="Times New Roman"/>
                <w:sz w:val="24"/>
                <w:szCs w:val="24"/>
                <w:lang w:val="ru-RU"/>
              </w:rPr>
              <w:t>сполнение заемщиком/контрагентом обязательств по облигациям</w:t>
            </w:r>
            <w:r w:rsidR="00D25FF0">
              <w:rPr>
                <w:rFonts w:ascii="Times New Roman" w:hAnsi="Times New Roman"/>
                <w:sz w:val="24"/>
                <w:szCs w:val="24"/>
                <w:lang w:val="ru-RU"/>
              </w:rPr>
              <w:t>/</w:t>
            </w:r>
            <w:r w:rsidR="00A94F1D" w:rsidRPr="002239E9">
              <w:rPr>
                <w:rFonts w:ascii="Times New Roman" w:hAnsi="Times New Roman"/>
                <w:sz w:val="24"/>
                <w:szCs w:val="24"/>
                <w:lang w:val="ru-RU"/>
              </w:rPr>
              <w:t>еврооблигациям;</w:t>
            </w:r>
          </w:p>
          <w:p w14:paraId="4797DEB0" w14:textId="36ABEC1D"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долговых обязательств</w:t>
            </w:r>
          </w:p>
        </w:tc>
      </w:tr>
      <w:tr w:rsidR="009F51DB" w:rsidRPr="0035498A" w14:paraId="6B270D95" w14:textId="77777777" w:rsidTr="00D25FF0">
        <w:trPr>
          <w:trHeight w:val="284"/>
        </w:trPr>
        <w:tc>
          <w:tcPr>
            <w:tcW w:w="4957" w:type="dxa"/>
            <w:shd w:val="clear" w:color="auto" w:fill="FFFFFF"/>
          </w:tcPr>
          <w:p w14:paraId="3FF87E81"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Уполномоченным органом Банка принято решение о присвоении инструменту дефолтного рейтинга</w:t>
            </w:r>
          </w:p>
        </w:tc>
        <w:tc>
          <w:tcPr>
            <w:tcW w:w="5216" w:type="dxa"/>
            <w:shd w:val="clear" w:color="auto" w:fill="FFFFFF"/>
          </w:tcPr>
          <w:p w14:paraId="3B19E305" w14:textId="7C8DE42E" w:rsidR="00A94F1D" w:rsidRPr="002239E9" w:rsidRDefault="004344DE"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или окончание срока действия соответствующего решения уполномоченного органа</w:t>
            </w:r>
          </w:p>
        </w:tc>
      </w:tr>
    </w:tbl>
    <w:p w14:paraId="5440F401" w14:textId="0E795546" w:rsidR="00A94F1D" w:rsidRPr="00986467" w:rsidRDefault="00A94F1D" w:rsidP="007A654B">
      <w:pPr>
        <w:spacing w:before="240" w:after="120" w:line="240" w:lineRule="auto"/>
        <w:ind w:firstLine="709"/>
        <w:jc w:val="both"/>
        <w:rPr>
          <w:rFonts w:ascii="Times New Roman" w:hAnsi="Times New Roman"/>
          <w:b/>
          <w:sz w:val="24"/>
          <w:szCs w:val="24"/>
          <w:lang w:val="ru-RU"/>
        </w:rPr>
      </w:pPr>
      <w:r w:rsidRPr="00986467">
        <w:rPr>
          <w:rFonts w:ascii="Times New Roman" w:hAnsi="Times New Roman"/>
          <w:b/>
          <w:sz w:val="24"/>
          <w:szCs w:val="24"/>
          <w:lang w:val="ru-RU"/>
        </w:rPr>
        <w:t>3. События дефолта и условия прекращения события дефолта для Требований к физическим лицам</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957"/>
        <w:gridCol w:w="5216"/>
      </w:tblGrid>
      <w:tr w:rsidR="009F51DB" w:rsidRPr="002239E9" w14:paraId="5A706B9D" w14:textId="77777777" w:rsidTr="00CB0AB7">
        <w:trPr>
          <w:trHeight w:val="595"/>
          <w:tblHeader/>
        </w:trPr>
        <w:tc>
          <w:tcPr>
            <w:tcW w:w="4957" w:type="dxa"/>
            <w:shd w:val="clear" w:color="auto" w:fill="D9D9D9" w:themeFill="background1" w:themeFillShade="D9"/>
            <w:vAlign w:val="center"/>
          </w:tcPr>
          <w:p w14:paraId="5ADDB356" w14:textId="77777777" w:rsidR="00A94F1D" w:rsidRPr="00D25FF0" w:rsidRDefault="00A94F1D" w:rsidP="00CB0AB7">
            <w:pPr>
              <w:spacing w:after="0" w:line="240" w:lineRule="auto"/>
              <w:jc w:val="center"/>
              <w:rPr>
                <w:rFonts w:ascii="Times New Roman" w:hAnsi="Times New Roman"/>
                <w:sz w:val="24"/>
                <w:lang w:val="ru-RU"/>
              </w:rPr>
            </w:pPr>
            <w:r w:rsidRPr="00D25FF0">
              <w:rPr>
                <w:rFonts w:ascii="Times New Roman" w:hAnsi="Times New Roman"/>
                <w:sz w:val="24"/>
                <w:lang w:val="ru-RU"/>
              </w:rPr>
              <w:t>События дефолта</w:t>
            </w:r>
          </w:p>
        </w:tc>
        <w:tc>
          <w:tcPr>
            <w:tcW w:w="5216" w:type="dxa"/>
            <w:shd w:val="clear" w:color="auto" w:fill="D9D9D9" w:themeFill="background1" w:themeFillShade="D9"/>
            <w:vAlign w:val="center"/>
          </w:tcPr>
          <w:p w14:paraId="0635D671" w14:textId="77777777" w:rsidR="00A94F1D" w:rsidRPr="00D25FF0" w:rsidRDefault="00A94F1D" w:rsidP="00CB0AB7">
            <w:pPr>
              <w:spacing w:after="0" w:line="240" w:lineRule="auto"/>
              <w:jc w:val="center"/>
              <w:rPr>
                <w:rFonts w:ascii="Times New Roman" w:eastAsiaTheme="minorHAnsi" w:hAnsi="Times New Roman" w:cstheme="minorBidi"/>
                <w:sz w:val="24"/>
                <w:lang w:val="ru-RU"/>
              </w:rPr>
            </w:pPr>
            <w:r w:rsidRPr="00D25FF0">
              <w:rPr>
                <w:rFonts w:ascii="Times New Roman" w:hAnsi="Times New Roman"/>
                <w:sz w:val="24"/>
                <w:lang w:val="ru-RU"/>
              </w:rPr>
              <w:t>Условия прекращения событий дефолта</w:t>
            </w:r>
          </w:p>
        </w:tc>
      </w:tr>
      <w:tr w:rsidR="009F51DB" w:rsidRPr="0035498A" w14:paraId="312BF43F" w14:textId="77777777" w:rsidTr="00D25FF0">
        <w:trPr>
          <w:trHeight w:val="595"/>
        </w:trPr>
        <w:tc>
          <w:tcPr>
            <w:tcW w:w="4957" w:type="dxa"/>
            <w:shd w:val="clear" w:color="auto" w:fill="FFFFFF"/>
          </w:tcPr>
          <w:p w14:paraId="25DD5994"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Срок просроченной задолженности превысил 90 дней</w:t>
            </w:r>
          </w:p>
        </w:tc>
        <w:tc>
          <w:tcPr>
            <w:tcW w:w="5216" w:type="dxa"/>
            <w:shd w:val="clear" w:color="auto" w:fill="FFFFFF"/>
          </w:tcPr>
          <w:p w14:paraId="37C239B0" w14:textId="3E36F4AC" w:rsidR="00A94F1D" w:rsidRPr="002239E9" w:rsidRDefault="00F802D2"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A94F1D" w:rsidRPr="0035498A" w14:paraId="3A8779D7" w14:textId="77777777" w:rsidTr="00D25FF0">
        <w:trPr>
          <w:trHeight w:val="594"/>
        </w:trPr>
        <w:tc>
          <w:tcPr>
            <w:tcW w:w="4957" w:type="dxa"/>
            <w:shd w:val="clear" w:color="auto" w:fill="auto"/>
          </w:tcPr>
          <w:p w14:paraId="7E45F085" w14:textId="6F251E22"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 xml:space="preserve">Реструктуризация по проблемным кредитам или кредитам с выявленным признаками </w:t>
            </w:r>
            <w:proofErr w:type="spellStart"/>
            <w:r w:rsidRPr="002239E9">
              <w:rPr>
                <w:rFonts w:ascii="Times New Roman" w:hAnsi="Times New Roman"/>
                <w:sz w:val="24"/>
                <w:szCs w:val="24"/>
                <w:lang w:val="ru-RU"/>
              </w:rPr>
              <w:t>проблемности</w:t>
            </w:r>
            <w:proofErr w:type="spellEnd"/>
            <w:r w:rsidR="00791DC1">
              <w:rPr>
                <w:rFonts w:ascii="Times New Roman" w:hAnsi="Times New Roman"/>
                <w:sz w:val="24"/>
                <w:szCs w:val="24"/>
                <w:lang w:val="ru-RU"/>
              </w:rPr>
              <w:t>.</w:t>
            </w:r>
          </w:p>
          <w:p w14:paraId="5C292423" w14:textId="3DDB0EB8" w:rsidR="00A94F1D" w:rsidRPr="006D19E1" w:rsidRDefault="00A94F1D" w:rsidP="006D19E1">
            <w:pPr>
              <w:spacing w:after="0" w:line="240" w:lineRule="auto"/>
              <w:rPr>
                <w:rFonts w:ascii="Times New Roman" w:hAnsi="Times New Roman"/>
                <w:sz w:val="24"/>
                <w:szCs w:val="24"/>
                <w:lang w:val="ru-RU"/>
              </w:rPr>
            </w:pPr>
            <w:r w:rsidRPr="002239E9">
              <w:rPr>
                <w:rFonts w:ascii="Times New Roman" w:hAnsi="Times New Roman"/>
                <w:sz w:val="24"/>
                <w:szCs w:val="24"/>
                <w:lang w:val="ru-RU"/>
              </w:rPr>
              <w:t xml:space="preserve">Датой наступления события дефолта является дата </w:t>
            </w:r>
            <w:r w:rsidR="006D19E1">
              <w:rPr>
                <w:rFonts w:ascii="Times New Roman" w:hAnsi="Times New Roman"/>
                <w:sz w:val="24"/>
                <w:szCs w:val="24"/>
                <w:lang w:val="ru-RU"/>
              </w:rPr>
              <w:t>принятия решения о проведении реструктуризации</w:t>
            </w:r>
          </w:p>
        </w:tc>
        <w:tc>
          <w:tcPr>
            <w:tcW w:w="5216" w:type="dxa"/>
            <w:shd w:val="clear" w:color="auto" w:fill="auto"/>
          </w:tcPr>
          <w:p w14:paraId="315C3C71" w14:textId="036D6614" w:rsidR="00A94F1D" w:rsidRPr="002239E9" w:rsidRDefault="00F802D2" w:rsidP="00611794">
            <w:pPr>
              <w:numPr>
                <w:ilvl w:val="0"/>
                <w:numId w:val="4"/>
              </w:numPr>
              <w:tabs>
                <w:tab w:val="left" w:pos="371"/>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(по</w:t>
            </w:r>
            <w:r w:rsidR="00D25FF0">
              <w:rPr>
                <w:rFonts w:ascii="Times New Roman" w:hAnsi="Times New Roman"/>
                <w:sz w:val="24"/>
                <w:szCs w:val="24"/>
                <w:lang w:val="ru-RU"/>
              </w:rPr>
              <w:t>дписание соглашения с заемщиком/</w:t>
            </w:r>
            <w:r w:rsidR="00A94F1D" w:rsidRPr="002239E9">
              <w:rPr>
                <w:rFonts w:ascii="Times New Roman" w:hAnsi="Times New Roman"/>
                <w:sz w:val="24"/>
                <w:szCs w:val="24"/>
                <w:lang w:val="ru-RU"/>
              </w:rPr>
              <w:t>контрагентом)</w:t>
            </w:r>
          </w:p>
        </w:tc>
      </w:tr>
    </w:tbl>
    <w:p w14:paraId="28742ADB" w14:textId="77777777" w:rsidR="00A94F1D" w:rsidRPr="00986467" w:rsidRDefault="00A94F1D" w:rsidP="007A654B">
      <w:pPr>
        <w:spacing w:before="240" w:after="120" w:line="240" w:lineRule="auto"/>
        <w:ind w:firstLine="709"/>
        <w:rPr>
          <w:rFonts w:ascii="Times New Roman" w:hAnsi="Times New Roman"/>
          <w:b/>
          <w:sz w:val="24"/>
          <w:szCs w:val="24"/>
          <w:lang w:val="ru-RU"/>
        </w:rPr>
      </w:pPr>
      <w:r w:rsidRPr="00986467">
        <w:rPr>
          <w:rFonts w:ascii="Times New Roman" w:hAnsi="Times New Roman"/>
          <w:b/>
          <w:sz w:val="24"/>
          <w:szCs w:val="24"/>
          <w:lang w:val="ru-RU"/>
        </w:rPr>
        <w:lastRenderedPageBreak/>
        <w:t>4. События дефолта и условия прекращения события дефолта для Требований к финансовым институтам</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957"/>
        <w:gridCol w:w="5216"/>
      </w:tblGrid>
      <w:tr w:rsidR="009F51DB" w:rsidRPr="002239E9" w14:paraId="748144A4" w14:textId="77777777" w:rsidTr="00CB0AB7">
        <w:trPr>
          <w:trHeight w:val="595"/>
          <w:tblHeader/>
        </w:trPr>
        <w:tc>
          <w:tcPr>
            <w:tcW w:w="4957" w:type="dxa"/>
            <w:shd w:val="clear" w:color="auto" w:fill="D9D9D9" w:themeFill="background1" w:themeFillShade="D9"/>
            <w:vAlign w:val="center"/>
          </w:tcPr>
          <w:p w14:paraId="0B9CE4B6" w14:textId="77777777" w:rsidR="00A94F1D" w:rsidRPr="00D25FF0" w:rsidRDefault="00A94F1D" w:rsidP="00CB0AB7">
            <w:pPr>
              <w:spacing w:after="0" w:line="240" w:lineRule="auto"/>
              <w:jc w:val="center"/>
              <w:rPr>
                <w:rFonts w:ascii="Times New Roman" w:hAnsi="Times New Roman"/>
                <w:sz w:val="24"/>
                <w:lang w:val="ru-RU"/>
              </w:rPr>
            </w:pPr>
            <w:r w:rsidRPr="00D25FF0">
              <w:rPr>
                <w:rFonts w:ascii="Times New Roman" w:hAnsi="Times New Roman"/>
                <w:sz w:val="24"/>
                <w:lang w:val="ru-RU"/>
              </w:rPr>
              <w:t>События дефолта</w:t>
            </w:r>
          </w:p>
        </w:tc>
        <w:tc>
          <w:tcPr>
            <w:tcW w:w="5216" w:type="dxa"/>
            <w:shd w:val="clear" w:color="auto" w:fill="D9D9D9" w:themeFill="background1" w:themeFillShade="D9"/>
            <w:vAlign w:val="center"/>
          </w:tcPr>
          <w:p w14:paraId="1CFEC2BB" w14:textId="77777777" w:rsidR="00A94F1D" w:rsidRPr="00D25FF0" w:rsidRDefault="00A94F1D" w:rsidP="00CB0AB7">
            <w:pPr>
              <w:spacing w:after="0" w:line="240" w:lineRule="auto"/>
              <w:jc w:val="center"/>
              <w:rPr>
                <w:rFonts w:ascii="Times New Roman" w:eastAsiaTheme="minorHAnsi" w:hAnsi="Times New Roman" w:cstheme="minorBidi"/>
                <w:sz w:val="24"/>
                <w:lang w:val="ru-RU"/>
              </w:rPr>
            </w:pPr>
            <w:r w:rsidRPr="00D25FF0">
              <w:rPr>
                <w:rFonts w:ascii="Times New Roman" w:hAnsi="Times New Roman"/>
                <w:sz w:val="24"/>
                <w:lang w:val="ru-RU"/>
              </w:rPr>
              <w:t>Условия прекращения событий дефолта</w:t>
            </w:r>
          </w:p>
        </w:tc>
      </w:tr>
      <w:tr w:rsidR="009F51DB" w:rsidRPr="0035498A" w14:paraId="4EF85349" w14:textId="77777777" w:rsidTr="00D25FF0">
        <w:trPr>
          <w:trHeight w:val="595"/>
        </w:trPr>
        <w:tc>
          <w:tcPr>
            <w:tcW w:w="4957" w:type="dxa"/>
            <w:shd w:val="clear" w:color="auto" w:fill="FFFFFF"/>
          </w:tcPr>
          <w:p w14:paraId="1E333713" w14:textId="346F72BE"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Срок просроченной задолженности превысил 10</w:t>
            </w:r>
            <w:r w:rsidR="00CF00B3">
              <w:rPr>
                <w:rFonts w:ascii="Times New Roman" w:hAnsi="Times New Roman"/>
                <w:sz w:val="24"/>
                <w:szCs w:val="24"/>
                <w:lang w:val="ru-RU"/>
              </w:rPr>
              <w:t xml:space="preserve"> рабочих</w:t>
            </w:r>
            <w:r w:rsidRPr="002239E9">
              <w:rPr>
                <w:rFonts w:ascii="Times New Roman" w:hAnsi="Times New Roman"/>
                <w:sz w:val="24"/>
                <w:szCs w:val="24"/>
                <w:lang w:val="ru-RU"/>
              </w:rPr>
              <w:t xml:space="preserve"> дней</w:t>
            </w:r>
          </w:p>
        </w:tc>
        <w:tc>
          <w:tcPr>
            <w:tcW w:w="5216" w:type="dxa"/>
            <w:shd w:val="clear" w:color="auto" w:fill="FFFFFF"/>
          </w:tcPr>
          <w:p w14:paraId="2DD4922B" w14:textId="1A8BCD08"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A94F1D" w:rsidRPr="0035498A" w14:paraId="3CFC2855" w14:textId="77777777" w:rsidTr="00D25FF0">
        <w:trPr>
          <w:trHeight w:val="595"/>
        </w:trPr>
        <w:tc>
          <w:tcPr>
            <w:tcW w:w="4957" w:type="dxa"/>
            <w:shd w:val="clear" w:color="auto" w:fill="auto"/>
          </w:tcPr>
          <w:p w14:paraId="27A0054B"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Присвоение дефолтного рейтинга международным рейтинговым агентством</w:t>
            </w:r>
          </w:p>
        </w:tc>
        <w:tc>
          <w:tcPr>
            <w:tcW w:w="5216" w:type="dxa"/>
            <w:shd w:val="clear" w:color="auto" w:fill="auto"/>
          </w:tcPr>
          <w:p w14:paraId="40F7C5B1" w14:textId="661F3C33"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рисвоение заемщику/контрагенту рейтинга выше дефолтного;</w:t>
            </w:r>
          </w:p>
          <w:p w14:paraId="7C680105" w14:textId="1B3E71BA"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тзыв у заемщика</w:t>
            </w:r>
            <w:r w:rsidR="00D25FF0">
              <w:rPr>
                <w:rFonts w:ascii="Times New Roman" w:hAnsi="Times New Roman"/>
                <w:sz w:val="24"/>
                <w:szCs w:val="24"/>
                <w:lang w:val="ru-RU"/>
              </w:rPr>
              <w:t>/</w:t>
            </w:r>
            <w:r w:rsidR="00A94F1D" w:rsidRPr="002239E9">
              <w:rPr>
                <w:rFonts w:ascii="Times New Roman" w:hAnsi="Times New Roman"/>
                <w:sz w:val="24"/>
                <w:szCs w:val="24"/>
                <w:lang w:val="ru-RU"/>
              </w:rPr>
              <w:t>контрагента дефолтного рейтинга</w:t>
            </w:r>
          </w:p>
        </w:tc>
      </w:tr>
      <w:tr w:rsidR="00A94F1D" w:rsidRPr="0035498A" w14:paraId="646CABE7" w14:textId="77777777" w:rsidTr="00D25FF0">
        <w:trPr>
          <w:trHeight w:val="735"/>
        </w:trPr>
        <w:tc>
          <w:tcPr>
            <w:tcW w:w="4957" w:type="dxa"/>
            <w:shd w:val="clear" w:color="auto" w:fill="auto"/>
          </w:tcPr>
          <w:p w14:paraId="30A4271C"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Отзыв лицензии на осуществление банковских операций</w:t>
            </w:r>
          </w:p>
        </w:tc>
        <w:tc>
          <w:tcPr>
            <w:tcW w:w="5216" w:type="dxa"/>
            <w:shd w:val="clear" w:color="auto" w:fill="auto"/>
          </w:tcPr>
          <w:p w14:paraId="247D3C08" w14:textId="5B75A853"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в</w:t>
            </w:r>
            <w:r w:rsidR="00A94F1D" w:rsidRPr="002239E9">
              <w:rPr>
                <w:rFonts w:ascii="Times New Roman" w:hAnsi="Times New Roman"/>
                <w:sz w:val="24"/>
                <w:szCs w:val="24"/>
                <w:lang w:val="ru-RU"/>
              </w:rPr>
              <w:t>осстановление действия лицензии на осуществление банковских операций;</w:t>
            </w:r>
          </w:p>
          <w:p w14:paraId="7374D718" w14:textId="67ED7597"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ринятие судом положительного решения по обращению кредитной организации об обжаловании решения об отзыве лицензии.</w:t>
            </w:r>
          </w:p>
        </w:tc>
      </w:tr>
      <w:tr w:rsidR="00A94F1D" w:rsidRPr="0035498A" w14:paraId="27BD21E4" w14:textId="77777777" w:rsidTr="00D25FF0">
        <w:trPr>
          <w:trHeight w:val="735"/>
        </w:trPr>
        <w:tc>
          <w:tcPr>
            <w:tcW w:w="4957" w:type="dxa"/>
            <w:shd w:val="clear" w:color="auto" w:fill="auto"/>
          </w:tcPr>
          <w:p w14:paraId="380BA43F"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Отзыв лицензии на осуществление страховой деятельности</w:t>
            </w:r>
          </w:p>
        </w:tc>
        <w:tc>
          <w:tcPr>
            <w:tcW w:w="5216" w:type="dxa"/>
            <w:shd w:val="clear" w:color="auto" w:fill="auto"/>
          </w:tcPr>
          <w:p w14:paraId="31A8CADF" w14:textId="1BC50669"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в</w:t>
            </w:r>
            <w:r w:rsidR="00A94F1D" w:rsidRPr="002239E9">
              <w:rPr>
                <w:rFonts w:ascii="Times New Roman" w:hAnsi="Times New Roman"/>
                <w:sz w:val="24"/>
                <w:szCs w:val="24"/>
                <w:lang w:val="ru-RU"/>
              </w:rPr>
              <w:t>осстановление действия лицензии на осуществление страховой деятельности;</w:t>
            </w:r>
          </w:p>
          <w:p w14:paraId="337B9984" w14:textId="69000312"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ринятие судом положительного решения по обращению кредитной организации об обжаловании решения об отзыве лицензии.</w:t>
            </w:r>
          </w:p>
        </w:tc>
      </w:tr>
      <w:tr w:rsidR="00A94F1D" w:rsidRPr="0035498A" w14:paraId="406EFF7B" w14:textId="77777777" w:rsidTr="00D25FF0">
        <w:trPr>
          <w:trHeight w:val="444"/>
        </w:trPr>
        <w:tc>
          <w:tcPr>
            <w:tcW w:w="4957" w:type="dxa"/>
            <w:shd w:val="clear" w:color="auto" w:fill="auto"/>
          </w:tcPr>
          <w:p w14:paraId="1DC9DF81"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Мораторий Банка России на удовлетворение требований кредиторов</w:t>
            </w:r>
          </w:p>
        </w:tc>
        <w:tc>
          <w:tcPr>
            <w:tcW w:w="5216" w:type="dxa"/>
            <w:shd w:val="clear" w:color="auto" w:fill="auto"/>
          </w:tcPr>
          <w:p w14:paraId="649009C3" w14:textId="36D2A94A"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кончание срока действия моратория;</w:t>
            </w:r>
          </w:p>
          <w:p w14:paraId="04D37CFF" w14:textId="2958CF5F"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р</w:t>
            </w:r>
            <w:r w:rsidR="00A94F1D" w:rsidRPr="002239E9">
              <w:rPr>
                <w:rFonts w:ascii="Times New Roman" w:hAnsi="Times New Roman"/>
                <w:sz w:val="24"/>
                <w:szCs w:val="24"/>
                <w:lang w:val="ru-RU"/>
              </w:rPr>
              <w:t>ешение Банка России о прекращении действия моратория</w:t>
            </w:r>
          </w:p>
        </w:tc>
      </w:tr>
      <w:tr w:rsidR="00A94F1D" w:rsidRPr="002239E9" w14:paraId="269FD03E" w14:textId="77777777" w:rsidTr="00D25FF0">
        <w:trPr>
          <w:trHeight w:val="1404"/>
        </w:trPr>
        <w:tc>
          <w:tcPr>
            <w:tcW w:w="4957" w:type="dxa"/>
            <w:shd w:val="clear" w:color="auto" w:fill="auto"/>
          </w:tcPr>
          <w:p w14:paraId="7D4BD80A" w14:textId="51B7BD90" w:rsidR="00A94F1D" w:rsidRPr="002239E9" w:rsidRDefault="00A94F1D" w:rsidP="00D25FF0">
            <w:pPr>
              <w:spacing w:after="0" w:line="240" w:lineRule="auto"/>
              <w:rPr>
                <w:rFonts w:ascii="Times New Roman" w:hAnsi="Times New Roman"/>
                <w:sz w:val="24"/>
                <w:szCs w:val="24"/>
                <w:lang w:val="ru-RU"/>
              </w:rPr>
            </w:pPr>
            <w:r w:rsidRPr="002239E9">
              <w:rPr>
                <w:rFonts w:ascii="Times New Roman" w:hAnsi="Times New Roman"/>
                <w:sz w:val="24"/>
                <w:szCs w:val="24"/>
                <w:lang w:val="ru-RU"/>
              </w:rPr>
              <w:t>Дефолт по облигациям/еврооблигациям: просрочка исполнения заемщиком/</w:t>
            </w:r>
            <w:r w:rsidR="00D25FF0">
              <w:rPr>
                <w:rFonts w:ascii="Times New Roman" w:hAnsi="Times New Roman"/>
                <w:sz w:val="24"/>
                <w:szCs w:val="24"/>
                <w:lang w:val="ru-RU"/>
              </w:rPr>
              <w:t xml:space="preserve"> </w:t>
            </w:r>
            <w:r w:rsidRPr="002239E9">
              <w:rPr>
                <w:rFonts w:ascii="Times New Roman" w:hAnsi="Times New Roman"/>
                <w:sz w:val="24"/>
                <w:szCs w:val="24"/>
                <w:lang w:val="ru-RU"/>
              </w:rPr>
              <w:t xml:space="preserve">контрагентом обязательств по выпущенным облигациям/еврооблигациям составила более 10 </w:t>
            </w:r>
            <w:r w:rsidR="00CF00B3">
              <w:rPr>
                <w:rFonts w:ascii="Times New Roman" w:hAnsi="Times New Roman"/>
                <w:sz w:val="24"/>
                <w:szCs w:val="24"/>
                <w:lang w:val="ru-RU"/>
              </w:rPr>
              <w:t>рабочих</w:t>
            </w:r>
            <w:r w:rsidR="00CF00B3" w:rsidRPr="002239E9">
              <w:rPr>
                <w:rFonts w:ascii="Times New Roman" w:hAnsi="Times New Roman"/>
                <w:sz w:val="24"/>
                <w:szCs w:val="24"/>
                <w:lang w:val="ru-RU"/>
              </w:rPr>
              <w:t xml:space="preserve"> </w:t>
            </w:r>
            <w:r w:rsidRPr="002239E9">
              <w:rPr>
                <w:rFonts w:ascii="Times New Roman" w:hAnsi="Times New Roman"/>
                <w:sz w:val="24"/>
                <w:szCs w:val="24"/>
                <w:lang w:val="ru-RU"/>
              </w:rPr>
              <w:t>дней или объявлен отказ от исполнения обязательств.</w:t>
            </w:r>
            <w:r w:rsidRPr="002239E9">
              <w:rPr>
                <w:rStyle w:val="a6"/>
                <w:rFonts w:ascii="Times New Roman" w:hAnsi="Times New Roman"/>
                <w:sz w:val="24"/>
                <w:szCs w:val="24"/>
                <w:lang w:val="ru-RU"/>
              </w:rPr>
              <w:footnoteReference w:id="3"/>
            </w:r>
          </w:p>
        </w:tc>
        <w:tc>
          <w:tcPr>
            <w:tcW w:w="5216" w:type="dxa"/>
            <w:shd w:val="clear" w:color="auto" w:fill="auto"/>
          </w:tcPr>
          <w:p w14:paraId="61ABE6F9" w14:textId="205EECBF"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и</w:t>
            </w:r>
            <w:r w:rsidR="00D25FF0">
              <w:rPr>
                <w:rFonts w:ascii="Times New Roman" w:hAnsi="Times New Roman"/>
                <w:sz w:val="24"/>
                <w:szCs w:val="24"/>
                <w:lang w:val="ru-RU"/>
              </w:rPr>
              <w:t>сполнение заемщиком/</w:t>
            </w:r>
            <w:r w:rsidR="00A94F1D" w:rsidRPr="002239E9">
              <w:rPr>
                <w:rFonts w:ascii="Times New Roman" w:hAnsi="Times New Roman"/>
                <w:sz w:val="24"/>
                <w:szCs w:val="24"/>
                <w:lang w:val="ru-RU"/>
              </w:rPr>
              <w:t>контрагент</w:t>
            </w:r>
            <w:r w:rsidR="00D25FF0">
              <w:rPr>
                <w:rFonts w:ascii="Times New Roman" w:hAnsi="Times New Roman"/>
                <w:sz w:val="24"/>
                <w:szCs w:val="24"/>
                <w:lang w:val="ru-RU"/>
              </w:rPr>
              <w:t>ом обязательств по облигациям/</w:t>
            </w:r>
            <w:r w:rsidR="00A94F1D" w:rsidRPr="002239E9">
              <w:rPr>
                <w:rFonts w:ascii="Times New Roman" w:hAnsi="Times New Roman"/>
                <w:sz w:val="24"/>
                <w:szCs w:val="24"/>
                <w:lang w:val="ru-RU"/>
              </w:rPr>
              <w:t>еврооблигациям;</w:t>
            </w:r>
          </w:p>
          <w:p w14:paraId="1AC8DBAA" w14:textId="4C251ECD" w:rsidR="00A94F1D" w:rsidRPr="002239E9" w:rsidRDefault="008B1CFC"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долговых обязательств</w:t>
            </w:r>
          </w:p>
        </w:tc>
      </w:tr>
      <w:tr w:rsidR="009F51DB" w:rsidRPr="0035498A" w14:paraId="48666EE9" w14:textId="77777777" w:rsidTr="00D25FF0">
        <w:trPr>
          <w:trHeight w:val="284"/>
        </w:trPr>
        <w:tc>
          <w:tcPr>
            <w:tcW w:w="4957" w:type="dxa"/>
            <w:shd w:val="clear" w:color="auto" w:fill="FFFFFF"/>
          </w:tcPr>
          <w:p w14:paraId="5C0498F0" w14:textId="19881E76" w:rsidR="00A94F1D" w:rsidRPr="002239E9" w:rsidRDefault="00A94F1D" w:rsidP="00D25FF0">
            <w:pPr>
              <w:spacing w:after="0" w:line="240" w:lineRule="auto"/>
              <w:rPr>
                <w:rFonts w:ascii="Times New Roman" w:hAnsi="Times New Roman"/>
                <w:sz w:val="24"/>
                <w:szCs w:val="24"/>
                <w:lang w:val="ru-RU"/>
              </w:rPr>
            </w:pPr>
            <w:r w:rsidRPr="002239E9">
              <w:rPr>
                <w:rFonts w:ascii="Times New Roman" w:hAnsi="Times New Roman"/>
                <w:sz w:val="24"/>
                <w:szCs w:val="24"/>
                <w:lang w:val="ru-RU"/>
              </w:rPr>
              <w:t>Уполномоченным органом Банка принято решение о присвоении заемщику/ контрагенту</w:t>
            </w:r>
            <w:r w:rsidR="00D25FF0">
              <w:rPr>
                <w:rFonts w:ascii="Times New Roman" w:hAnsi="Times New Roman"/>
                <w:sz w:val="24"/>
                <w:szCs w:val="24"/>
                <w:lang w:val="ru-RU"/>
              </w:rPr>
              <w:t>/</w:t>
            </w:r>
            <w:r w:rsidRPr="002239E9">
              <w:rPr>
                <w:rFonts w:ascii="Times New Roman" w:hAnsi="Times New Roman"/>
                <w:sz w:val="24"/>
                <w:szCs w:val="24"/>
                <w:lang w:val="ru-RU"/>
              </w:rPr>
              <w:t>инструменту дефолтного рейтинга</w:t>
            </w:r>
          </w:p>
        </w:tc>
        <w:tc>
          <w:tcPr>
            <w:tcW w:w="5216" w:type="dxa"/>
            <w:shd w:val="clear" w:color="auto" w:fill="FFFFFF"/>
          </w:tcPr>
          <w:p w14:paraId="376C14CB" w14:textId="471B7324" w:rsidR="00A94F1D" w:rsidRPr="002239E9" w:rsidRDefault="003E3727"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или окончание срока действия соответствующего решения уполномоченного органа</w:t>
            </w:r>
          </w:p>
        </w:tc>
      </w:tr>
    </w:tbl>
    <w:p w14:paraId="1CB9BF35" w14:textId="0CEE893C" w:rsidR="00A94F1D" w:rsidRPr="00986467" w:rsidRDefault="00A94F1D" w:rsidP="007A654B">
      <w:pPr>
        <w:spacing w:before="240" w:after="120" w:line="240" w:lineRule="auto"/>
        <w:ind w:firstLine="709"/>
        <w:jc w:val="both"/>
        <w:rPr>
          <w:rFonts w:ascii="Times New Roman" w:hAnsi="Times New Roman"/>
          <w:b/>
          <w:sz w:val="24"/>
          <w:szCs w:val="24"/>
          <w:lang w:val="ru-RU"/>
        </w:rPr>
      </w:pPr>
      <w:r w:rsidRPr="00986467">
        <w:rPr>
          <w:rFonts w:ascii="Times New Roman" w:hAnsi="Times New Roman"/>
          <w:b/>
          <w:sz w:val="24"/>
          <w:szCs w:val="24"/>
          <w:lang w:val="ru-RU"/>
        </w:rPr>
        <w:t xml:space="preserve">5. События дефолта и условия прекращения события дефолта для Требований к суверенным и </w:t>
      </w:r>
      <w:proofErr w:type="spellStart"/>
      <w:r w:rsidRPr="00986467">
        <w:rPr>
          <w:rFonts w:ascii="Times New Roman" w:hAnsi="Times New Roman"/>
          <w:b/>
          <w:sz w:val="24"/>
          <w:szCs w:val="24"/>
          <w:lang w:val="ru-RU"/>
        </w:rPr>
        <w:t>субсуверенным</w:t>
      </w:r>
      <w:proofErr w:type="spellEnd"/>
      <w:r w:rsidRPr="00986467">
        <w:rPr>
          <w:rFonts w:ascii="Times New Roman" w:hAnsi="Times New Roman"/>
          <w:b/>
          <w:sz w:val="24"/>
          <w:szCs w:val="24"/>
          <w:lang w:val="ru-RU"/>
        </w:rPr>
        <w:t xml:space="preserve"> заемщикам</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957"/>
        <w:gridCol w:w="5216"/>
      </w:tblGrid>
      <w:tr w:rsidR="009F51DB" w:rsidRPr="002239E9" w14:paraId="537A7CCC" w14:textId="77777777" w:rsidTr="00CB0AB7">
        <w:trPr>
          <w:trHeight w:val="595"/>
          <w:tblHeader/>
        </w:trPr>
        <w:tc>
          <w:tcPr>
            <w:tcW w:w="4957" w:type="dxa"/>
            <w:shd w:val="clear" w:color="auto" w:fill="D9D9D9" w:themeFill="background1" w:themeFillShade="D9"/>
            <w:vAlign w:val="center"/>
          </w:tcPr>
          <w:p w14:paraId="1CE91093" w14:textId="77777777" w:rsidR="00A94F1D" w:rsidRPr="00D25FF0" w:rsidRDefault="00A94F1D" w:rsidP="00CB0AB7">
            <w:pPr>
              <w:spacing w:after="0" w:line="240" w:lineRule="auto"/>
              <w:jc w:val="center"/>
              <w:rPr>
                <w:rFonts w:ascii="Times New Roman" w:hAnsi="Times New Roman"/>
                <w:color w:val="000000"/>
                <w:sz w:val="24"/>
                <w:lang w:val="ru-RU"/>
              </w:rPr>
            </w:pPr>
            <w:r w:rsidRPr="00D25FF0">
              <w:rPr>
                <w:rFonts w:ascii="Times New Roman" w:hAnsi="Times New Roman"/>
                <w:sz w:val="24"/>
                <w:lang w:val="ru-RU"/>
              </w:rPr>
              <w:t>События дефолта</w:t>
            </w:r>
          </w:p>
        </w:tc>
        <w:tc>
          <w:tcPr>
            <w:tcW w:w="5216" w:type="dxa"/>
            <w:shd w:val="clear" w:color="auto" w:fill="D9D9D9" w:themeFill="background1" w:themeFillShade="D9"/>
            <w:vAlign w:val="center"/>
          </w:tcPr>
          <w:p w14:paraId="342D9359" w14:textId="77777777" w:rsidR="00A94F1D" w:rsidRPr="00D25FF0" w:rsidRDefault="00A94F1D" w:rsidP="00CB0AB7">
            <w:pPr>
              <w:spacing w:after="0" w:line="240" w:lineRule="auto"/>
              <w:jc w:val="center"/>
              <w:rPr>
                <w:rFonts w:ascii="Times New Roman" w:eastAsiaTheme="minorHAnsi" w:hAnsi="Times New Roman" w:cstheme="minorBidi"/>
                <w:color w:val="000000"/>
                <w:sz w:val="24"/>
                <w:lang w:val="ru-RU"/>
              </w:rPr>
            </w:pPr>
            <w:r w:rsidRPr="00D25FF0">
              <w:rPr>
                <w:rFonts w:ascii="Times New Roman" w:hAnsi="Times New Roman"/>
                <w:sz w:val="24"/>
                <w:lang w:val="ru-RU"/>
              </w:rPr>
              <w:t>Условия прекращения событий дефолта</w:t>
            </w:r>
          </w:p>
        </w:tc>
      </w:tr>
      <w:tr w:rsidR="00A94F1D" w:rsidRPr="0035498A" w14:paraId="5E024816" w14:textId="77777777" w:rsidTr="00D25FF0">
        <w:trPr>
          <w:trHeight w:val="595"/>
        </w:trPr>
        <w:tc>
          <w:tcPr>
            <w:tcW w:w="4957" w:type="dxa"/>
            <w:shd w:val="clear" w:color="auto" w:fill="auto"/>
          </w:tcPr>
          <w:p w14:paraId="1D12722E"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Срок просроченной задолженности превысил 90 дней</w:t>
            </w:r>
          </w:p>
        </w:tc>
        <w:tc>
          <w:tcPr>
            <w:tcW w:w="5216" w:type="dxa"/>
            <w:shd w:val="clear" w:color="auto" w:fill="auto"/>
          </w:tcPr>
          <w:p w14:paraId="67B320E8" w14:textId="23CFC28C" w:rsidR="00A94F1D" w:rsidRPr="002239E9" w:rsidRDefault="005838E8"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A94F1D" w:rsidRPr="0035498A" w14:paraId="74176314" w14:textId="77777777" w:rsidTr="00D25FF0">
        <w:trPr>
          <w:trHeight w:val="595"/>
        </w:trPr>
        <w:tc>
          <w:tcPr>
            <w:tcW w:w="4957" w:type="dxa"/>
            <w:shd w:val="clear" w:color="auto" w:fill="auto"/>
          </w:tcPr>
          <w:p w14:paraId="18944BBC" w14:textId="77777777" w:rsidR="00A94F1D" w:rsidRPr="007A654B" w:rsidRDefault="00A94F1D" w:rsidP="007A654B">
            <w:pPr>
              <w:spacing w:after="0" w:line="240" w:lineRule="auto"/>
              <w:rPr>
                <w:rFonts w:ascii="Times New Roman" w:hAnsi="Times New Roman"/>
                <w:color w:val="000000"/>
                <w:sz w:val="24"/>
                <w:lang w:val="ru-RU"/>
              </w:rPr>
            </w:pPr>
            <w:r w:rsidRPr="007A654B">
              <w:rPr>
                <w:rFonts w:ascii="Times New Roman" w:hAnsi="Times New Roman"/>
                <w:color w:val="000000"/>
                <w:sz w:val="24"/>
                <w:lang w:val="ru-RU"/>
              </w:rPr>
              <w:t>Присвоение дефолтного рейтинга международным рейтинговым агентством</w:t>
            </w:r>
          </w:p>
        </w:tc>
        <w:tc>
          <w:tcPr>
            <w:tcW w:w="5216" w:type="dxa"/>
            <w:shd w:val="clear" w:color="auto" w:fill="auto"/>
          </w:tcPr>
          <w:p w14:paraId="0C2A39AD" w14:textId="0A4FA28E" w:rsidR="00A94F1D" w:rsidRPr="002239E9" w:rsidRDefault="005838E8"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рисвоение заемщику</w:t>
            </w:r>
            <w:r w:rsidR="00D25FF0">
              <w:rPr>
                <w:rFonts w:ascii="Times New Roman" w:hAnsi="Times New Roman"/>
                <w:sz w:val="24"/>
                <w:szCs w:val="24"/>
                <w:lang w:val="ru-RU"/>
              </w:rPr>
              <w:t>/</w:t>
            </w:r>
            <w:r w:rsidR="00A94F1D" w:rsidRPr="002239E9">
              <w:rPr>
                <w:rFonts w:ascii="Times New Roman" w:hAnsi="Times New Roman"/>
                <w:sz w:val="24"/>
                <w:szCs w:val="24"/>
                <w:lang w:val="ru-RU"/>
              </w:rPr>
              <w:t>контрагенту рейтинга выше дефолтного;</w:t>
            </w:r>
          </w:p>
          <w:p w14:paraId="4AF3552C" w14:textId="7C297FA8" w:rsidR="00A94F1D" w:rsidRPr="002239E9" w:rsidRDefault="005838E8"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D25FF0">
              <w:rPr>
                <w:rFonts w:ascii="Times New Roman" w:hAnsi="Times New Roman"/>
                <w:sz w:val="24"/>
                <w:szCs w:val="24"/>
                <w:lang w:val="ru-RU"/>
              </w:rPr>
              <w:t>тзыв у заемщика/</w:t>
            </w:r>
            <w:r w:rsidR="00A94F1D" w:rsidRPr="002239E9">
              <w:rPr>
                <w:rFonts w:ascii="Times New Roman" w:hAnsi="Times New Roman"/>
                <w:sz w:val="24"/>
                <w:szCs w:val="24"/>
                <w:lang w:val="ru-RU"/>
              </w:rPr>
              <w:t>контрагента дефолтного рейтинга</w:t>
            </w:r>
          </w:p>
        </w:tc>
      </w:tr>
      <w:tr w:rsidR="00A94F1D" w:rsidRPr="0035498A" w14:paraId="382B9D3F" w14:textId="77777777" w:rsidTr="00D25FF0">
        <w:trPr>
          <w:trHeight w:val="595"/>
        </w:trPr>
        <w:tc>
          <w:tcPr>
            <w:tcW w:w="4957" w:type="dxa"/>
            <w:shd w:val="clear" w:color="auto" w:fill="auto"/>
          </w:tcPr>
          <w:p w14:paraId="4040FE43"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 xml:space="preserve">Проведение вынужденной неокончательной реструктуризации, при которой: </w:t>
            </w:r>
          </w:p>
          <w:p w14:paraId="18671DE5" w14:textId="2C40FB9B" w:rsidR="00A94F1D" w:rsidRPr="002239E9" w:rsidRDefault="00D25FF0" w:rsidP="007A654B">
            <w:pPr>
              <w:spacing w:after="0" w:line="240" w:lineRule="auto"/>
              <w:rPr>
                <w:rFonts w:ascii="Times New Roman" w:hAnsi="Times New Roman"/>
                <w:sz w:val="24"/>
                <w:szCs w:val="24"/>
                <w:lang w:val="ru-RU"/>
              </w:rPr>
            </w:pPr>
            <w:r>
              <w:rPr>
                <w:rFonts w:ascii="Times New Roman" w:hAnsi="Times New Roman"/>
                <w:sz w:val="24"/>
                <w:szCs w:val="24"/>
                <w:lang w:val="ru-RU"/>
              </w:rPr>
              <w:t>заемщиком/</w:t>
            </w:r>
            <w:r w:rsidR="00A94F1D" w:rsidRPr="002239E9">
              <w:rPr>
                <w:rFonts w:ascii="Times New Roman" w:hAnsi="Times New Roman"/>
                <w:sz w:val="24"/>
                <w:szCs w:val="24"/>
                <w:lang w:val="ru-RU"/>
              </w:rPr>
              <w:t xml:space="preserve">контрагентом не подтверждены источники погашения обязательств перед </w:t>
            </w:r>
            <w:r w:rsidR="00A94F1D" w:rsidRPr="002239E9">
              <w:rPr>
                <w:rFonts w:ascii="Times New Roman" w:hAnsi="Times New Roman"/>
                <w:sz w:val="24"/>
                <w:szCs w:val="24"/>
                <w:lang w:val="ru-RU"/>
              </w:rPr>
              <w:lastRenderedPageBreak/>
              <w:t>Банком (получение кредитов от других бюджетов бюджетной системы РФ и кредитных организаций, доходы от продажи активов и прочее).</w:t>
            </w:r>
          </w:p>
          <w:p w14:paraId="46F28D98" w14:textId="77777777" w:rsidR="00A94F1D" w:rsidRPr="007A654B" w:rsidRDefault="00A94F1D" w:rsidP="007A654B">
            <w:pPr>
              <w:spacing w:after="0" w:line="240" w:lineRule="auto"/>
              <w:rPr>
                <w:rFonts w:ascii="Times New Roman" w:hAnsi="Times New Roman"/>
                <w:color w:val="000000"/>
                <w:sz w:val="24"/>
                <w:lang w:val="ru-RU"/>
              </w:rPr>
            </w:pPr>
            <w:r w:rsidRPr="002239E9">
              <w:rPr>
                <w:rFonts w:ascii="Times New Roman" w:hAnsi="Times New Roman"/>
                <w:sz w:val="24"/>
                <w:szCs w:val="24"/>
                <w:lang w:val="ru-RU"/>
              </w:rPr>
              <w:t>Датой наступления события дефолта является дата принятия уполномоченным органом Банка решения о проведении вынужденной неокончательной реструктуризации</w:t>
            </w:r>
          </w:p>
        </w:tc>
        <w:tc>
          <w:tcPr>
            <w:tcW w:w="5216" w:type="dxa"/>
            <w:shd w:val="clear" w:color="auto" w:fill="auto"/>
          </w:tcPr>
          <w:p w14:paraId="622ECAEC" w14:textId="313764A5" w:rsidR="00A94F1D" w:rsidRPr="002239E9" w:rsidRDefault="007408C4"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lastRenderedPageBreak/>
              <w:t>п</w:t>
            </w:r>
            <w:r w:rsidR="00A94F1D" w:rsidRPr="002239E9">
              <w:rPr>
                <w:rFonts w:ascii="Times New Roman" w:hAnsi="Times New Roman"/>
                <w:sz w:val="24"/>
                <w:szCs w:val="24"/>
                <w:lang w:val="ru-RU"/>
              </w:rPr>
              <w:t>роведение реструктуризации (по</w:t>
            </w:r>
            <w:r w:rsidR="00D25FF0">
              <w:rPr>
                <w:rFonts w:ascii="Times New Roman" w:hAnsi="Times New Roman"/>
                <w:sz w:val="24"/>
                <w:szCs w:val="24"/>
                <w:lang w:val="ru-RU"/>
              </w:rPr>
              <w:t>дписание соглашения с заемщиком/</w:t>
            </w:r>
            <w:r w:rsidR="00A94F1D" w:rsidRPr="002239E9">
              <w:rPr>
                <w:rFonts w:ascii="Times New Roman" w:hAnsi="Times New Roman"/>
                <w:sz w:val="24"/>
                <w:szCs w:val="24"/>
                <w:lang w:val="ru-RU"/>
              </w:rPr>
              <w:t>контрагентом) при условии, что реструктуризация является окончательной</w:t>
            </w:r>
          </w:p>
        </w:tc>
      </w:tr>
      <w:tr w:rsidR="009F51DB" w:rsidRPr="0035498A" w14:paraId="18C66D8F" w14:textId="77777777" w:rsidTr="00D25FF0">
        <w:trPr>
          <w:trHeight w:val="284"/>
        </w:trPr>
        <w:tc>
          <w:tcPr>
            <w:tcW w:w="4957" w:type="dxa"/>
            <w:shd w:val="clear" w:color="auto" w:fill="FFFFFF"/>
          </w:tcPr>
          <w:p w14:paraId="7C3C47BC" w14:textId="4766F819" w:rsidR="00A94F1D" w:rsidRPr="002239E9" w:rsidRDefault="00A94F1D" w:rsidP="00D25FF0">
            <w:pPr>
              <w:spacing w:after="0" w:line="240" w:lineRule="auto"/>
              <w:rPr>
                <w:rFonts w:ascii="Times New Roman" w:hAnsi="Times New Roman"/>
                <w:sz w:val="24"/>
                <w:szCs w:val="24"/>
                <w:lang w:val="ru-RU"/>
              </w:rPr>
            </w:pPr>
            <w:r w:rsidRPr="002239E9">
              <w:rPr>
                <w:rFonts w:ascii="Times New Roman" w:hAnsi="Times New Roman"/>
                <w:sz w:val="24"/>
                <w:szCs w:val="24"/>
                <w:lang w:val="ru-RU"/>
              </w:rPr>
              <w:t>Уполномоченным органом Банка принято решение о присвоении заемщику</w:t>
            </w:r>
            <w:r w:rsidR="00D25FF0">
              <w:rPr>
                <w:rFonts w:ascii="Times New Roman" w:hAnsi="Times New Roman"/>
                <w:sz w:val="24"/>
                <w:szCs w:val="24"/>
                <w:lang w:val="ru-RU"/>
              </w:rPr>
              <w:t>/ контрагенту/</w:t>
            </w:r>
            <w:r w:rsidRPr="002239E9">
              <w:rPr>
                <w:rFonts w:ascii="Times New Roman" w:hAnsi="Times New Roman"/>
                <w:sz w:val="24"/>
                <w:szCs w:val="24"/>
                <w:lang w:val="ru-RU"/>
              </w:rPr>
              <w:t>инструменту дефолтного рейтинга</w:t>
            </w:r>
          </w:p>
        </w:tc>
        <w:tc>
          <w:tcPr>
            <w:tcW w:w="5216" w:type="dxa"/>
            <w:shd w:val="clear" w:color="auto" w:fill="FFFFFF"/>
          </w:tcPr>
          <w:p w14:paraId="2F98ECF0" w14:textId="7B6A64BC" w:rsidR="00A94F1D" w:rsidRPr="002239E9" w:rsidRDefault="007408C4"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или окончание срока действия соответствующего решения уполномоченного органа</w:t>
            </w:r>
          </w:p>
        </w:tc>
      </w:tr>
    </w:tbl>
    <w:p w14:paraId="0F65CD89" w14:textId="224493E8" w:rsidR="00A94F1D" w:rsidRPr="00986467" w:rsidRDefault="00A94F1D" w:rsidP="007A654B">
      <w:pPr>
        <w:spacing w:before="240" w:after="120" w:line="240" w:lineRule="auto"/>
        <w:ind w:firstLine="709"/>
        <w:rPr>
          <w:rFonts w:ascii="Times New Roman" w:hAnsi="Times New Roman"/>
          <w:b/>
          <w:sz w:val="24"/>
          <w:szCs w:val="24"/>
          <w:lang w:val="ru-RU"/>
        </w:rPr>
      </w:pPr>
      <w:r w:rsidRPr="00986467">
        <w:rPr>
          <w:rFonts w:ascii="Times New Roman" w:hAnsi="Times New Roman"/>
          <w:b/>
          <w:sz w:val="24"/>
          <w:szCs w:val="24"/>
          <w:lang w:val="ru-RU"/>
        </w:rPr>
        <w:t>6. События дефолта и условия прекращения события дефолта для Ценных бумаг</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989"/>
        <w:gridCol w:w="5184"/>
      </w:tblGrid>
      <w:tr w:rsidR="009F51DB" w:rsidRPr="002239E9" w14:paraId="29A9EB70" w14:textId="77777777" w:rsidTr="00CB0AB7">
        <w:trPr>
          <w:trHeight w:val="507"/>
          <w:tblHeader/>
        </w:trPr>
        <w:tc>
          <w:tcPr>
            <w:tcW w:w="4989" w:type="dxa"/>
            <w:shd w:val="clear" w:color="auto" w:fill="D9D9D9" w:themeFill="background1" w:themeFillShade="D9"/>
            <w:vAlign w:val="center"/>
          </w:tcPr>
          <w:p w14:paraId="4F8AB84A" w14:textId="77777777" w:rsidR="00A94F1D" w:rsidRPr="00D25FF0" w:rsidRDefault="00A94F1D" w:rsidP="00CB0AB7">
            <w:pPr>
              <w:spacing w:after="0" w:line="240" w:lineRule="auto"/>
              <w:jc w:val="center"/>
              <w:rPr>
                <w:rFonts w:ascii="Times New Roman" w:hAnsi="Times New Roman"/>
                <w:sz w:val="24"/>
                <w:lang w:val="ru-RU"/>
              </w:rPr>
            </w:pPr>
            <w:r w:rsidRPr="00D25FF0">
              <w:rPr>
                <w:rFonts w:ascii="Times New Roman" w:hAnsi="Times New Roman"/>
                <w:sz w:val="24"/>
                <w:lang w:val="ru-RU"/>
              </w:rPr>
              <w:t>События дефолта</w:t>
            </w:r>
          </w:p>
        </w:tc>
        <w:tc>
          <w:tcPr>
            <w:tcW w:w="5184" w:type="dxa"/>
            <w:shd w:val="clear" w:color="auto" w:fill="D9D9D9" w:themeFill="background1" w:themeFillShade="D9"/>
            <w:vAlign w:val="center"/>
          </w:tcPr>
          <w:p w14:paraId="17CCDF94" w14:textId="77777777" w:rsidR="00A94F1D" w:rsidRPr="00D25FF0" w:rsidRDefault="00A94F1D" w:rsidP="00CB0AB7">
            <w:pPr>
              <w:spacing w:after="0" w:line="240" w:lineRule="auto"/>
              <w:jc w:val="center"/>
              <w:rPr>
                <w:rFonts w:ascii="Times New Roman" w:eastAsiaTheme="minorHAnsi" w:hAnsi="Times New Roman" w:cstheme="minorBidi"/>
                <w:sz w:val="24"/>
                <w:lang w:val="ru-RU"/>
              </w:rPr>
            </w:pPr>
            <w:r w:rsidRPr="00D25FF0">
              <w:rPr>
                <w:rFonts w:ascii="Times New Roman" w:hAnsi="Times New Roman"/>
                <w:sz w:val="24"/>
                <w:lang w:val="ru-RU"/>
              </w:rPr>
              <w:t>Условия прекращения событий дефолта</w:t>
            </w:r>
          </w:p>
        </w:tc>
      </w:tr>
      <w:tr w:rsidR="00A94F1D" w:rsidRPr="0035498A" w14:paraId="2487345B" w14:textId="77777777" w:rsidTr="00D25FF0">
        <w:trPr>
          <w:trHeight w:val="872"/>
        </w:trPr>
        <w:tc>
          <w:tcPr>
            <w:tcW w:w="4989" w:type="dxa"/>
            <w:shd w:val="clear" w:color="auto" w:fill="auto"/>
          </w:tcPr>
          <w:p w14:paraId="76B9E3C7"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 xml:space="preserve">Срок просроченной задолженности превысил 10 </w:t>
            </w:r>
            <w:r w:rsidR="00CF00B3">
              <w:rPr>
                <w:rFonts w:ascii="Times New Roman" w:hAnsi="Times New Roman"/>
                <w:sz w:val="24"/>
                <w:szCs w:val="24"/>
                <w:lang w:val="ru-RU"/>
              </w:rPr>
              <w:t>рабочих</w:t>
            </w:r>
            <w:r w:rsidR="00CF00B3" w:rsidRPr="002239E9">
              <w:rPr>
                <w:rFonts w:ascii="Times New Roman" w:hAnsi="Times New Roman"/>
                <w:sz w:val="24"/>
                <w:szCs w:val="24"/>
                <w:lang w:val="ru-RU"/>
              </w:rPr>
              <w:t xml:space="preserve"> </w:t>
            </w:r>
            <w:r w:rsidRPr="002239E9">
              <w:rPr>
                <w:rFonts w:ascii="Times New Roman" w:hAnsi="Times New Roman"/>
                <w:sz w:val="24"/>
                <w:szCs w:val="24"/>
                <w:lang w:val="ru-RU"/>
              </w:rPr>
              <w:t>дней</w:t>
            </w:r>
          </w:p>
        </w:tc>
        <w:tc>
          <w:tcPr>
            <w:tcW w:w="5184" w:type="dxa"/>
            <w:shd w:val="clear" w:color="auto" w:fill="auto"/>
          </w:tcPr>
          <w:p w14:paraId="54643D0E" w14:textId="3F4D892C" w:rsidR="00A94F1D" w:rsidRPr="002239E9" w:rsidRDefault="00B35D95"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A94F1D" w:rsidRPr="002239E9" w14:paraId="6BD39859" w14:textId="77777777" w:rsidTr="00D25FF0">
        <w:trPr>
          <w:trHeight w:val="872"/>
        </w:trPr>
        <w:tc>
          <w:tcPr>
            <w:tcW w:w="4989" w:type="dxa"/>
            <w:shd w:val="clear" w:color="auto" w:fill="auto"/>
          </w:tcPr>
          <w:p w14:paraId="71F03A9B"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Контрагентом (эмитентом ценной бумаги)  объявлен отказ от исполнения обязательств по выпущенным ценным бумагам</w:t>
            </w:r>
          </w:p>
        </w:tc>
        <w:tc>
          <w:tcPr>
            <w:tcW w:w="5184" w:type="dxa"/>
            <w:shd w:val="clear" w:color="auto" w:fill="auto"/>
          </w:tcPr>
          <w:p w14:paraId="28054B50" w14:textId="4A4EE3EB" w:rsidR="00A94F1D" w:rsidRPr="002239E9" w:rsidRDefault="00B35D95"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и</w:t>
            </w:r>
            <w:r w:rsidR="00A94F1D" w:rsidRPr="002239E9">
              <w:rPr>
                <w:rFonts w:ascii="Times New Roman" w:hAnsi="Times New Roman"/>
                <w:sz w:val="24"/>
                <w:szCs w:val="24"/>
                <w:lang w:val="ru-RU"/>
              </w:rPr>
              <w:t>сполнение заемщиком/контрагентом обязательств по выпущенным ценным бумагам;</w:t>
            </w:r>
          </w:p>
          <w:p w14:paraId="6E271167" w14:textId="191B4BE7" w:rsidR="00A94F1D" w:rsidRPr="002239E9" w:rsidRDefault="00B35D95"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роведение реструктуризации долговых обязательств</w:t>
            </w:r>
          </w:p>
        </w:tc>
      </w:tr>
      <w:tr w:rsidR="00A94F1D" w:rsidRPr="0035498A" w14:paraId="128A3BC6" w14:textId="77777777" w:rsidTr="00D25FF0">
        <w:trPr>
          <w:trHeight w:val="872"/>
        </w:trPr>
        <w:tc>
          <w:tcPr>
            <w:tcW w:w="4989" w:type="dxa"/>
            <w:shd w:val="clear" w:color="auto" w:fill="auto"/>
          </w:tcPr>
          <w:p w14:paraId="2F8878F5" w14:textId="36889FC0" w:rsidR="00A94F1D" w:rsidRPr="002239E9" w:rsidRDefault="00A94F1D" w:rsidP="00D25FF0">
            <w:pPr>
              <w:spacing w:after="0" w:line="240" w:lineRule="auto"/>
              <w:rPr>
                <w:rFonts w:ascii="Times New Roman" w:hAnsi="Times New Roman"/>
                <w:sz w:val="24"/>
                <w:szCs w:val="24"/>
                <w:highlight w:val="yellow"/>
                <w:lang w:val="ru-RU"/>
              </w:rPr>
            </w:pPr>
            <w:r w:rsidRPr="002239E9">
              <w:rPr>
                <w:rFonts w:ascii="Times New Roman" w:hAnsi="Times New Roman"/>
                <w:sz w:val="24"/>
                <w:szCs w:val="24"/>
                <w:lang w:val="ru-RU"/>
              </w:rPr>
              <w:t>Присвоение контр</w:t>
            </w:r>
            <w:r w:rsidR="00D25FF0">
              <w:rPr>
                <w:rFonts w:ascii="Times New Roman" w:hAnsi="Times New Roman"/>
                <w:sz w:val="24"/>
                <w:szCs w:val="24"/>
                <w:lang w:val="ru-RU"/>
              </w:rPr>
              <w:t>агенту (эмитенту ценной бумаги)</w:t>
            </w:r>
            <w:r w:rsidRPr="002239E9">
              <w:rPr>
                <w:rFonts w:ascii="Times New Roman" w:hAnsi="Times New Roman"/>
                <w:sz w:val="24"/>
                <w:szCs w:val="24"/>
                <w:lang w:val="ru-RU"/>
              </w:rPr>
              <w:t>/инструменту дефолтного рейтинга международным рейтинговым агентством</w:t>
            </w:r>
          </w:p>
        </w:tc>
        <w:tc>
          <w:tcPr>
            <w:tcW w:w="5184" w:type="dxa"/>
            <w:shd w:val="clear" w:color="auto" w:fill="auto"/>
          </w:tcPr>
          <w:p w14:paraId="219514C4" w14:textId="0E98A850" w:rsidR="00A94F1D" w:rsidRPr="002239E9" w:rsidRDefault="00B35D95"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рисвоение контрагенту/инструменту рейтинга выше дефолтного;</w:t>
            </w:r>
          </w:p>
          <w:p w14:paraId="6F4A5ACC" w14:textId="63257D1A" w:rsidR="00A94F1D" w:rsidRPr="002239E9" w:rsidRDefault="00B35D95"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тзыв у контрагента</w:t>
            </w:r>
            <w:r w:rsidR="00D25FF0">
              <w:rPr>
                <w:rFonts w:ascii="Times New Roman" w:hAnsi="Times New Roman"/>
                <w:sz w:val="24"/>
                <w:szCs w:val="24"/>
                <w:lang w:val="ru-RU"/>
              </w:rPr>
              <w:t>/</w:t>
            </w:r>
            <w:r w:rsidR="00A94F1D" w:rsidRPr="002239E9">
              <w:rPr>
                <w:rFonts w:ascii="Times New Roman" w:hAnsi="Times New Roman"/>
                <w:sz w:val="24"/>
                <w:szCs w:val="24"/>
                <w:lang w:val="ru-RU"/>
              </w:rPr>
              <w:t>инструмента дефолтного рейтинга</w:t>
            </w:r>
          </w:p>
        </w:tc>
      </w:tr>
      <w:tr w:rsidR="009F51DB" w:rsidRPr="0035498A" w14:paraId="3C79C3F0" w14:textId="77777777" w:rsidTr="00D25FF0">
        <w:trPr>
          <w:trHeight w:val="284"/>
        </w:trPr>
        <w:tc>
          <w:tcPr>
            <w:tcW w:w="4989" w:type="dxa"/>
            <w:shd w:val="clear" w:color="auto" w:fill="FFFFFF"/>
          </w:tcPr>
          <w:p w14:paraId="5C23D18D" w14:textId="6BB3FC3E" w:rsidR="00A94F1D" w:rsidRPr="002239E9" w:rsidRDefault="00A94F1D" w:rsidP="00D25FF0">
            <w:pPr>
              <w:spacing w:after="0" w:line="240" w:lineRule="auto"/>
              <w:rPr>
                <w:rFonts w:ascii="Times New Roman" w:hAnsi="Times New Roman"/>
                <w:sz w:val="24"/>
                <w:szCs w:val="24"/>
                <w:lang w:val="ru-RU"/>
              </w:rPr>
            </w:pPr>
            <w:r w:rsidRPr="002239E9">
              <w:rPr>
                <w:rFonts w:ascii="Times New Roman" w:hAnsi="Times New Roman"/>
                <w:sz w:val="24"/>
                <w:szCs w:val="24"/>
                <w:lang w:val="ru-RU"/>
              </w:rPr>
              <w:t>Уполномоченным органом Банка принято решение о присвоении заемщику</w:t>
            </w:r>
            <w:r w:rsidR="00D25FF0">
              <w:rPr>
                <w:rFonts w:ascii="Times New Roman" w:hAnsi="Times New Roman"/>
                <w:sz w:val="24"/>
                <w:szCs w:val="24"/>
                <w:lang w:val="ru-RU"/>
              </w:rPr>
              <w:t xml:space="preserve">/ </w:t>
            </w:r>
            <w:r w:rsidRPr="002239E9">
              <w:rPr>
                <w:rFonts w:ascii="Times New Roman" w:hAnsi="Times New Roman"/>
                <w:sz w:val="24"/>
                <w:szCs w:val="24"/>
                <w:lang w:val="ru-RU"/>
              </w:rPr>
              <w:t>к</w:t>
            </w:r>
            <w:r w:rsidR="00D25FF0">
              <w:rPr>
                <w:rFonts w:ascii="Times New Roman" w:hAnsi="Times New Roman"/>
                <w:sz w:val="24"/>
                <w:szCs w:val="24"/>
                <w:lang w:val="ru-RU"/>
              </w:rPr>
              <w:t>онтрагенту/</w:t>
            </w:r>
            <w:r w:rsidRPr="002239E9">
              <w:rPr>
                <w:rFonts w:ascii="Times New Roman" w:hAnsi="Times New Roman"/>
                <w:sz w:val="24"/>
                <w:szCs w:val="24"/>
                <w:lang w:val="ru-RU"/>
              </w:rPr>
              <w:t>инструменту дефолтного рейтинга</w:t>
            </w:r>
          </w:p>
        </w:tc>
        <w:tc>
          <w:tcPr>
            <w:tcW w:w="5184" w:type="dxa"/>
            <w:shd w:val="clear" w:color="auto" w:fill="FFFFFF"/>
          </w:tcPr>
          <w:p w14:paraId="652AF805" w14:textId="7F18A55E" w:rsidR="00A94F1D" w:rsidRPr="002239E9" w:rsidRDefault="00B35D95"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о</w:t>
            </w:r>
            <w:r w:rsidR="00A94F1D" w:rsidRPr="002239E9">
              <w:rPr>
                <w:rFonts w:ascii="Times New Roman" w:hAnsi="Times New Roman"/>
                <w:sz w:val="24"/>
                <w:szCs w:val="24"/>
                <w:lang w:val="ru-RU"/>
              </w:rPr>
              <w:t>тмена или окончание срока действия соответствующего решения уполномоченного органа</w:t>
            </w:r>
          </w:p>
        </w:tc>
      </w:tr>
    </w:tbl>
    <w:p w14:paraId="265EAC26" w14:textId="0ECAA2AF" w:rsidR="00A94F1D" w:rsidRPr="00986467" w:rsidRDefault="00A94F1D" w:rsidP="009C1356">
      <w:pPr>
        <w:spacing w:before="240" w:after="120" w:line="240" w:lineRule="auto"/>
        <w:ind w:firstLine="709"/>
        <w:jc w:val="both"/>
        <w:rPr>
          <w:rFonts w:ascii="Times New Roman" w:hAnsi="Times New Roman"/>
          <w:b/>
          <w:sz w:val="24"/>
          <w:szCs w:val="24"/>
          <w:lang w:val="ru-RU"/>
        </w:rPr>
      </w:pPr>
      <w:r w:rsidRPr="00986467">
        <w:rPr>
          <w:rFonts w:ascii="Times New Roman" w:hAnsi="Times New Roman"/>
          <w:b/>
          <w:sz w:val="24"/>
          <w:szCs w:val="24"/>
          <w:lang w:val="ru-RU"/>
        </w:rPr>
        <w:t>7. События дефолта и условия прекращения события дефолта для Дебиторской задолженности</w:t>
      </w:r>
    </w:p>
    <w:tbl>
      <w:tblPr>
        <w:tblW w:w="101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989"/>
        <w:gridCol w:w="5184"/>
      </w:tblGrid>
      <w:tr w:rsidR="009F51DB" w:rsidRPr="002239E9" w14:paraId="107636E4" w14:textId="77777777" w:rsidTr="00CB0AB7">
        <w:trPr>
          <w:trHeight w:val="507"/>
        </w:trPr>
        <w:tc>
          <w:tcPr>
            <w:tcW w:w="4989" w:type="dxa"/>
            <w:shd w:val="clear" w:color="auto" w:fill="D9D9D9" w:themeFill="background1" w:themeFillShade="D9"/>
            <w:vAlign w:val="center"/>
          </w:tcPr>
          <w:p w14:paraId="18FEFF1B" w14:textId="77777777" w:rsidR="00A94F1D" w:rsidRPr="00D25FF0" w:rsidRDefault="00A94F1D" w:rsidP="00CB0AB7">
            <w:pPr>
              <w:spacing w:after="0" w:line="240" w:lineRule="auto"/>
              <w:jc w:val="center"/>
              <w:rPr>
                <w:rFonts w:ascii="Times New Roman" w:hAnsi="Times New Roman"/>
                <w:sz w:val="24"/>
                <w:lang w:val="ru-RU"/>
              </w:rPr>
            </w:pPr>
            <w:r w:rsidRPr="00D25FF0">
              <w:rPr>
                <w:rFonts w:ascii="Times New Roman" w:hAnsi="Times New Roman"/>
                <w:sz w:val="24"/>
                <w:lang w:val="ru-RU"/>
              </w:rPr>
              <w:t>События дефолта</w:t>
            </w:r>
          </w:p>
        </w:tc>
        <w:tc>
          <w:tcPr>
            <w:tcW w:w="5184" w:type="dxa"/>
            <w:shd w:val="clear" w:color="auto" w:fill="D9D9D9" w:themeFill="background1" w:themeFillShade="D9"/>
            <w:vAlign w:val="center"/>
          </w:tcPr>
          <w:p w14:paraId="098D655C" w14:textId="77777777" w:rsidR="00A94F1D" w:rsidRPr="00D25FF0" w:rsidRDefault="00A94F1D" w:rsidP="00CB0AB7">
            <w:pPr>
              <w:spacing w:after="0" w:line="240" w:lineRule="auto"/>
              <w:jc w:val="center"/>
              <w:rPr>
                <w:rFonts w:ascii="Times New Roman" w:eastAsiaTheme="minorHAnsi" w:hAnsi="Times New Roman" w:cstheme="minorBidi"/>
                <w:sz w:val="24"/>
                <w:lang w:val="ru-RU"/>
              </w:rPr>
            </w:pPr>
            <w:r w:rsidRPr="00D25FF0">
              <w:rPr>
                <w:rFonts w:ascii="Times New Roman" w:hAnsi="Times New Roman"/>
                <w:sz w:val="24"/>
                <w:lang w:val="ru-RU"/>
              </w:rPr>
              <w:t>Условия прекращения событий дефолта</w:t>
            </w:r>
          </w:p>
        </w:tc>
      </w:tr>
      <w:tr w:rsidR="00A94F1D" w:rsidRPr="0035498A" w14:paraId="24AF696D" w14:textId="77777777" w:rsidTr="00D25FF0">
        <w:trPr>
          <w:trHeight w:val="872"/>
        </w:trPr>
        <w:tc>
          <w:tcPr>
            <w:tcW w:w="4989" w:type="dxa"/>
            <w:shd w:val="clear" w:color="auto" w:fill="auto"/>
          </w:tcPr>
          <w:p w14:paraId="222492B6" w14:textId="77777777"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Срок просроченной задолженности превысил 90 дней</w:t>
            </w:r>
          </w:p>
        </w:tc>
        <w:tc>
          <w:tcPr>
            <w:tcW w:w="5184" w:type="dxa"/>
            <w:shd w:val="clear" w:color="auto" w:fill="auto"/>
          </w:tcPr>
          <w:p w14:paraId="701D0756" w14:textId="548CC9F6" w:rsidR="00A94F1D" w:rsidRPr="002239E9" w:rsidRDefault="00B30A17"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п</w:t>
            </w:r>
            <w:r w:rsidR="00A94F1D" w:rsidRPr="002239E9">
              <w:rPr>
                <w:rFonts w:ascii="Times New Roman" w:hAnsi="Times New Roman"/>
                <w:sz w:val="24"/>
                <w:szCs w:val="24"/>
                <w:lang w:val="ru-RU"/>
              </w:rPr>
              <w:t>огашение просроченной задолженности в полном объеме</w:t>
            </w:r>
          </w:p>
        </w:tc>
      </w:tr>
      <w:tr w:rsidR="00A94F1D" w:rsidRPr="0035498A" w14:paraId="1EE07665" w14:textId="77777777" w:rsidTr="00D25FF0">
        <w:trPr>
          <w:trHeight w:val="872"/>
        </w:trPr>
        <w:tc>
          <w:tcPr>
            <w:tcW w:w="4989" w:type="dxa"/>
            <w:shd w:val="clear" w:color="auto" w:fill="auto"/>
          </w:tcPr>
          <w:p w14:paraId="786C45BF" w14:textId="29FA6F5F" w:rsidR="00A94F1D" w:rsidRPr="002239E9" w:rsidRDefault="00A94F1D" w:rsidP="007A654B">
            <w:pPr>
              <w:spacing w:after="0" w:line="240" w:lineRule="auto"/>
              <w:rPr>
                <w:rFonts w:ascii="Times New Roman" w:hAnsi="Times New Roman"/>
                <w:sz w:val="24"/>
                <w:szCs w:val="24"/>
                <w:lang w:val="ru-RU"/>
              </w:rPr>
            </w:pPr>
            <w:r w:rsidRPr="002239E9">
              <w:rPr>
                <w:rFonts w:ascii="Times New Roman" w:hAnsi="Times New Roman"/>
                <w:sz w:val="24"/>
                <w:szCs w:val="24"/>
                <w:lang w:val="ru-RU"/>
              </w:rPr>
              <w:t xml:space="preserve">По другим финансовым инструментам дебитора произошло одно из событий дефолта, определенных в п. 1-4 </w:t>
            </w:r>
            <w:r w:rsidR="000E7D33" w:rsidRPr="002239E9">
              <w:rPr>
                <w:rFonts w:ascii="Times New Roman" w:hAnsi="Times New Roman"/>
                <w:sz w:val="24"/>
                <w:szCs w:val="24"/>
                <w:lang w:val="ru-RU"/>
              </w:rPr>
              <w:t xml:space="preserve">настоящего </w:t>
            </w:r>
            <w:r w:rsidRPr="002239E9">
              <w:rPr>
                <w:rFonts w:ascii="Times New Roman" w:hAnsi="Times New Roman"/>
                <w:sz w:val="24"/>
                <w:szCs w:val="24"/>
                <w:lang w:val="ru-RU"/>
              </w:rPr>
              <w:t xml:space="preserve">Приложения (в зависимости от финансового инструмента) </w:t>
            </w:r>
          </w:p>
        </w:tc>
        <w:tc>
          <w:tcPr>
            <w:tcW w:w="5184" w:type="dxa"/>
            <w:shd w:val="clear" w:color="auto" w:fill="auto"/>
          </w:tcPr>
          <w:p w14:paraId="6CBCB7B4" w14:textId="67008F00" w:rsidR="00A94F1D" w:rsidRPr="002239E9" w:rsidRDefault="00B30A17" w:rsidP="00D25FF0">
            <w:pPr>
              <w:numPr>
                <w:ilvl w:val="0"/>
                <w:numId w:val="4"/>
              </w:numPr>
              <w:tabs>
                <w:tab w:val="left" w:pos="288"/>
              </w:tabs>
              <w:spacing w:after="0" w:line="240" w:lineRule="auto"/>
              <w:ind w:left="5" w:firstLine="0"/>
              <w:rPr>
                <w:rFonts w:ascii="Times New Roman" w:hAnsi="Times New Roman"/>
                <w:sz w:val="24"/>
                <w:szCs w:val="24"/>
                <w:lang w:val="ru-RU"/>
              </w:rPr>
            </w:pPr>
            <w:r w:rsidRPr="002239E9">
              <w:rPr>
                <w:rFonts w:ascii="Times New Roman" w:hAnsi="Times New Roman"/>
                <w:sz w:val="24"/>
                <w:szCs w:val="24"/>
                <w:lang w:val="ru-RU"/>
              </w:rPr>
              <w:t>у</w:t>
            </w:r>
            <w:r w:rsidR="00A94F1D" w:rsidRPr="002239E9">
              <w:rPr>
                <w:rFonts w:ascii="Times New Roman" w:hAnsi="Times New Roman"/>
                <w:sz w:val="24"/>
                <w:szCs w:val="24"/>
                <w:lang w:val="ru-RU"/>
              </w:rPr>
              <w:t xml:space="preserve">словия прекращения событий дефолта для соответствующего события дефолта в п. 1-4 </w:t>
            </w:r>
            <w:r w:rsidR="000E7D33" w:rsidRPr="002239E9">
              <w:rPr>
                <w:rFonts w:ascii="Times New Roman" w:hAnsi="Times New Roman"/>
                <w:sz w:val="24"/>
                <w:szCs w:val="24"/>
                <w:lang w:val="ru-RU"/>
              </w:rPr>
              <w:t xml:space="preserve">настоящего </w:t>
            </w:r>
            <w:r w:rsidR="00A94F1D" w:rsidRPr="002239E9">
              <w:rPr>
                <w:rFonts w:ascii="Times New Roman" w:hAnsi="Times New Roman"/>
                <w:sz w:val="24"/>
                <w:szCs w:val="24"/>
                <w:lang w:val="ru-RU"/>
              </w:rPr>
              <w:t>Приложения</w:t>
            </w:r>
          </w:p>
        </w:tc>
      </w:tr>
    </w:tbl>
    <w:p w14:paraId="242AB9DD" w14:textId="77777777" w:rsidR="000A0804" w:rsidRPr="007A654B" w:rsidRDefault="000A0804" w:rsidP="00A278FA">
      <w:pPr>
        <w:spacing w:after="0" w:line="240" w:lineRule="auto"/>
        <w:rPr>
          <w:rFonts w:ascii="Times New Roman" w:hAnsi="Times New Roman"/>
          <w:sz w:val="24"/>
          <w:lang w:val="ru-RU"/>
        </w:rPr>
      </w:pPr>
    </w:p>
    <w:sectPr w:rsidR="000A0804" w:rsidRPr="007A654B" w:rsidSect="00611794">
      <w:headerReference w:type="default" r:id="rId7"/>
      <w:pgSz w:w="11906" w:h="16838"/>
      <w:pgMar w:top="851" w:right="851" w:bottom="85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74F7B" w14:textId="77777777" w:rsidR="00C86D1D" w:rsidRDefault="00C86D1D" w:rsidP="00A94F1D">
      <w:pPr>
        <w:spacing w:after="0" w:line="240" w:lineRule="auto"/>
      </w:pPr>
      <w:r>
        <w:separator/>
      </w:r>
    </w:p>
  </w:endnote>
  <w:endnote w:type="continuationSeparator" w:id="0">
    <w:p w14:paraId="31991CC8" w14:textId="77777777" w:rsidR="00C86D1D" w:rsidRDefault="00C86D1D" w:rsidP="00A94F1D">
      <w:pPr>
        <w:spacing w:after="0" w:line="240" w:lineRule="auto"/>
      </w:pPr>
      <w:r>
        <w:continuationSeparator/>
      </w:r>
    </w:p>
  </w:endnote>
  <w:endnote w:type="continuationNotice" w:id="1">
    <w:p w14:paraId="346F57CB" w14:textId="77777777" w:rsidR="00C86D1D" w:rsidRDefault="00C86D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20002A87" w:usb1="00000000" w:usb2="00000000" w:usb3="00000000" w:csb0="000001FF" w:csb1="00000000"/>
  </w:font>
  <w:font w:name="Tahoma">
    <w:panose1 w:val="020B0604030504040204"/>
    <w:charset w:val="CC"/>
    <w:family w:val="swiss"/>
    <w:pitch w:val="variable"/>
    <w:sig w:usb0="21002A87" w:usb1="00000000" w:usb2="00000000"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9ADF3" w14:textId="77777777" w:rsidR="00C86D1D" w:rsidRDefault="00C86D1D" w:rsidP="00A94F1D">
      <w:pPr>
        <w:spacing w:after="0" w:line="240" w:lineRule="auto"/>
      </w:pPr>
      <w:r>
        <w:separator/>
      </w:r>
    </w:p>
  </w:footnote>
  <w:footnote w:type="continuationSeparator" w:id="0">
    <w:p w14:paraId="4385F793" w14:textId="77777777" w:rsidR="00C86D1D" w:rsidRDefault="00C86D1D" w:rsidP="00A94F1D">
      <w:pPr>
        <w:spacing w:after="0" w:line="240" w:lineRule="auto"/>
      </w:pPr>
      <w:r>
        <w:continuationSeparator/>
      </w:r>
    </w:p>
  </w:footnote>
  <w:footnote w:type="continuationNotice" w:id="1">
    <w:p w14:paraId="582D8E25" w14:textId="77777777" w:rsidR="00C86D1D" w:rsidRDefault="00C86D1D">
      <w:pPr>
        <w:spacing w:after="0" w:line="240" w:lineRule="auto"/>
      </w:pPr>
    </w:p>
  </w:footnote>
  <w:footnote w:id="2">
    <w:p w14:paraId="53FA38BE" w14:textId="279BB195" w:rsidR="00BE1359" w:rsidRPr="00B25696" w:rsidRDefault="00BE1359" w:rsidP="00BE1359">
      <w:pPr>
        <w:pStyle w:val="a4"/>
        <w:jc w:val="both"/>
        <w:rPr>
          <w:rFonts w:ascii="Times New Roman" w:hAnsi="Times New Roman"/>
          <w:lang w:val="ru-RU"/>
        </w:rPr>
      </w:pPr>
      <w:r w:rsidRPr="00B25696">
        <w:rPr>
          <w:rStyle w:val="a6"/>
          <w:rFonts w:ascii="Times New Roman" w:hAnsi="Times New Roman"/>
        </w:rPr>
        <w:footnoteRef/>
      </w:r>
      <w:r w:rsidR="00D25FF0">
        <w:rPr>
          <w:rFonts w:ascii="Times New Roman" w:hAnsi="Times New Roman"/>
          <w:lang w:val="ru-RU"/>
        </w:rPr>
        <w:t> </w:t>
      </w:r>
      <w:r>
        <w:rPr>
          <w:rFonts w:ascii="Times New Roman" w:hAnsi="Times New Roman"/>
          <w:lang w:val="ru-RU"/>
        </w:rPr>
        <w:t xml:space="preserve">К просроченной </w:t>
      </w:r>
      <w:proofErr w:type="gramStart"/>
      <w:r>
        <w:rPr>
          <w:rFonts w:ascii="Times New Roman" w:hAnsi="Times New Roman"/>
          <w:lang w:val="ru-RU"/>
        </w:rPr>
        <w:t>задолженности  относится</w:t>
      </w:r>
      <w:proofErr w:type="gramEnd"/>
      <w:r>
        <w:rPr>
          <w:rFonts w:ascii="Times New Roman" w:hAnsi="Times New Roman"/>
          <w:lang w:val="ru-RU"/>
        </w:rPr>
        <w:t xml:space="preserve"> любая просроченная задолженность Заёмщи</w:t>
      </w:r>
      <w:r w:rsidR="009368AE">
        <w:rPr>
          <w:rFonts w:ascii="Times New Roman" w:hAnsi="Times New Roman"/>
          <w:lang w:val="ru-RU"/>
        </w:rPr>
        <w:t>ка, срок которой превысил порог указанный в данном Приложении в п 1-7.</w:t>
      </w:r>
    </w:p>
  </w:footnote>
  <w:footnote w:id="3">
    <w:p w14:paraId="16291D78" w14:textId="36244438" w:rsidR="00A94F1D" w:rsidRPr="007A654B" w:rsidRDefault="00A94F1D" w:rsidP="007A654B">
      <w:pPr>
        <w:pStyle w:val="a4"/>
        <w:jc w:val="both"/>
        <w:rPr>
          <w:rFonts w:ascii="Times New Roman" w:hAnsi="Times New Roman"/>
          <w:lang w:val="ru-RU"/>
        </w:rPr>
      </w:pPr>
      <w:r w:rsidRPr="007A654B">
        <w:rPr>
          <w:rStyle w:val="a6"/>
          <w:rFonts w:ascii="Times New Roman" w:hAnsi="Times New Roman"/>
        </w:rPr>
        <w:footnoteRef/>
      </w:r>
      <w:r w:rsidR="00D25FF0">
        <w:rPr>
          <w:rFonts w:ascii="Times New Roman" w:hAnsi="Times New Roman"/>
          <w:lang w:val="ru-RU"/>
        </w:rPr>
        <w:t> </w:t>
      </w:r>
      <w:r w:rsidRPr="005330D0">
        <w:rPr>
          <w:rFonts w:ascii="Times New Roman" w:hAnsi="Times New Roman"/>
          <w:lang w:val="ru-RU"/>
        </w:rPr>
        <w:t xml:space="preserve">При наступлении данного события дефолта для субординированных облигаций, не находящихся на балансе Банка, данный факт может быть не признан событием дефолта решением </w:t>
      </w:r>
      <w:r w:rsidR="00AD48FD">
        <w:rPr>
          <w:rFonts w:ascii="Times New Roman" w:hAnsi="Times New Roman"/>
          <w:lang w:val="ru-RU"/>
        </w:rPr>
        <w:t>УОБ</w:t>
      </w:r>
      <w:r w:rsidRPr="005330D0">
        <w:rPr>
          <w:rFonts w:ascii="Times New Roman" w:hAnsi="Times New Roman"/>
          <w:lang w:val="ru-R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15458747"/>
      <w:docPartObj>
        <w:docPartGallery w:val="Page Numbers (Top of Page)"/>
        <w:docPartUnique/>
      </w:docPartObj>
    </w:sdtPr>
    <w:sdtEndPr/>
    <w:sdtContent>
      <w:p w14:paraId="34D33BCA" w14:textId="0DED25DE" w:rsidR="00611794" w:rsidRPr="00611794" w:rsidRDefault="00611794" w:rsidP="00611794">
        <w:pPr>
          <w:pStyle w:val="a9"/>
          <w:spacing w:after="120"/>
          <w:jc w:val="center"/>
          <w:rPr>
            <w:rFonts w:ascii="Times New Roman" w:hAnsi="Times New Roman"/>
            <w:lang w:val="ru-RU"/>
          </w:rPr>
        </w:pPr>
        <w:r w:rsidRPr="00611794">
          <w:rPr>
            <w:rFonts w:ascii="Times New Roman" w:hAnsi="Times New Roman"/>
          </w:rPr>
          <w:fldChar w:fldCharType="begin"/>
        </w:r>
        <w:r w:rsidRPr="00611794">
          <w:rPr>
            <w:rFonts w:ascii="Times New Roman" w:hAnsi="Times New Roman"/>
          </w:rPr>
          <w:instrText>PAGE   \* MERGEFORMAT</w:instrText>
        </w:r>
        <w:r w:rsidRPr="00611794">
          <w:rPr>
            <w:rFonts w:ascii="Times New Roman" w:hAnsi="Times New Roman"/>
          </w:rPr>
          <w:fldChar w:fldCharType="separate"/>
        </w:r>
        <w:r w:rsidR="00DA5C27" w:rsidRPr="00DA5C27">
          <w:rPr>
            <w:rFonts w:ascii="Times New Roman" w:hAnsi="Times New Roman"/>
            <w:noProof/>
            <w:lang w:val="ru-RU"/>
          </w:rPr>
          <w:t>4</w:t>
        </w:r>
        <w:r w:rsidRPr="00611794">
          <w:rPr>
            <w:rFonts w:ascii="Times New Roman" w:hAnsi="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4FD7"/>
    <w:multiLevelType w:val="hybridMultilevel"/>
    <w:tmpl w:val="F9F0FF82"/>
    <w:lvl w:ilvl="0" w:tplc="67CC59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8C34E1"/>
    <w:multiLevelType w:val="hybridMultilevel"/>
    <w:tmpl w:val="BC7EDE6C"/>
    <w:lvl w:ilvl="0" w:tplc="67CC59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C47411"/>
    <w:multiLevelType w:val="hybridMultilevel"/>
    <w:tmpl w:val="1A5452FA"/>
    <w:lvl w:ilvl="0" w:tplc="A544C166">
      <w:start w:val="1"/>
      <w:numFmt w:val="bullet"/>
      <w:lvlText w:val=""/>
      <w:lvlJc w:val="left"/>
      <w:pPr>
        <w:tabs>
          <w:tab w:val="num" w:pos="720"/>
        </w:tabs>
        <w:ind w:left="720" w:hanging="360"/>
      </w:pPr>
      <w:rPr>
        <w:rFonts w:ascii="Symbol" w:hAnsi="Symbol" w:hint="default"/>
      </w:rPr>
    </w:lvl>
    <w:lvl w:ilvl="1" w:tplc="E97E4886" w:tentative="1">
      <w:start w:val="1"/>
      <w:numFmt w:val="bullet"/>
      <w:lvlText w:val=""/>
      <w:lvlJc w:val="left"/>
      <w:pPr>
        <w:tabs>
          <w:tab w:val="num" w:pos="1440"/>
        </w:tabs>
        <w:ind w:left="1440" w:hanging="360"/>
      </w:pPr>
      <w:rPr>
        <w:rFonts w:ascii="Symbol" w:hAnsi="Symbol" w:hint="default"/>
      </w:rPr>
    </w:lvl>
    <w:lvl w:ilvl="2" w:tplc="BD18C676" w:tentative="1">
      <w:start w:val="1"/>
      <w:numFmt w:val="bullet"/>
      <w:lvlText w:val=""/>
      <w:lvlJc w:val="left"/>
      <w:pPr>
        <w:tabs>
          <w:tab w:val="num" w:pos="2160"/>
        </w:tabs>
        <w:ind w:left="2160" w:hanging="360"/>
      </w:pPr>
      <w:rPr>
        <w:rFonts w:ascii="Symbol" w:hAnsi="Symbol" w:hint="default"/>
      </w:rPr>
    </w:lvl>
    <w:lvl w:ilvl="3" w:tplc="1A0802EE" w:tentative="1">
      <w:start w:val="1"/>
      <w:numFmt w:val="bullet"/>
      <w:lvlText w:val=""/>
      <w:lvlJc w:val="left"/>
      <w:pPr>
        <w:tabs>
          <w:tab w:val="num" w:pos="2880"/>
        </w:tabs>
        <w:ind w:left="2880" w:hanging="360"/>
      </w:pPr>
      <w:rPr>
        <w:rFonts w:ascii="Symbol" w:hAnsi="Symbol" w:hint="default"/>
      </w:rPr>
    </w:lvl>
    <w:lvl w:ilvl="4" w:tplc="C5A008CE" w:tentative="1">
      <w:start w:val="1"/>
      <w:numFmt w:val="bullet"/>
      <w:lvlText w:val=""/>
      <w:lvlJc w:val="left"/>
      <w:pPr>
        <w:tabs>
          <w:tab w:val="num" w:pos="3600"/>
        </w:tabs>
        <w:ind w:left="3600" w:hanging="360"/>
      </w:pPr>
      <w:rPr>
        <w:rFonts w:ascii="Symbol" w:hAnsi="Symbol" w:hint="default"/>
      </w:rPr>
    </w:lvl>
    <w:lvl w:ilvl="5" w:tplc="28640612" w:tentative="1">
      <w:start w:val="1"/>
      <w:numFmt w:val="bullet"/>
      <w:lvlText w:val=""/>
      <w:lvlJc w:val="left"/>
      <w:pPr>
        <w:tabs>
          <w:tab w:val="num" w:pos="4320"/>
        </w:tabs>
        <w:ind w:left="4320" w:hanging="360"/>
      </w:pPr>
      <w:rPr>
        <w:rFonts w:ascii="Symbol" w:hAnsi="Symbol" w:hint="default"/>
      </w:rPr>
    </w:lvl>
    <w:lvl w:ilvl="6" w:tplc="540844DC" w:tentative="1">
      <w:start w:val="1"/>
      <w:numFmt w:val="bullet"/>
      <w:lvlText w:val=""/>
      <w:lvlJc w:val="left"/>
      <w:pPr>
        <w:tabs>
          <w:tab w:val="num" w:pos="5040"/>
        </w:tabs>
        <w:ind w:left="5040" w:hanging="360"/>
      </w:pPr>
      <w:rPr>
        <w:rFonts w:ascii="Symbol" w:hAnsi="Symbol" w:hint="default"/>
      </w:rPr>
    </w:lvl>
    <w:lvl w:ilvl="7" w:tplc="FFF64CF8" w:tentative="1">
      <w:start w:val="1"/>
      <w:numFmt w:val="bullet"/>
      <w:lvlText w:val=""/>
      <w:lvlJc w:val="left"/>
      <w:pPr>
        <w:tabs>
          <w:tab w:val="num" w:pos="5760"/>
        </w:tabs>
        <w:ind w:left="5760" w:hanging="360"/>
      </w:pPr>
      <w:rPr>
        <w:rFonts w:ascii="Symbol" w:hAnsi="Symbol" w:hint="default"/>
      </w:rPr>
    </w:lvl>
    <w:lvl w:ilvl="8" w:tplc="5944E7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C4056F0"/>
    <w:multiLevelType w:val="hybridMultilevel"/>
    <w:tmpl w:val="EF80889A"/>
    <w:lvl w:ilvl="0" w:tplc="67CC59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6A5F3F"/>
    <w:multiLevelType w:val="hybridMultilevel"/>
    <w:tmpl w:val="9B30FB90"/>
    <w:lvl w:ilvl="0" w:tplc="67CC5956">
      <w:start w:val="1"/>
      <w:numFmt w:val="bullet"/>
      <w:lvlText w:val=""/>
      <w:lvlJc w:val="left"/>
      <w:pPr>
        <w:tabs>
          <w:tab w:val="num" w:pos="720"/>
        </w:tabs>
        <w:ind w:left="720" w:hanging="360"/>
      </w:pPr>
      <w:rPr>
        <w:rFonts w:ascii="Symbol" w:hAnsi="Symbol" w:hint="default"/>
      </w:rPr>
    </w:lvl>
    <w:lvl w:ilvl="1" w:tplc="E97E4886" w:tentative="1">
      <w:start w:val="1"/>
      <w:numFmt w:val="bullet"/>
      <w:lvlText w:val=""/>
      <w:lvlJc w:val="left"/>
      <w:pPr>
        <w:tabs>
          <w:tab w:val="num" w:pos="1440"/>
        </w:tabs>
        <w:ind w:left="1440" w:hanging="360"/>
      </w:pPr>
      <w:rPr>
        <w:rFonts w:ascii="Symbol" w:hAnsi="Symbol" w:hint="default"/>
      </w:rPr>
    </w:lvl>
    <w:lvl w:ilvl="2" w:tplc="BD18C676" w:tentative="1">
      <w:start w:val="1"/>
      <w:numFmt w:val="bullet"/>
      <w:lvlText w:val=""/>
      <w:lvlJc w:val="left"/>
      <w:pPr>
        <w:tabs>
          <w:tab w:val="num" w:pos="2160"/>
        </w:tabs>
        <w:ind w:left="2160" w:hanging="360"/>
      </w:pPr>
      <w:rPr>
        <w:rFonts w:ascii="Symbol" w:hAnsi="Symbol" w:hint="default"/>
      </w:rPr>
    </w:lvl>
    <w:lvl w:ilvl="3" w:tplc="1A0802EE" w:tentative="1">
      <w:start w:val="1"/>
      <w:numFmt w:val="bullet"/>
      <w:lvlText w:val=""/>
      <w:lvlJc w:val="left"/>
      <w:pPr>
        <w:tabs>
          <w:tab w:val="num" w:pos="2880"/>
        </w:tabs>
        <w:ind w:left="2880" w:hanging="360"/>
      </w:pPr>
      <w:rPr>
        <w:rFonts w:ascii="Symbol" w:hAnsi="Symbol" w:hint="default"/>
      </w:rPr>
    </w:lvl>
    <w:lvl w:ilvl="4" w:tplc="C5A008CE" w:tentative="1">
      <w:start w:val="1"/>
      <w:numFmt w:val="bullet"/>
      <w:lvlText w:val=""/>
      <w:lvlJc w:val="left"/>
      <w:pPr>
        <w:tabs>
          <w:tab w:val="num" w:pos="3600"/>
        </w:tabs>
        <w:ind w:left="3600" w:hanging="360"/>
      </w:pPr>
      <w:rPr>
        <w:rFonts w:ascii="Symbol" w:hAnsi="Symbol" w:hint="default"/>
      </w:rPr>
    </w:lvl>
    <w:lvl w:ilvl="5" w:tplc="28640612" w:tentative="1">
      <w:start w:val="1"/>
      <w:numFmt w:val="bullet"/>
      <w:lvlText w:val=""/>
      <w:lvlJc w:val="left"/>
      <w:pPr>
        <w:tabs>
          <w:tab w:val="num" w:pos="4320"/>
        </w:tabs>
        <w:ind w:left="4320" w:hanging="360"/>
      </w:pPr>
      <w:rPr>
        <w:rFonts w:ascii="Symbol" w:hAnsi="Symbol" w:hint="default"/>
      </w:rPr>
    </w:lvl>
    <w:lvl w:ilvl="6" w:tplc="540844DC" w:tentative="1">
      <w:start w:val="1"/>
      <w:numFmt w:val="bullet"/>
      <w:lvlText w:val=""/>
      <w:lvlJc w:val="left"/>
      <w:pPr>
        <w:tabs>
          <w:tab w:val="num" w:pos="5040"/>
        </w:tabs>
        <w:ind w:left="5040" w:hanging="360"/>
      </w:pPr>
      <w:rPr>
        <w:rFonts w:ascii="Symbol" w:hAnsi="Symbol" w:hint="default"/>
      </w:rPr>
    </w:lvl>
    <w:lvl w:ilvl="7" w:tplc="FFF64CF8" w:tentative="1">
      <w:start w:val="1"/>
      <w:numFmt w:val="bullet"/>
      <w:lvlText w:val=""/>
      <w:lvlJc w:val="left"/>
      <w:pPr>
        <w:tabs>
          <w:tab w:val="num" w:pos="5760"/>
        </w:tabs>
        <w:ind w:left="5760" w:hanging="360"/>
      </w:pPr>
      <w:rPr>
        <w:rFonts w:ascii="Symbol" w:hAnsi="Symbol" w:hint="default"/>
      </w:rPr>
    </w:lvl>
    <w:lvl w:ilvl="8" w:tplc="5944E79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B7039BE"/>
    <w:multiLevelType w:val="hybridMultilevel"/>
    <w:tmpl w:val="5D308ECE"/>
    <w:lvl w:ilvl="0" w:tplc="67CC59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90449B"/>
    <w:multiLevelType w:val="hybridMultilevel"/>
    <w:tmpl w:val="42588390"/>
    <w:lvl w:ilvl="0" w:tplc="67CC5956">
      <w:start w:val="1"/>
      <w:numFmt w:val="bullet"/>
      <w:lvlText w:val=""/>
      <w:lvlJc w:val="left"/>
      <w:pPr>
        <w:tabs>
          <w:tab w:val="num" w:pos="720"/>
        </w:tabs>
        <w:ind w:left="720" w:hanging="360"/>
      </w:pPr>
      <w:rPr>
        <w:rFonts w:ascii="Symbol" w:hAnsi="Symbol" w:hint="default"/>
      </w:rPr>
    </w:lvl>
    <w:lvl w:ilvl="1" w:tplc="E97E4886" w:tentative="1">
      <w:start w:val="1"/>
      <w:numFmt w:val="bullet"/>
      <w:lvlText w:val=""/>
      <w:lvlJc w:val="left"/>
      <w:pPr>
        <w:tabs>
          <w:tab w:val="num" w:pos="1440"/>
        </w:tabs>
        <w:ind w:left="1440" w:hanging="360"/>
      </w:pPr>
      <w:rPr>
        <w:rFonts w:ascii="Symbol" w:hAnsi="Symbol" w:hint="default"/>
      </w:rPr>
    </w:lvl>
    <w:lvl w:ilvl="2" w:tplc="BD18C676" w:tentative="1">
      <w:start w:val="1"/>
      <w:numFmt w:val="bullet"/>
      <w:lvlText w:val=""/>
      <w:lvlJc w:val="left"/>
      <w:pPr>
        <w:tabs>
          <w:tab w:val="num" w:pos="2160"/>
        </w:tabs>
        <w:ind w:left="2160" w:hanging="360"/>
      </w:pPr>
      <w:rPr>
        <w:rFonts w:ascii="Symbol" w:hAnsi="Symbol" w:hint="default"/>
      </w:rPr>
    </w:lvl>
    <w:lvl w:ilvl="3" w:tplc="1A0802EE" w:tentative="1">
      <w:start w:val="1"/>
      <w:numFmt w:val="bullet"/>
      <w:lvlText w:val=""/>
      <w:lvlJc w:val="left"/>
      <w:pPr>
        <w:tabs>
          <w:tab w:val="num" w:pos="2880"/>
        </w:tabs>
        <w:ind w:left="2880" w:hanging="360"/>
      </w:pPr>
      <w:rPr>
        <w:rFonts w:ascii="Symbol" w:hAnsi="Symbol" w:hint="default"/>
      </w:rPr>
    </w:lvl>
    <w:lvl w:ilvl="4" w:tplc="C5A008CE" w:tentative="1">
      <w:start w:val="1"/>
      <w:numFmt w:val="bullet"/>
      <w:lvlText w:val=""/>
      <w:lvlJc w:val="left"/>
      <w:pPr>
        <w:tabs>
          <w:tab w:val="num" w:pos="3600"/>
        </w:tabs>
        <w:ind w:left="3600" w:hanging="360"/>
      </w:pPr>
      <w:rPr>
        <w:rFonts w:ascii="Symbol" w:hAnsi="Symbol" w:hint="default"/>
      </w:rPr>
    </w:lvl>
    <w:lvl w:ilvl="5" w:tplc="28640612" w:tentative="1">
      <w:start w:val="1"/>
      <w:numFmt w:val="bullet"/>
      <w:lvlText w:val=""/>
      <w:lvlJc w:val="left"/>
      <w:pPr>
        <w:tabs>
          <w:tab w:val="num" w:pos="4320"/>
        </w:tabs>
        <w:ind w:left="4320" w:hanging="360"/>
      </w:pPr>
      <w:rPr>
        <w:rFonts w:ascii="Symbol" w:hAnsi="Symbol" w:hint="default"/>
      </w:rPr>
    </w:lvl>
    <w:lvl w:ilvl="6" w:tplc="540844DC" w:tentative="1">
      <w:start w:val="1"/>
      <w:numFmt w:val="bullet"/>
      <w:lvlText w:val=""/>
      <w:lvlJc w:val="left"/>
      <w:pPr>
        <w:tabs>
          <w:tab w:val="num" w:pos="5040"/>
        </w:tabs>
        <w:ind w:left="5040" w:hanging="360"/>
      </w:pPr>
      <w:rPr>
        <w:rFonts w:ascii="Symbol" w:hAnsi="Symbol" w:hint="default"/>
      </w:rPr>
    </w:lvl>
    <w:lvl w:ilvl="7" w:tplc="FFF64CF8" w:tentative="1">
      <w:start w:val="1"/>
      <w:numFmt w:val="bullet"/>
      <w:lvlText w:val=""/>
      <w:lvlJc w:val="left"/>
      <w:pPr>
        <w:tabs>
          <w:tab w:val="num" w:pos="5760"/>
        </w:tabs>
        <w:ind w:left="5760" w:hanging="360"/>
      </w:pPr>
      <w:rPr>
        <w:rFonts w:ascii="Symbol" w:hAnsi="Symbol" w:hint="default"/>
      </w:rPr>
    </w:lvl>
    <w:lvl w:ilvl="8" w:tplc="5944E79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4332AD7"/>
    <w:multiLevelType w:val="hybridMultilevel"/>
    <w:tmpl w:val="4C0033BC"/>
    <w:lvl w:ilvl="0" w:tplc="67CC5956">
      <w:start w:val="1"/>
      <w:numFmt w:val="bullet"/>
      <w:lvlText w:val=""/>
      <w:lvlJc w:val="left"/>
      <w:pPr>
        <w:tabs>
          <w:tab w:val="num" w:pos="720"/>
        </w:tabs>
        <w:ind w:left="720" w:hanging="360"/>
      </w:pPr>
      <w:rPr>
        <w:rFonts w:ascii="Symbol" w:hAnsi="Symbol" w:hint="default"/>
      </w:rPr>
    </w:lvl>
    <w:lvl w:ilvl="1" w:tplc="E97E4886" w:tentative="1">
      <w:start w:val="1"/>
      <w:numFmt w:val="bullet"/>
      <w:lvlText w:val=""/>
      <w:lvlJc w:val="left"/>
      <w:pPr>
        <w:tabs>
          <w:tab w:val="num" w:pos="1440"/>
        </w:tabs>
        <w:ind w:left="1440" w:hanging="360"/>
      </w:pPr>
      <w:rPr>
        <w:rFonts w:ascii="Symbol" w:hAnsi="Symbol" w:hint="default"/>
      </w:rPr>
    </w:lvl>
    <w:lvl w:ilvl="2" w:tplc="BD18C676" w:tentative="1">
      <w:start w:val="1"/>
      <w:numFmt w:val="bullet"/>
      <w:lvlText w:val=""/>
      <w:lvlJc w:val="left"/>
      <w:pPr>
        <w:tabs>
          <w:tab w:val="num" w:pos="2160"/>
        </w:tabs>
        <w:ind w:left="2160" w:hanging="360"/>
      </w:pPr>
      <w:rPr>
        <w:rFonts w:ascii="Symbol" w:hAnsi="Symbol" w:hint="default"/>
      </w:rPr>
    </w:lvl>
    <w:lvl w:ilvl="3" w:tplc="1A0802EE" w:tentative="1">
      <w:start w:val="1"/>
      <w:numFmt w:val="bullet"/>
      <w:lvlText w:val=""/>
      <w:lvlJc w:val="left"/>
      <w:pPr>
        <w:tabs>
          <w:tab w:val="num" w:pos="2880"/>
        </w:tabs>
        <w:ind w:left="2880" w:hanging="360"/>
      </w:pPr>
      <w:rPr>
        <w:rFonts w:ascii="Symbol" w:hAnsi="Symbol" w:hint="default"/>
      </w:rPr>
    </w:lvl>
    <w:lvl w:ilvl="4" w:tplc="C5A008CE" w:tentative="1">
      <w:start w:val="1"/>
      <w:numFmt w:val="bullet"/>
      <w:lvlText w:val=""/>
      <w:lvlJc w:val="left"/>
      <w:pPr>
        <w:tabs>
          <w:tab w:val="num" w:pos="3600"/>
        </w:tabs>
        <w:ind w:left="3600" w:hanging="360"/>
      </w:pPr>
      <w:rPr>
        <w:rFonts w:ascii="Symbol" w:hAnsi="Symbol" w:hint="default"/>
      </w:rPr>
    </w:lvl>
    <w:lvl w:ilvl="5" w:tplc="28640612" w:tentative="1">
      <w:start w:val="1"/>
      <w:numFmt w:val="bullet"/>
      <w:lvlText w:val=""/>
      <w:lvlJc w:val="left"/>
      <w:pPr>
        <w:tabs>
          <w:tab w:val="num" w:pos="4320"/>
        </w:tabs>
        <w:ind w:left="4320" w:hanging="360"/>
      </w:pPr>
      <w:rPr>
        <w:rFonts w:ascii="Symbol" w:hAnsi="Symbol" w:hint="default"/>
      </w:rPr>
    </w:lvl>
    <w:lvl w:ilvl="6" w:tplc="540844DC" w:tentative="1">
      <w:start w:val="1"/>
      <w:numFmt w:val="bullet"/>
      <w:lvlText w:val=""/>
      <w:lvlJc w:val="left"/>
      <w:pPr>
        <w:tabs>
          <w:tab w:val="num" w:pos="5040"/>
        </w:tabs>
        <w:ind w:left="5040" w:hanging="360"/>
      </w:pPr>
      <w:rPr>
        <w:rFonts w:ascii="Symbol" w:hAnsi="Symbol" w:hint="default"/>
      </w:rPr>
    </w:lvl>
    <w:lvl w:ilvl="7" w:tplc="FFF64CF8" w:tentative="1">
      <w:start w:val="1"/>
      <w:numFmt w:val="bullet"/>
      <w:lvlText w:val=""/>
      <w:lvlJc w:val="left"/>
      <w:pPr>
        <w:tabs>
          <w:tab w:val="num" w:pos="5760"/>
        </w:tabs>
        <w:ind w:left="5760" w:hanging="360"/>
      </w:pPr>
      <w:rPr>
        <w:rFonts w:ascii="Symbol" w:hAnsi="Symbol" w:hint="default"/>
      </w:rPr>
    </w:lvl>
    <w:lvl w:ilvl="8" w:tplc="5944E79A"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1D"/>
    <w:rsid w:val="00014355"/>
    <w:rsid w:val="000A0804"/>
    <w:rsid w:val="000A222E"/>
    <w:rsid w:val="000E7D33"/>
    <w:rsid w:val="00150FA7"/>
    <w:rsid w:val="001A367E"/>
    <w:rsid w:val="001C6A6F"/>
    <w:rsid w:val="001F5559"/>
    <w:rsid w:val="0022111E"/>
    <w:rsid w:val="002239E9"/>
    <w:rsid w:val="002F740C"/>
    <w:rsid w:val="00352656"/>
    <w:rsid w:val="0035498A"/>
    <w:rsid w:val="003B7E81"/>
    <w:rsid w:val="003E3727"/>
    <w:rsid w:val="003E7AB9"/>
    <w:rsid w:val="004344DE"/>
    <w:rsid w:val="004648F7"/>
    <w:rsid w:val="004B3701"/>
    <w:rsid w:val="004B3D05"/>
    <w:rsid w:val="004C4972"/>
    <w:rsid w:val="0051386C"/>
    <w:rsid w:val="005330D0"/>
    <w:rsid w:val="00536216"/>
    <w:rsid w:val="0053778F"/>
    <w:rsid w:val="00554F12"/>
    <w:rsid w:val="005838E8"/>
    <w:rsid w:val="005D48F6"/>
    <w:rsid w:val="00611794"/>
    <w:rsid w:val="006449A7"/>
    <w:rsid w:val="006D19E1"/>
    <w:rsid w:val="00721C57"/>
    <w:rsid w:val="007408C4"/>
    <w:rsid w:val="00791DC1"/>
    <w:rsid w:val="007A654B"/>
    <w:rsid w:val="008342FF"/>
    <w:rsid w:val="00843A90"/>
    <w:rsid w:val="00887827"/>
    <w:rsid w:val="008B1CFC"/>
    <w:rsid w:val="009364B3"/>
    <w:rsid w:val="009368AE"/>
    <w:rsid w:val="009807B5"/>
    <w:rsid w:val="00986467"/>
    <w:rsid w:val="009C1356"/>
    <w:rsid w:val="009F51DB"/>
    <w:rsid w:val="00A278FA"/>
    <w:rsid w:val="00A83886"/>
    <w:rsid w:val="00A94F1D"/>
    <w:rsid w:val="00AD48FD"/>
    <w:rsid w:val="00AD787E"/>
    <w:rsid w:val="00B20214"/>
    <w:rsid w:val="00B22411"/>
    <w:rsid w:val="00B30A17"/>
    <w:rsid w:val="00B326B3"/>
    <w:rsid w:val="00B35D95"/>
    <w:rsid w:val="00B434E6"/>
    <w:rsid w:val="00B676F1"/>
    <w:rsid w:val="00B84197"/>
    <w:rsid w:val="00BB4C63"/>
    <w:rsid w:val="00BE1359"/>
    <w:rsid w:val="00C14F9F"/>
    <w:rsid w:val="00C86D1D"/>
    <w:rsid w:val="00CA7882"/>
    <w:rsid w:val="00CB0AB7"/>
    <w:rsid w:val="00CE6259"/>
    <w:rsid w:val="00CF00B3"/>
    <w:rsid w:val="00D25FF0"/>
    <w:rsid w:val="00DA5C27"/>
    <w:rsid w:val="00DE0981"/>
    <w:rsid w:val="00E04036"/>
    <w:rsid w:val="00E35BBB"/>
    <w:rsid w:val="00E93B5F"/>
    <w:rsid w:val="00F802D2"/>
    <w:rsid w:val="00FB50F2"/>
    <w:rsid w:val="00FB7862"/>
    <w:rsid w:val="00FF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1946FB-938F-4B0D-B5C7-E55C5720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8FA"/>
    <w:pPr>
      <w:spacing w:after="160" w:line="259" w:lineRule="auto"/>
    </w:pPr>
    <w:rPr>
      <w:sz w:val="22"/>
      <w:szCs w:val="22"/>
    </w:rPr>
  </w:style>
  <w:style w:type="paragraph" w:styleId="1">
    <w:name w:val="heading 1"/>
    <w:basedOn w:val="a"/>
    <w:next w:val="a"/>
    <w:link w:val="10"/>
    <w:uiPriority w:val="9"/>
    <w:qFormat/>
    <w:rsid w:val="00A94F1D"/>
    <w:pPr>
      <w:keepNext/>
      <w:keepLines/>
      <w:spacing w:before="240" w:after="0"/>
      <w:outlineLvl w:val="0"/>
    </w:pPr>
    <w:rPr>
      <w:rFonts w:ascii="Times New Roman" w:eastAsia="Times New Roman" w:hAnsi="Times New Roman"/>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A94F1D"/>
    <w:rPr>
      <w:rFonts w:ascii="Times New Roman" w:eastAsia="Times New Roman" w:hAnsi="Times New Roman" w:cs="Times New Roman"/>
      <w:b/>
      <w:sz w:val="32"/>
      <w:szCs w:val="32"/>
      <w:lang w:val="en-US"/>
    </w:rPr>
  </w:style>
  <w:style w:type="table" w:styleId="a3">
    <w:name w:val="Table Grid"/>
    <w:basedOn w:val="a1"/>
    <w:uiPriority w:val="39"/>
    <w:rsid w:val="00A94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Зна, Знак Знак Знак Знак Знак, Знак11"/>
    <w:basedOn w:val="a"/>
    <w:link w:val="a5"/>
    <w:unhideWhenUsed/>
    <w:qFormat/>
    <w:rsid w:val="00A94F1D"/>
    <w:pPr>
      <w:spacing w:after="0" w:line="240" w:lineRule="auto"/>
    </w:pPr>
    <w:rPr>
      <w:sz w:val="20"/>
      <w:szCs w:val="20"/>
    </w:rPr>
  </w:style>
  <w:style w:type="character" w:customStyle="1" w:styleId="a5">
    <w:name w:val="Текст сноски Знак"/>
    <w:aliases w:val="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Текст сноски Знак Знак1 Знак Знак Знак,Зн Знак"/>
    <w:link w:val="a4"/>
    <w:rsid w:val="00A94F1D"/>
    <w:rPr>
      <w:sz w:val="20"/>
      <w:szCs w:val="20"/>
      <w:lang w:val="en-US"/>
    </w:rPr>
  </w:style>
  <w:style w:type="character" w:styleId="a6">
    <w:name w:val="footnote reference"/>
    <w:uiPriority w:val="99"/>
    <w:unhideWhenUsed/>
    <w:rsid w:val="00A94F1D"/>
    <w:rPr>
      <w:vertAlign w:val="superscript"/>
    </w:rPr>
  </w:style>
  <w:style w:type="paragraph" w:styleId="a7">
    <w:name w:val="Balloon Text"/>
    <w:basedOn w:val="a"/>
    <w:link w:val="a8"/>
    <w:uiPriority w:val="99"/>
    <w:semiHidden/>
    <w:unhideWhenUsed/>
    <w:rsid w:val="005330D0"/>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5330D0"/>
    <w:rPr>
      <w:rFonts w:ascii="Tahoma" w:hAnsi="Tahoma" w:cs="Tahoma"/>
      <w:sz w:val="16"/>
      <w:szCs w:val="16"/>
      <w:lang w:val="en-US" w:eastAsia="en-US"/>
    </w:rPr>
  </w:style>
  <w:style w:type="paragraph" w:styleId="a9">
    <w:name w:val="header"/>
    <w:basedOn w:val="a"/>
    <w:link w:val="aa"/>
    <w:uiPriority w:val="99"/>
    <w:unhideWhenUsed/>
    <w:rsid w:val="00A278FA"/>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A278FA"/>
    <w:rPr>
      <w:sz w:val="22"/>
      <w:szCs w:val="22"/>
    </w:rPr>
  </w:style>
  <w:style w:type="paragraph" w:styleId="ab">
    <w:name w:val="footer"/>
    <w:basedOn w:val="a"/>
    <w:link w:val="ac"/>
    <w:uiPriority w:val="99"/>
    <w:unhideWhenUsed/>
    <w:rsid w:val="00A278FA"/>
    <w:pPr>
      <w:tabs>
        <w:tab w:val="center" w:pos="4844"/>
        <w:tab w:val="right" w:pos="9689"/>
      </w:tabs>
      <w:spacing w:after="0" w:line="240" w:lineRule="auto"/>
    </w:pPr>
  </w:style>
  <w:style w:type="character" w:customStyle="1" w:styleId="ac">
    <w:name w:val="Нижний колонтитул Знак"/>
    <w:basedOn w:val="a0"/>
    <w:link w:val="ab"/>
    <w:uiPriority w:val="99"/>
    <w:rsid w:val="00A278F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1343</Words>
  <Characters>7656</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Россельхозбанк</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Новикова Виктория Сергеевна</dc:creator>
  <cp:lastModifiedBy>Колпакова Ольга Львовна</cp:lastModifiedBy>
  <cp:revision>2</cp:revision>
  <dcterms:created xsi:type="dcterms:W3CDTF">2025-07-01T07:10:00Z</dcterms:created>
  <dcterms:modified xsi:type="dcterms:W3CDTF">2025-07-01T07:10:00Z</dcterms:modified>
</cp:coreProperties>
</file>