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6C1187"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06DB6153">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14:paraId="65B057AE" w14:textId="77777777" w:rsidTr="004605F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14:paraId="794BBF09" w14:textId="77777777" w:rsidTr="004605F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14:paraId="7A94BA75" w14:textId="77777777" w:rsidTr="004605F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4605F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14:paraId="5EEB7D90" w14:textId="77777777" w:rsidTr="004605F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6C1187" w14:paraId="05168C60" w14:textId="77777777" w:rsidTr="004605F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14:paraId="3CEDAD1A"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4605F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4605F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171A266" w14:textId="77777777" w:rsidTr="004605F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sidRPr="00CD1CF2">
              <w:rPr>
                <w:rFonts w:ascii="Times New Roman" w:eastAsia="Times New Roman" w:hAnsi="Times New Roman" w:cs="Times New Roman"/>
                <w:noProof/>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14:paraId="66FA7544"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ru-RU"/>
              </w:rPr>
            </w:pPr>
          </w:p>
        </w:tc>
      </w:tr>
      <w:tr w:rsidR="00CD1CF2" w:rsidRPr="0048431F" w14:paraId="2ED8E814" w14:textId="77777777" w:rsidTr="004605F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5A5DE55" w14:textId="77777777" w:rsidTr="004605F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4605F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4F10FB5E" w14:textId="77777777" w:rsidTr="004605F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Внешний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4605F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07A8522" w14:textId="77777777" w:rsidTr="004605F7">
        <w:trPr>
          <w:trHeight w:val="80"/>
        </w:trPr>
        <w:tc>
          <w:tcPr>
            <w:tcW w:w="9369" w:type="dxa"/>
            <w:gridSpan w:val="16"/>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4605F7">
        <w:trPr>
          <w:trHeight w:val="283"/>
        </w:trPr>
        <w:tc>
          <w:tcPr>
            <w:tcW w:w="9369" w:type="dxa"/>
            <w:gridSpan w:val="16"/>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14:paraId="7B766E4D" w14:textId="77777777" w:rsidTr="004605F7">
        <w:trPr>
          <w:trHeight w:val="340"/>
        </w:trPr>
        <w:tc>
          <w:tcPr>
            <w:tcW w:w="9369" w:type="dxa"/>
            <w:gridSpan w:val="16"/>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14:paraId="168A90CD" w14:textId="77777777" w:rsidTr="004605F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14:paraId="16D3541A" w14:textId="77777777" w:rsidTr="004605F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8EA4155" w14:textId="77777777" w:rsidTr="004605F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4605F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14:paraId="5FFD9414" w14:textId="77777777" w:rsidR="00F834A7" w:rsidRPr="00C76864"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C76864">
            <w:rPr>
              <w:rFonts w:ascii="Times New Roman" w:hAnsi="Times New Roman" w:cs="Times New Roman"/>
              <w:b/>
              <w:bCs/>
              <w:color w:val="000000" w:themeColor="text1"/>
              <w:sz w:val="28"/>
              <w:szCs w:val="28"/>
            </w:rPr>
            <w:t>Содержание</w:t>
          </w:r>
        </w:p>
        <w:p w14:paraId="1E26AFD7" w14:textId="77777777" w:rsidR="00CD1CF2" w:rsidRPr="00C76864" w:rsidRDefault="00CD1CF2" w:rsidP="00C76864">
          <w:pPr>
            <w:spacing w:line="360" w:lineRule="auto"/>
            <w:jc w:val="both"/>
            <w:rPr>
              <w:rFonts w:ascii="Times New Roman" w:hAnsi="Times New Roman" w:cs="Times New Roman"/>
              <w:sz w:val="28"/>
              <w:szCs w:val="28"/>
              <w:lang w:val="ru-RU"/>
            </w:rPr>
          </w:pPr>
        </w:p>
        <w:p w14:paraId="4D348626" w14:textId="77777777" w:rsidR="00C76864" w:rsidRPr="00C76864" w:rsidRDefault="00F74D7F"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r w:rsidRPr="00C76864">
            <w:rPr>
              <w:rFonts w:ascii="Times New Roman" w:hAnsi="Times New Roman" w:cs="Times New Roman"/>
              <w:sz w:val="28"/>
              <w:szCs w:val="28"/>
            </w:rPr>
            <w:fldChar w:fldCharType="begin"/>
          </w:r>
          <w:r w:rsidR="00F834A7" w:rsidRPr="00C76864">
            <w:rPr>
              <w:rFonts w:ascii="Times New Roman" w:hAnsi="Times New Roman" w:cs="Times New Roman"/>
              <w:sz w:val="28"/>
              <w:szCs w:val="28"/>
            </w:rPr>
            <w:instrText xml:space="preserve"> TOC \o "1-3" \h \z \u </w:instrText>
          </w:r>
          <w:r w:rsidRPr="00C76864">
            <w:rPr>
              <w:rFonts w:ascii="Times New Roman" w:hAnsi="Times New Roman" w:cs="Times New Roman"/>
              <w:sz w:val="28"/>
              <w:szCs w:val="28"/>
            </w:rPr>
            <w:fldChar w:fldCharType="separate"/>
          </w:r>
          <w:hyperlink w:anchor="_Toc229218481" w:history="1">
            <w:r w:rsidR="00C76864" w:rsidRPr="00C76864">
              <w:rPr>
                <w:rStyle w:val="ac"/>
                <w:rFonts w:ascii="Times New Roman" w:hAnsi="Times New Roman" w:cs="Times New Roman"/>
                <w:bCs/>
                <w:noProof/>
                <w:sz w:val="28"/>
                <w:szCs w:val="28"/>
                <w:lang w:val="ru-RU"/>
              </w:rPr>
              <w:t>Введение</w:t>
            </w:r>
            <w:r w:rsidR="00C76864" w:rsidRPr="00C76864">
              <w:rPr>
                <w:rFonts w:ascii="Times New Roman" w:hAnsi="Times New Roman" w:cs="Times New Roman"/>
                <w:noProof/>
                <w:webHidden/>
                <w:sz w:val="28"/>
                <w:szCs w:val="28"/>
              </w:rPr>
              <w:tab/>
            </w:r>
            <w:r w:rsidRPr="00C76864">
              <w:rPr>
                <w:rFonts w:ascii="Times New Roman" w:hAnsi="Times New Roman" w:cs="Times New Roman"/>
                <w:noProof/>
                <w:webHidden/>
                <w:sz w:val="28"/>
                <w:szCs w:val="28"/>
              </w:rPr>
              <w:fldChar w:fldCharType="begin"/>
            </w:r>
            <w:r w:rsidR="00C76864" w:rsidRPr="00C76864">
              <w:rPr>
                <w:rFonts w:ascii="Times New Roman" w:hAnsi="Times New Roman" w:cs="Times New Roman"/>
                <w:noProof/>
                <w:webHidden/>
                <w:sz w:val="28"/>
                <w:szCs w:val="28"/>
              </w:rPr>
              <w:instrText xml:space="preserve"> PAGEREF _Toc229218481 \h </w:instrText>
            </w:r>
            <w:r w:rsidRPr="00C76864">
              <w:rPr>
                <w:rFonts w:ascii="Times New Roman" w:hAnsi="Times New Roman" w:cs="Times New Roman"/>
                <w:noProof/>
                <w:webHidden/>
                <w:sz w:val="28"/>
                <w:szCs w:val="28"/>
              </w:rPr>
            </w:r>
            <w:r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3</w:t>
            </w:r>
            <w:r w:rsidRPr="00C76864">
              <w:rPr>
                <w:rFonts w:ascii="Times New Roman" w:hAnsi="Times New Roman" w:cs="Times New Roman"/>
                <w:noProof/>
                <w:webHidden/>
                <w:sz w:val="28"/>
                <w:szCs w:val="28"/>
              </w:rPr>
              <w:fldChar w:fldCharType="end"/>
            </w:r>
          </w:hyperlink>
        </w:p>
        <w:p w14:paraId="730B3EBC" w14:textId="77777777" w:rsidR="00C76864" w:rsidRPr="00C76864" w:rsidRDefault="00C76864"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2" w:history="1">
            <w:r w:rsidRPr="00C76864">
              <w:rPr>
                <w:rStyle w:val="ac"/>
                <w:rFonts w:ascii="Times New Roman" w:hAnsi="Times New Roman" w:cs="Times New Roman"/>
                <w:noProof/>
                <w:sz w:val="28"/>
                <w:szCs w:val="28"/>
                <w:lang w:val="ru-RU"/>
              </w:rPr>
              <w:t>Глава 1. Теоретическая часть — состав инвестиционного портфеля и методы его определения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_Toc229218482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6</w:t>
            </w:r>
            <w:r w:rsidR="00F74D7F" w:rsidRPr="00C76864">
              <w:rPr>
                <w:rFonts w:ascii="Times New Roman" w:hAnsi="Times New Roman" w:cs="Times New Roman"/>
                <w:noProof/>
                <w:webHidden/>
                <w:sz w:val="28"/>
                <w:szCs w:val="28"/>
              </w:rPr>
              <w:fldChar w:fldCharType="end"/>
            </w:r>
          </w:hyperlink>
        </w:p>
        <w:p w14:paraId="1172B7D3" w14:textId="77777777" w:rsidR="00C76864" w:rsidRPr="00C76864" w:rsidRDefault="00C76864" w:rsidP="00C76864">
          <w:pPr>
            <w:pStyle w:val="20"/>
            <w:tabs>
              <w:tab w:val="left" w:pos="880"/>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3" w:history="1">
            <w:r w:rsidRPr="00C76864">
              <w:rPr>
                <w:rStyle w:val="ac"/>
                <w:rFonts w:ascii="Times New Roman" w:hAnsi="Times New Roman" w:cs="Times New Roman"/>
                <w:noProof/>
                <w:sz w:val="28"/>
                <w:szCs w:val="28"/>
                <w:lang w:val="ru-RU"/>
              </w:rPr>
              <w:t>1.1.</w:t>
            </w:r>
            <w:r w:rsidRPr="00C76864">
              <w:rPr>
                <w:rFonts w:ascii="Times New Roman" w:eastAsiaTheme="minorEastAsia" w:hAnsi="Times New Roman" w:cs="Times New Roman"/>
                <w:noProof/>
                <w:sz w:val="28"/>
                <w:szCs w:val="28"/>
                <w:lang w:val="ru-RU"/>
              </w:rPr>
              <w:tab/>
            </w:r>
            <w:r w:rsidRPr="00C76864">
              <w:rPr>
                <w:rStyle w:val="ac"/>
                <w:rFonts w:ascii="Times New Roman" w:hAnsi="Times New Roman" w:cs="Times New Roman"/>
                <w:noProof/>
                <w:sz w:val="28"/>
                <w:szCs w:val="28"/>
                <w:lang w:val="ru-RU"/>
              </w:rPr>
              <w:t>Сущность и значение качества инвестиционного портфеля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_Toc229218483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6</w:t>
            </w:r>
            <w:r w:rsidR="00F74D7F" w:rsidRPr="00C76864">
              <w:rPr>
                <w:rFonts w:ascii="Times New Roman" w:hAnsi="Times New Roman" w:cs="Times New Roman"/>
                <w:noProof/>
                <w:webHidden/>
                <w:sz w:val="28"/>
                <w:szCs w:val="28"/>
              </w:rPr>
              <w:fldChar w:fldCharType="end"/>
            </w:r>
          </w:hyperlink>
        </w:p>
        <w:p w14:paraId="7902C123" w14:textId="77777777" w:rsidR="00C76864" w:rsidRPr="00C76864" w:rsidRDefault="00C76864" w:rsidP="00C76864">
          <w:pPr>
            <w:pStyle w:val="20"/>
            <w:tabs>
              <w:tab w:val="left" w:pos="880"/>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4" w:history="1">
            <w:r w:rsidRPr="00C76864">
              <w:rPr>
                <w:rStyle w:val="ac"/>
                <w:rFonts w:ascii="Times New Roman" w:hAnsi="Times New Roman" w:cs="Times New Roman"/>
                <w:noProof/>
                <w:sz w:val="28"/>
                <w:szCs w:val="28"/>
                <w:lang w:val="ru-RU"/>
              </w:rPr>
              <w:t>1.2.</w:t>
            </w:r>
            <w:r w:rsidRPr="00C76864">
              <w:rPr>
                <w:rFonts w:ascii="Times New Roman" w:eastAsiaTheme="minorEastAsia" w:hAnsi="Times New Roman" w:cs="Times New Roman"/>
                <w:noProof/>
                <w:sz w:val="28"/>
                <w:szCs w:val="28"/>
                <w:lang w:val="ru-RU"/>
              </w:rPr>
              <w:tab/>
            </w:r>
            <w:r w:rsidRPr="00C76864">
              <w:rPr>
                <w:rStyle w:val="ac"/>
                <w:rFonts w:ascii="Times New Roman" w:hAnsi="Times New Roman" w:cs="Times New Roman"/>
                <w:noProof/>
                <w:sz w:val="28"/>
                <w:szCs w:val="28"/>
                <w:lang w:val="ru-RU"/>
              </w:rPr>
              <w:t>Факторы, определяющие качество инвестиционного портфеля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_Toc229218484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10</w:t>
            </w:r>
            <w:r w:rsidR="00F74D7F" w:rsidRPr="00C76864">
              <w:rPr>
                <w:rFonts w:ascii="Times New Roman" w:hAnsi="Times New Roman" w:cs="Times New Roman"/>
                <w:noProof/>
                <w:webHidden/>
                <w:sz w:val="28"/>
                <w:szCs w:val="28"/>
              </w:rPr>
              <w:fldChar w:fldCharType="end"/>
            </w:r>
          </w:hyperlink>
        </w:p>
        <w:p w14:paraId="79B85159" w14:textId="77777777" w:rsidR="00C76864" w:rsidRPr="00C76864" w:rsidRDefault="00C76864" w:rsidP="00C76864">
          <w:pPr>
            <w:pStyle w:val="20"/>
            <w:tabs>
              <w:tab w:val="left" w:pos="880"/>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5" w:history="1">
            <w:r w:rsidRPr="00C76864">
              <w:rPr>
                <w:rStyle w:val="ac"/>
                <w:rFonts w:ascii="Times New Roman" w:hAnsi="Times New Roman" w:cs="Times New Roman"/>
                <w:noProof/>
                <w:sz w:val="28"/>
                <w:szCs w:val="28"/>
                <w:lang w:val="ru-RU"/>
              </w:rPr>
              <w:t>1.3.</w:t>
            </w:r>
            <w:r w:rsidRPr="00C76864">
              <w:rPr>
                <w:rFonts w:ascii="Times New Roman" w:eastAsiaTheme="minorEastAsia" w:hAnsi="Times New Roman" w:cs="Times New Roman"/>
                <w:noProof/>
                <w:sz w:val="28"/>
                <w:szCs w:val="28"/>
                <w:lang w:val="ru-RU"/>
              </w:rPr>
              <w:tab/>
            </w:r>
            <w:r w:rsidRPr="00C76864">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_Toc229218485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16</w:t>
            </w:r>
            <w:r w:rsidR="00F74D7F" w:rsidRPr="00C76864">
              <w:rPr>
                <w:rFonts w:ascii="Times New Roman" w:hAnsi="Times New Roman" w:cs="Times New Roman"/>
                <w:noProof/>
                <w:webHidden/>
                <w:sz w:val="28"/>
                <w:szCs w:val="28"/>
              </w:rPr>
              <w:fldChar w:fldCharType="end"/>
            </w:r>
          </w:hyperlink>
        </w:p>
        <w:p w14:paraId="2F15CA6E" w14:textId="77777777" w:rsidR="00C76864" w:rsidRPr="00C76864" w:rsidRDefault="00C76864"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6" w:history="1">
            <w:r w:rsidRPr="00C76864">
              <w:rPr>
                <w:rStyle w:val="ac"/>
                <w:rFonts w:ascii="Times New Roman" w:hAnsi="Times New Roman" w:cs="Times New Roman"/>
                <w:noProof/>
                <w:sz w:val="28"/>
                <w:szCs w:val="28"/>
                <w:lang w:val="ru-RU"/>
              </w:rPr>
              <w:t>Глава 2. Аналитическая часть — анализ качества инвестиционного портфеля ОПИФ РФИ «ВИМ-Металлургия»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_Toc229218486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28</w:t>
            </w:r>
            <w:r w:rsidR="00F74D7F" w:rsidRPr="00C76864">
              <w:rPr>
                <w:rFonts w:ascii="Times New Roman" w:hAnsi="Times New Roman" w:cs="Times New Roman"/>
                <w:noProof/>
                <w:webHidden/>
                <w:sz w:val="28"/>
                <w:szCs w:val="28"/>
              </w:rPr>
              <w:fldChar w:fldCharType="end"/>
            </w:r>
          </w:hyperlink>
        </w:p>
        <w:p w14:paraId="7203A49E" w14:textId="77777777" w:rsidR="00C76864" w:rsidRPr="00C76864" w:rsidRDefault="00C76864" w:rsidP="00C76864">
          <w:pPr>
            <w:pStyle w:val="2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7" w:history="1">
            <w:r w:rsidRPr="00C76864">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_Toc229218487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28</w:t>
            </w:r>
            <w:r w:rsidR="00F74D7F" w:rsidRPr="00C76864">
              <w:rPr>
                <w:rFonts w:ascii="Times New Roman" w:hAnsi="Times New Roman" w:cs="Times New Roman"/>
                <w:noProof/>
                <w:webHidden/>
                <w:sz w:val="28"/>
                <w:szCs w:val="28"/>
              </w:rPr>
              <w:fldChar w:fldCharType="end"/>
            </w:r>
          </w:hyperlink>
        </w:p>
        <w:p w14:paraId="10CF2641" w14:textId="77777777" w:rsidR="00C76864" w:rsidRPr="00C76864" w:rsidRDefault="00C76864" w:rsidP="00C76864">
          <w:pPr>
            <w:pStyle w:val="2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8" w:history="1">
            <w:r w:rsidRPr="00C76864">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_Toc229218488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35</w:t>
            </w:r>
            <w:r w:rsidR="00F74D7F" w:rsidRPr="00C76864">
              <w:rPr>
                <w:rFonts w:ascii="Times New Roman" w:hAnsi="Times New Roman" w:cs="Times New Roman"/>
                <w:noProof/>
                <w:webHidden/>
                <w:sz w:val="28"/>
                <w:szCs w:val="28"/>
              </w:rPr>
              <w:fldChar w:fldCharType="end"/>
            </w:r>
          </w:hyperlink>
        </w:p>
        <w:p w14:paraId="75FB51F8" w14:textId="77777777" w:rsidR="00C76864" w:rsidRPr="00C76864" w:rsidRDefault="00C76864" w:rsidP="00C76864">
          <w:pPr>
            <w:pStyle w:val="2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89" w:history="1">
            <w:r w:rsidRPr="00C76864">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_Toc229218489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43</w:t>
            </w:r>
            <w:r w:rsidR="00F74D7F" w:rsidRPr="00C76864">
              <w:rPr>
                <w:rFonts w:ascii="Times New Roman" w:hAnsi="Times New Roman" w:cs="Times New Roman"/>
                <w:noProof/>
                <w:webHidden/>
                <w:sz w:val="28"/>
                <w:szCs w:val="28"/>
              </w:rPr>
              <w:fldChar w:fldCharType="end"/>
            </w:r>
          </w:hyperlink>
        </w:p>
        <w:p w14:paraId="45848670" w14:textId="77777777" w:rsidR="00C76864" w:rsidRPr="00C76864" w:rsidRDefault="00C76864"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90" w:history="1">
            <w:r w:rsidRPr="00C76864">
              <w:rPr>
                <w:rStyle w:val="ac"/>
                <w:rFonts w:ascii="Times New Roman" w:hAnsi="Times New Roman" w:cs="Times New Roman"/>
                <w:noProof/>
                <w:sz w:val="28"/>
                <w:szCs w:val="28"/>
                <w:lang w:val="ru-RU"/>
              </w:rPr>
              <w:t>Глава 3. Практическая часть — разработка рекомендаций повышения качества инвестиционного портфеля ОПИФ РФИ «ВИМ-Металлургия»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_Toc229218490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49</w:t>
            </w:r>
            <w:r w:rsidR="00F74D7F" w:rsidRPr="00C76864">
              <w:rPr>
                <w:rFonts w:ascii="Times New Roman" w:hAnsi="Times New Roman" w:cs="Times New Roman"/>
                <w:noProof/>
                <w:webHidden/>
                <w:sz w:val="28"/>
                <w:szCs w:val="28"/>
              </w:rPr>
              <w:fldChar w:fldCharType="end"/>
            </w:r>
          </w:hyperlink>
        </w:p>
        <w:p w14:paraId="08264D88" w14:textId="77777777" w:rsidR="00C76864" w:rsidRPr="00C76864" w:rsidRDefault="00C76864" w:rsidP="00C76864">
          <w:pPr>
            <w:pStyle w:val="2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91" w:history="1">
            <w:r w:rsidRPr="00C76864">
              <w:rPr>
                <w:rStyle w:val="ac"/>
                <w:rFonts w:ascii="Times New Roman" w:hAnsi="Times New Roman" w:cs="Times New Roman"/>
                <w:noProof/>
                <w:sz w:val="28"/>
                <w:szCs w:val="28"/>
                <w:lang w:val="ru-RU"/>
              </w:rPr>
              <w:t>3.1. Рекомендации по повышению доходности портфеля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_Toc229218491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49</w:t>
            </w:r>
            <w:r w:rsidR="00F74D7F" w:rsidRPr="00C76864">
              <w:rPr>
                <w:rFonts w:ascii="Times New Roman" w:hAnsi="Times New Roman" w:cs="Times New Roman"/>
                <w:noProof/>
                <w:webHidden/>
                <w:sz w:val="28"/>
                <w:szCs w:val="28"/>
              </w:rPr>
              <w:fldChar w:fldCharType="end"/>
            </w:r>
          </w:hyperlink>
        </w:p>
        <w:p w14:paraId="407921E3" w14:textId="77777777" w:rsidR="00C76864" w:rsidRPr="00C76864" w:rsidRDefault="00C76864" w:rsidP="00C76864">
          <w:pPr>
            <w:pStyle w:val="2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92" w:history="1">
            <w:r w:rsidRPr="00C76864">
              <w:rPr>
                <w:rStyle w:val="ac"/>
                <w:rFonts w:ascii="Times New Roman" w:hAnsi="Times New Roman" w:cs="Times New Roman"/>
                <w:noProof/>
                <w:sz w:val="28"/>
                <w:szCs w:val="28"/>
                <w:lang w:val="ru-RU"/>
              </w:rPr>
              <w:t>3.2. Рекомендации по диверсификации портфеля</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_Toc229218492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55</w:t>
            </w:r>
            <w:r w:rsidR="00F74D7F" w:rsidRPr="00C76864">
              <w:rPr>
                <w:rFonts w:ascii="Times New Roman" w:hAnsi="Times New Roman" w:cs="Times New Roman"/>
                <w:noProof/>
                <w:webHidden/>
                <w:sz w:val="28"/>
                <w:szCs w:val="28"/>
              </w:rPr>
              <w:fldChar w:fldCharType="end"/>
            </w:r>
          </w:hyperlink>
        </w:p>
        <w:p w14:paraId="0215E63F" w14:textId="77777777" w:rsidR="00C76864" w:rsidRPr="00C76864" w:rsidRDefault="00C76864"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93" w:history="1">
            <w:r w:rsidRPr="00C76864">
              <w:rPr>
                <w:rStyle w:val="ac"/>
                <w:rFonts w:ascii="Times New Roman" w:hAnsi="Times New Roman" w:cs="Times New Roman"/>
                <w:noProof/>
                <w:sz w:val="28"/>
                <w:szCs w:val="28"/>
                <w:lang w:val="ru-RU"/>
              </w:rPr>
              <w:t>Заключение</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_Toc229218493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63</w:t>
            </w:r>
            <w:r w:rsidR="00F74D7F" w:rsidRPr="00C76864">
              <w:rPr>
                <w:rFonts w:ascii="Times New Roman" w:hAnsi="Times New Roman" w:cs="Times New Roman"/>
                <w:noProof/>
                <w:webHidden/>
                <w:sz w:val="28"/>
                <w:szCs w:val="28"/>
              </w:rPr>
              <w:fldChar w:fldCharType="end"/>
            </w:r>
          </w:hyperlink>
        </w:p>
        <w:p w14:paraId="1D2EBE21" w14:textId="77777777" w:rsidR="00C76864" w:rsidRPr="00C76864" w:rsidRDefault="00C76864" w:rsidP="00C76864">
          <w:pPr>
            <w:pStyle w:val="10"/>
            <w:tabs>
              <w:tab w:val="right" w:leader="dot" w:pos="9350"/>
            </w:tabs>
            <w:spacing w:after="0" w:line="360" w:lineRule="auto"/>
            <w:jc w:val="both"/>
            <w:rPr>
              <w:rFonts w:ascii="Times New Roman" w:eastAsiaTheme="minorEastAsia" w:hAnsi="Times New Roman" w:cs="Times New Roman"/>
              <w:noProof/>
              <w:sz w:val="28"/>
              <w:szCs w:val="28"/>
              <w:lang w:val="ru-RU"/>
            </w:rPr>
          </w:pPr>
          <w:hyperlink w:anchor="_Toc229218494" w:history="1">
            <w:r w:rsidRPr="00C76864">
              <w:rPr>
                <w:rStyle w:val="ac"/>
                <w:rFonts w:ascii="Times New Roman" w:eastAsia="Times New Roman" w:hAnsi="Times New Roman" w:cs="Times New Roman"/>
                <w:bCs/>
                <w:noProof/>
                <w:sz w:val="28"/>
                <w:szCs w:val="28"/>
                <w:lang w:val="ru-RU"/>
              </w:rPr>
              <w:t>Список использованных источников</w:t>
            </w:r>
            <w:r w:rsidRPr="00C76864">
              <w:rPr>
                <w:rFonts w:ascii="Times New Roman" w:hAnsi="Times New Roman" w:cs="Times New Roman"/>
                <w:noProof/>
                <w:webHidden/>
                <w:sz w:val="28"/>
                <w:szCs w:val="28"/>
              </w:rPr>
              <w:tab/>
            </w:r>
            <w:r w:rsidR="00F74D7F" w:rsidRPr="00C76864">
              <w:rPr>
                <w:rFonts w:ascii="Times New Roman" w:hAnsi="Times New Roman" w:cs="Times New Roman"/>
                <w:noProof/>
                <w:webHidden/>
                <w:sz w:val="28"/>
                <w:szCs w:val="28"/>
              </w:rPr>
              <w:fldChar w:fldCharType="begin"/>
            </w:r>
            <w:r w:rsidRPr="00C76864">
              <w:rPr>
                <w:rFonts w:ascii="Times New Roman" w:hAnsi="Times New Roman" w:cs="Times New Roman"/>
                <w:noProof/>
                <w:webHidden/>
                <w:sz w:val="28"/>
                <w:szCs w:val="28"/>
              </w:rPr>
              <w:instrText xml:space="preserve"> PAGEREF _Toc229218494 \h </w:instrText>
            </w:r>
            <w:r w:rsidR="00F74D7F" w:rsidRPr="00C76864">
              <w:rPr>
                <w:rFonts w:ascii="Times New Roman" w:hAnsi="Times New Roman" w:cs="Times New Roman"/>
                <w:noProof/>
                <w:webHidden/>
                <w:sz w:val="28"/>
                <w:szCs w:val="28"/>
              </w:rPr>
            </w:r>
            <w:r w:rsidR="00F74D7F" w:rsidRPr="00C76864">
              <w:rPr>
                <w:rFonts w:ascii="Times New Roman" w:hAnsi="Times New Roman" w:cs="Times New Roman"/>
                <w:noProof/>
                <w:webHidden/>
                <w:sz w:val="28"/>
                <w:szCs w:val="28"/>
              </w:rPr>
              <w:fldChar w:fldCharType="separate"/>
            </w:r>
            <w:r w:rsidR="0094314F">
              <w:rPr>
                <w:rFonts w:ascii="Times New Roman" w:hAnsi="Times New Roman" w:cs="Times New Roman"/>
                <w:noProof/>
                <w:webHidden/>
                <w:sz w:val="28"/>
                <w:szCs w:val="28"/>
              </w:rPr>
              <w:t>66</w:t>
            </w:r>
            <w:r w:rsidR="00F74D7F" w:rsidRPr="00C76864">
              <w:rPr>
                <w:rFonts w:ascii="Times New Roman" w:hAnsi="Times New Roman" w:cs="Times New Roman"/>
                <w:noProof/>
                <w:webHidden/>
                <w:sz w:val="28"/>
                <w:szCs w:val="28"/>
              </w:rPr>
              <w:fldChar w:fldCharType="end"/>
            </w:r>
          </w:hyperlink>
        </w:p>
        <w:p w14:paraId="2540B728" w14:textId="77777777" w:rsidR="00F834A7" w:rsidRDefault="00F74D7F" w:rsidP="00C76864">
          <w:pPr>
            <w:spacing w:line="360" w:lineRule="auto"/>
            <w:jc w:val="both"/>
            <w:rPr>
              <w:b/>
              <w:bCs/>
            </w:rPr>
          </w:pPr>
          <w:r w:rsidRPr="00C76864">
            <w:rPr>
              <w:rFonts w:ascii="Times New Roman" w:hAnsi="Times New Roman" w:cs="Times New Roman"/>
              <w:b/>
              <w:bCs/>
              <w:sz w:val="28"/>
              <w:szCs w:val="28"/>
            </w:rPr>
            <w:fldChar w:fldCharType="end"/>
          </w:r>
        </w:p>
      </w:sdtContent>
    </w:sdt>
    <w:p w14:paraId="3EBF48BB" w14:textId="77777777" w:rsidR="002C229C" w:rsidRDefault="002C229C" w:rsidP="00653A71">
      <w:pPr>
        <w:pStyle w:val="1"/>
        <w:spacing w:before="0" w:after="0" w:line="360" w:lineRule="auto"/>
        <w:rPr>
          <w:rFonts w:cs="Times New Roman"/>
          <w:bCs/>
          <w:szCs w:val="28"/>
          <w:lang w:val="ru-RU"/>
        </w:rPr>
      </w:pPr>
    </w:p>
    <w:p w14:paraId="4B56078C" w14:textId="77777777" w:rsidR="002C229C" w:rsidRDefault="002C229C" w:rsidP="00653A71">
      <w:pPr>
        <w:pStyle w:val="1"/>
        <w:spacing w:before="0" w:after="0" w:line="360" w:lineRule="auto"/>
        <w:rPr>
          <w:rFonts w:cs="Times New Roman"/>
          <w:bCs/>
          <w:szCs w:val="28"/>
          <w:lang w:val="ru-RU"/>
        </w:rPr>
      </w:pPr>
    </w:p>
    <w:p w14:paraId="3E6C68FD" w14:textId="77777777" w:rsidR="002C229C" w:rsidRDefault="002C229C" w:rsidP="002C229C">
      <w:pPr>
        <w:rPr>
          <w:lang w:val="ru-RU"/>
        </w:rPr>
      </w:pPr>
    </w:p>
    <w:p w14:paraId="600497A9" w14:textId="77777777"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14:paraId="2B3B21DC" w14:textId="77777777" w:rsidR="007D27F4" w:rsidRDefault="00FF0F5C" w:rsidP="00CD1CF2">
      <w:pPr>
        <w:pStyle w:val="1"/>
        <w:spacing w:before="0" w:after="0" w:line="360" w:lineRule="auto"/>
        <w:rPr>
          <w:rFonts w:cs="Times New Roman"/>
          <w:bCs/>
          <w:szCs w:val="28"/>
          <w:lang w:val="ru-RU"/>
        </w:rPr>
      </w:pPr>
      <w:bookmarkStart w:id="0" w:name="_Toc229218481"/>
      <w:r w:rsidRPr="00653A71">
        <w:rPr>
          <w:rFonts w:cs="Times New Roman"/>
          <w:bCs/>
          <w:szCs w:val="28"/>
          <w:lang w:val="ru-RU"/>
        </w:rPr>
        <w:lastRenderedPageBreak/>
        <w:t>Введение</w:t>
      </w:r>
      <w:bookmarkEnd w:id="0"/>
    </w:p>
    <w:p w14:paraId="168ECB3E" w14:textId="77777777" w:rsidR="002C229C" w:rsidRPr="002C229C" w:rsidRDefault="002C229C" w:rsidP="00CD1CF2">
      <w:pPr>
        <w:spacing w:line="360" w:lineRule="auto"/>
        <w:jc w:val="both"/>
        <w:rPr>
          <w:lang w:val="ru-RU"/>
        </w:rPr>
      </w:pPr>
    </w:p>
    <w:p w14:paraId="7F17C696"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Актуальность темы исследования:</w:t>
      </w:r>
      <w:r w:rsidR="00CD1CF2">
        <w:rPr>
          <w:rFonts w:ascii="Times New Roman" w:eastAsia="Times New Roman" w:hAnsi="Times New Roman" w:cs="Times New Roman"/>
          <w:sz w:val="28"/>
          <w:szCs w:val="28"/>
          <w:lang w:val="ru-RU"/>
        </w:rPr>
        <w:t xml:space="preserve"> в</w:t>
      </w:r>
      <w:r w:rsidRPr="00CD1CF2">
        <w:rPr>
          <w:rFonts w:ascii="Times New Roman" w:eastAsia="Times New Roman" w:hAnsi="Times New Roman" w:cs="Times New Roman"/>
          <w:sz w:val="28"/>
          <w:szCs w:val="28"/>
          <w:lang w:val="ru-RU"/>
        </w:rPr>
        <w:t xml:space="preserve">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14:paraId="4E2A6A1E"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w:t>
      </w:r>
      <w:r w:rsidRPr="00CD1CF2">
        <w:rPr>
          <w:rFonts w:ascii="Times New Roman" w:eastAsia="Times New Roman" w:hAnsi="Times New Roman" w:cs="Times New Roman"/>
          <w:sz w:val="28"/>
          <w:szCs w:val="28"/>
          <w:lang w:val="ru-RU"/>
        </w:rPr>
        <w:lastRenderedPageBreak/>
        <w:t xml:space="preserve">портфеля с углубленным 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ПИФов является </w:t>
      </w:r>
      <w:proofErr w:type="spellStart"/>
      <w:r w:rsidRPr="00CD1CF2">
        <w:rPr>
          <w:rFonts w:ascii="Times New Roman" w:eastAsia="Times New Roman" w:hAnsi="Times New Roman" w:cs="Times New Roman"/>
          <w:sz w:val="28"/>
          <w:szCs w:val="28"/>
          <w:lang w:val="ru-RU"/>
        </w:rPr>
        <w:t>высокоактуальной</w:t>
      </w:r>
      <w:proofErr w:type="spellEnd"/>
      <w:r w:rsidRPr="00CD1CF2">
        <w:rPr>
          <w:rFonts w:ascii="Times New Roman" w:eastAsia="Times New Roman" w:hAnsi="Times New Roman" w:cs="Times New Roman"/>
          <w:sz w:val="28"/>
          <w:szCs w:val="28"/>
          <w:lang w:val="ru-RU"/>
        </w:rPr>
        <w:t xml:space="preserve"> научной и прикладной задачей.</w:t>
      </w:r>
    </w:p>
    <w:p w14:paraId="4C35E407"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Цель исследования:</w:t>
      </w:r>
      <w:r w:rsidRPr="00CD1CF2">
        <w:rPr>
          <w:rFonts w:ascii="Times New Roman" w:eastAsia="Times New Roman" w:hAnsi="Times New Roman" w:cs="Times New Roman"/>
          <w:sz w:val="28"/>
          <w:szCs w:val="28"/>
          <w:lang w:val="ru-RU"/>
        </w:rPr>
        <w:t xml:space="preserve"> оценка текущего качества инвестиционного портфеля ОПИФ РФИ «ВИМ-Металлургия» и разработка практических рекомендаций по его повышению.</w:t>
      </w:r>
    </w:p>
    <w:p w14:paraId="4A79C64C" w14:textId="77777777" w:rsidR="007D27F4" w:rsidRPr="00CD1CF2" w:rsidRDefault="00FF0F5C" w:rsidP="00CD1CF2">
      <w:pPr>
        <w:spacing w:line="360" w:lineRule="auto"/>
        <w:ind w:firstLine="709"/>
        <w:jc w:val="both"/>
        <w:rPr>
          <w:rFonts w:ascii="Times New Roman" w:eastAsia="Times New Roman" w:hAnsi="Times New Roman" w:cs="Times New Roman"/>
          <w:bCs/>
          <w:sz w:val="28"/>
          <w:szCs w:val="28"/>
        </w:rPr>
      </w:pPr>
      <w:proofErr w:type="spellStart"/>
      <w:r w:rsidRPr="00CD1CF2">
        <w:rPr>
          <w:rFonts w:ascii="Times New Roman" w:eastAsia="Times New Roman" w:hAnsi="Times New Roman" w:cs="Times New Roman"/>
          <w:bCs/>
          <w:sz w:val="28"/>
          <w:szCs w:val="28"/>
        </w:rPr>
        <w:t>Задачи</w:t>
      </w:r>
      <w:proofErr w:type="spellEnd"/>
      <w:r w:rsidRPr="00CD1CF2">
        <w:rPr>
          <w:rFonts w:ascii="Times New Roman" w:eastAsia="Times New Roman" w:hAnsi="Times New Roman" w:cs="Times New Roman"/>
          <w:bCs/>
          <w:sz w:val="28"/>
          <w:szCs w:val="28"/>
        </w:rPr>
        <w:t xml:space="preserve"> </w:t>
      </w:r>
      <w:proofErr w:type="spellStart"/>
      <w:r w:rsidRPr="00CD1CF2">
        <w:rPr>
          <w:rFonts w:ascii="Times New Roman" w:eastAsia="Times New Roman" w:hAnsi="Times New Roman" w:cs="Times New Roman"/>
          <w:bCs/>
          <w:sz w:val="28"/>
          <w:szCs w:val="28"/>
        </w:rPr>
        <w:t>исследования</w:t>
      </w:r>
      <w:proofErr w:type="spellEnd"/>
      <w:r w:rsidRPr="00CD1CF2">
        <w:rPr>
          <w:rFonts w:ascii="Times New Roman" w:eastAsia="Times New Roman" w:hAnsi="Times New Roman" w:cs="Times New Roman"/>
          <w:bCs/>
          <w:sz w:val="28"/>
          <w:szCs w:val="28"/>
        </w:rPr>
        <w:t>:</w:t>
      </w:r>
    </w:p>
    <w:p w14:paraId="3CB91EB6"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14:paraId="24DC0270"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14:paraId="27563FC2"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Рассчитать и интерпретировать основные классические метрики качества и эффективности анализируемого инвестиционного портфеля;</w:t>
      </w:r>
    </w:p>
    <w:p w14:paraId="32D8AA61" w14:textId="77777777" w:rsidR="007D27F4" w:rsidRPr="00CD1CF2" w:rsidRDefault="00FF0F5C" w:rsidP="00CD1CF2">
      <w:pPr>
        <w:numPr>
          <w:ilvl w:val="0"/>
          <w:numId w:val="16"/>
        </w:numPr>
        <w:tabs>
          <w:tab w:val="left" w:pos="993"/>
        </w:tabs>
        <w:spacing w:line="360" w:lineRule="auto"/>
        <w:ind w:left="0"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sz w:val="28"/>
          <w:szCs w:val="28"/>
          <w:lang w:val="ru-RU"/>
        </w:rPr>
        <w:t>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14:paraId="3D0D07DB"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Объект исследования:</w:t>
      </w:r>
      <w:r w:rsidRPr="00CD1CF2">
        <w:rPr>
          <w:rFonts w:ascii="Times New Roman" w:eastAsia="Times New Roman" w:hAnsi="Times New Roman" w:cs="Times New Roman"/>
          <w:sz w:val="28"/>
          <w:szCs w:val="28"/>
          <w:lang w:val="ru-RU"/>
        </w:rPr>
        <w:t xml:space="preserve"> ОПИФ РФИ «ВИМ-Металлургия».</w:t>
      </w:r>
    </w:p>
    <w:p w14:paraId="37F33460"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Предмет исследования:</w:t>
      </w:r>
      <w:r w:rsidRPr="00CD1CF2">
        <w:rPr>
          <w:rFonts w:ascii="Times New Roman" w:eastAsia="Times New Roman" w:hAnsi="Times New Roman" w:cs="Times New Roman"/>
          <w:sz w:val="28"/>
          <w:szCs w:val="28"/>
          <w:lang w:val="ru-RU"/>
        </w:rPr>
        <w:t xml:space="preserve"> качество инвестиционного портфеля данного фонда.</w:t>
      </w:r>
    </w:p>
    <w:p w14:paraId="082D1C39"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Теоретическая и методологическая база исследования:</w:t>
      </w:r>
      <w:r w:rsidRPr="00CD1CF2">
        <w:rPr>
          <w:rFonts w:ascii="Times New Roman" w:eastAsia="Times New Roman" w:hAnsi="Times New Roman" w:cs="Times New Roman"/>
          <w:sz w:val="28"/>
          <w:szCs w:val="28"/>
          <w:lang w:val="ru-RU"/>
        </w:rPr>
        <w:t xml:space="preserve"> при проведении исследования использовались фундаментальные труды отечественных и </w:t>
      </w:r>
      <w:r w:rsidRPr="00CD1CF2">
        <w:rPr>
          <w:rFonts w:ascii="Times New Roman" w:eastAsia="Times New Roman" w:hAnsi="Times New Roman" w:cs="Times New Roman"/>
          <w:sz w:val="28"/>
          <w:szCs w:val="28"/>
          <w:lang w:val="ru-RU"/>
        </w:rPr>
        <w:lastRenderedPageBreak/>
        <w:t xml:space="preserve">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CD1CF2">
        <w:rPr>
          <w:rFonts w:ascii="Times New Roman" w:eastAsia="Times New Roman" w:hAnsi="Times New Roman" w:cs="Times New Roman"/>
          <w:sz w:val="28"/>
          <w:szCs w:val="28"/>
          <w:lang w:val="ru-RU"/>
        </w:rPr>
        <w:t>Марковица</w:t>
      </w:r>
      <w:proofErr w:type="spellEnd"/>
      <w:r w:rsidRPr="00CD1CF2">
        <w:rPr>
          <w:rFonts w:ascii="Times New Roman" w:eastAsia="Times New Roman" w:hAnsi="Times New Roman" w:cs="Times New Roman"/>
          <w:sz w:val="28"/>
          <w:szCs w:val="28"/>
          <w:lang w:val="ru-RU"/>
        </w:rPr>
        <w:t xml:space="preserve">,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w:t>
      </w:r>
      <w:proofErr w:type="spellStart"/>
      <w:r w:rsidRPr="00CD1CF2">
        <w:rPr>
          <w:rFonts w:ascii="Times New Roman" w:eastAsia="Times New Roman" w:hAnsi="Times New Roman" w:cs="Times New Roman"/>
          <w:sz w:val="28"/>
          <w:szCs w:val="28"/>
          <w:lang w:val="ru-RU"/>
        </w:rPr>
        <w:t>Сортино</w:t>
      </w:r>
      <w:proofErr w:type="spellEnd"/>
      <w:r w:rsidRPr="00CD1CF2">
        <w:rPr>
          <w:rFonts w:ascii="Times New Roman" w:eastAsia="Times New Roman" w:hAnsi="Times New Roman" w:cs="Times New Roman"/>
          <w:sz w:val="28"/>
          <w:szCs w:val="28"/>
          <w:lang w:val="ru-RU"/>
        </w:rPr>
        <w:t xml:space="preserve"> (для оценки риска отрицательных отклонений), коэффициенты </w:t>
      </w:r>
      <w:proofErr w:type="spellStart"/>
      <w:r w:rsidRPr="00CD1CF2">
        <w:rPr>
          <w:rFonts w:ascii="Times New Roman" w:eastAsia="Times New Roman" w:hAnsi="Times New Roman" w:cs="Times New Roman"/>
          <w:sz w:val="28"/>
          <w:szCs w:val="28"/>
          <w:lang w:val="ru-RU"/>
        </w:rPr>
        <w:t>Трейнора</w:t>
      </w:r>
      <w:proofErr w:type="spellEnd"/>
      <w:r w:rsidRPr="00CD1CF2">
        <w:rPr>
          <w:rFonts w:ascii="Times New Roman" w:eastAsia="Times New Roman" w:hAnsi="Times New Roman" w:cs="Times New Roman"/>
          <w:sz w:val="28"/>
          <w:szCs w:val="28"/>
          <w:lang w:val="ru-RU"/>
        </w:rPr>
        <w:t xml:space="preserve"> и Дженсена, а также анализ бета-коэффициента.</w:t>
      </w:r>
    </w:p>
    <w:p w14:paraId="45A065E9" w14:textId="77777777" w:rsidR="007D27F4" w:rsidRPr="00CD1CF2" w:rsidRDefault="00FF0F5C" w:rsidP="00CD1CF2">
      <w:pPr>
        <w:spacing w:line="360" w:lineRule="auto"/>
        <w:ind w:firstLine="709"/>
        <w:jc w:val="both"/>
        <w:rPr>
          <w:rFonts w:ascii="Times New Roman" w:eastAsia="Times New Roman" w:hAnsi="Times New Roman" w:cs="Times New Roman"/>
          <w:sz w:val="28"/>
          <w:szCs w:val="28"/>
          <w:lang w:val="ru-RU"/>
        </w:rPr>
      </w:pPr>
      <w:r w:rsidRPr="00CD1CF2">
        <w:rPr>
          <w:rFonts w:ascii="Times New Roman" w:eastAsia="Times New Roman" w:hAnsi="Times New Roman" w:cs="Times New Roman"/>
          <w:bCs/>
          <w:sz w:val="28"/>
          <w:szCs w:val="28"/>
          <w:lang w:val="ru-RU"/>
        </w:rPr>
        <w:t>Информационная база исследования:</w:t>
      </w:r>
      <w:r w:rsidRPr="00CD1CF2">
        <w:rPr>
          <w:rFonts w:ascii="Times New Roman" w:eastAsia="Times New Roman" w:hAnsi="Times New Roman" w:cs="Times New Roman"/>
          <w:sz w:val="28"/>
          <w:szCs w:val="28"/>
          <w:lang w:val="ru-RU"/>
        </w:rPr>
        <w:t xml:space="preserve">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14:paraId="3572861E" w14:textId="77777777" w:rsidR="00653A71" w:rsidRDefault="00653A71" w:rsidP="00CD1CF2">
      <w:pPr>
        <w:pStyle w:val="1"/>
        <w:spacing w:before="0" w:after="0" w:line="360" w:lineRule="auto"/>
        <w:jc w:val="both"/>
        <w:rPr>
          <w:rFonts w:cs="Times New Roman"/>
          <w:b w:val="0"/>
          <w:bCs/>
          <w:szCs w:val="28"/>
          <w:lang w:val="ru-RU"/>
        </w:rPr>
      </w:pPr>
    </w:p>
    <w:p w14:paraId="05900B03" w14:textId="77777777" w:rsidR="0007704C" w:rsidRDefault="0007704C" w:rsidP="0007704C">
      <w:pPr>
        <w:pStyle w:val="1"/>
        <w:spacing w:before="0" w:after="0" w:line="360" w:lineRule="auto"/>
        <w:jc w:val="left"/>
        <w:rPr>
          <w:rFonts w:cs="Times New Roman"/>
          <w:b w:val="0"/>
          <w:bCs/>
          <w:szCs w:val="28"/>
          <w:lang w:val="ru-RU"/>
        </w:rPr>
      </w:pPr>
    </w:p>
    <w:p w14:paraId="02032AF7" w14:textId="77777777" w:rsidR="0007704C" w:rsidRDefault="0007704C" w:rsidP="0007704C">
      <w:pPr>
        <w:pStyle w:val="1"/>
        <w:spacing w:before="0" w:after="0" w:line="360" w:lineRule="auto"/>
        <w:jc w:val="left"/>
        <w:rPr>
          <w:rFonts w:cs="Times New Roman"/>
          <w:b w:val="0"/>
          <w:bCs/>
          <w:szCs w:val="28"/>
          <w:lang w:val="ru-RU"/>
        </w:rPr>
      </w:pPr>
    </w:p>
    <w:p w14:paraId="4E93F409" w14:textId="77777777" w:rsidR="00793D47" w:rsidRDefault="00793D4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05E0DB" w14:textId="77777777" w:rsidR="00793D47" w:rsidRPr="00793D47" w:rsidRDefault="00793D47" w:rsidP="00CD1CF2">
      <w:pPr>
        <w:pStyle w:val="1"/>
        <w:spacing w:before="0" w:after="0" w:line="360" w:lineRule="auto"/>
        <w:rPr>
          <w:lang w:val="ru-RU"/>
        </w:rPr>
      </w:pPr>
      <w:bookmarkStart w:id="1" w:name="_Toc229218482"/>
      <w:r w:rsidRPr="00793D47">
        <w:rPr>
          <w:lang w:val="ru-RU"/>
        </w:rPr>
        <w:lastRenderedPageBreak/>
        <w:t>Глава 1. Теоретическая часть — состав инвестиционного портфеля и методы его определения</w:t>
      </w:r>
      <w:bookmarkEnd w:id="1"/>
    </w:p>
    <w:p w14:paraId="058FE50A" w14:textId="77777777" w:rsidR="00793D47" w:rsidRDefault="00793D47" w:rsidP="00CD1CF2">
      <w:pPr>
        <w:pStyle w:val="2"/>
        <w:numPr>
          <w:ilvl w:val="1"/>
          <w:numId w:val="13"/>
        </w:numPr>
        <w:spacing w:before="0" w:after="0" w:line="360" w:lineRule="auto"/>
        <w:rPr>
          <w:lang w:val="ru-RU"/>
        </w:rPr>
      </w:pPr>
      <w:bookmarkStart w:id="2" w:name="_Toc229218483"/>
      <w:r w:rsidRPr="00793D47">
        <w:rPr>
          <w:lang w:val="ru-RU"/>
        </w:rPr>
        <w:t>Сущность и значение качества инвестиционного портфеля</w:t>
      </w:r>
      <w:bookmarkEnd w:id="2"/>
    </w:p>
    <w:p w14:paraId="7C525BF0" w14:textId="77777777" w:rsidR="00631EF4" w:rsidRPr="00631EF4" w:rsidRDefault="00631EF4" w:rsidP="00CD1CF2">
      <w:pPr>
        <w:spacing w:line="360" w:lineRule="auto"/>
        <w:jc w:val="both"/>
        <w:rPr>
          <w:lang w:val="ru-RU"/>
        </w:rPr>
      </w:pPr>
    </w:p>
    <w:p w14:paraId="7E9E05F0"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[20, с. 15]</w:t>
      </w:r>
      <w:r w:rsidRPr="00793D47">
        <w:rPr>
          <w:rFonts w:ascii="Times New Roman" w:hAnsi="Times New Roman" w:cs="Times New Roman"/>
          <w:sz w:val="28"/>
          <w:szCs w:val="28"/>
          <w:lang w:val="ru-RU"/>
        </w:rPr>
        <w:t>.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w:t>
      </w:r>
      <w:r w:rsidR="007C0ED7">
        <w:rPr>
          <w:rFonts w:ascii="Times New Roman" w:hAnsi="Times New Roman" w:cs="Times New Roman"/>
          <w:sz w:val="28"/>
          <w:szCs w:val="28"/>
          <w:lang w:val="ru-RU"/>
        </w:rPr>
        <w:t xml:space="preserve"> [7, с. 112</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Такое понимание предполагает, что отдельные элементы портфеля приобретают смысл не только поодиночке, но и через их взаимодействие в составе общей конструкции. Комбинирование инструментов позволяет в определенной степени компенсировать ограничения каждого из них, поскольку распределение капитала между активами с различными характеристиками делает достижимыми заданные параметры по ожидаемой доходности, приемлемому риску и требуемой ликвидности, причем именно на уровне совокупности, а не отдельного инструмента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[36; 37]</w:t>
      </w:r>
      <w:r w:rsidRPr="00793D47">
        <w:rPr>
          <w:rFonts w:ascii="Times New Roman" w:hAnsi="Times New Roman" w:cs="Times New Roman"/>
          <w:sz w:val="28"/>
          <w:szCs w:val="28"/>
          <w:lang w:val="ru-RU"/>
        </w:rPr>
        <w:t>.</w:t>
      </w:r>
    </w:p>
    <w:p w14:paraId="0F56BCDB"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[19, с. 210]</w:t>
      </w:r>
      <w:r w:rsidRPr="00793D47">
        <w:rPr>
          <w:rFonts w:ascii="Times New Roman" w:hAnsi="Times New Roman" w:cs="Times New Roman"/>
          <w:sz w:val="28"/>
          <w:szCs w:val="28"/>
          <w:lang w:val="ru-RU"/>
        </w:rPr>
        <w:t xml:space="preserve">. В этой логике уместно говорить о системе взаимосвязанных ориентиров, где </w:t>
      </w:r>
      <w:r w:rsidRPr="00793D47">
        <w:rPr>
          <w:rFonts w:ascii="Times New Roman" w:hAnsi="Times New Roman" w:cs="Times New Roman"/>
          <w:sz w:val="28"/>
          <w:szCs w:val="28"/>
          <w:lang w:val="ru-RU"/>
        </w:rPr>
        <w:lastRenderedPageBreak/>
        <w:t>приоритеты 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[13, с. 154]</w:t>
      </w:r>
      <w:r w:rsidRPr="00793D47">
        <w:rPr>
          <w:rFonts w:ascii="Times New Roman" w:hAnsi="Times New Roman" w:cs="Times New Roman"/>
          <w:sz w:val="28"/>
          <w:szCs w:val="28"/>
          <w:lang w:val="ru-RU"/>
        </w:rPr>
        <w:t>;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 Существенно, что практическая значимость портфеля проявляется не только в потенциале получения дохода, но и в способности сохранять управляемость и воспроизводимость результатов при изменениях внешних условий, включая смену процентных ставок, фаз экономического цикла и режимов рыночной волатильности.</w:t>
      </w:r>
    </w:p>
    <w:p w14:paraId="0D97C9FF"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относительно оперативной трансформации части активов в денежную форму при разумных трансакционных издержках</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[11, с. 230]</w:t>
      </w:r>
      <w:r w:rsidRPr="00793D47">
        <w:rPr>
          <w:rFonts w:ascii="Times New Roman" w:hAnsi="Times New Roman" w:cs="Times New Roman"/>
          <w:sz w:val="28"/>
          <w:szCs w:val="28"/>
          <w:lang w:val="ru-RU"/>
        </w:rPr>
        <w:t xml:space="preserve">. В данном контексте характеристики отдельных ценных бумаг и инвестиционных проектов оцениваются через их способность формировать доход при ограниченном уровне неопределенности, а также через степень ликвидности, отражающую практическую реализуемость стратегии и возможности ребалансировки. </w:t>
      </w:r>
      <w:r w:rsidRPr="00793D47">
        <w:rPr>
          <w:rFonts w:ascii="Times New Roman" w:hAnsi="Times New Roman" w:cs="Times New Roman"/>
          <w:sz w:val="28"/>
          <w:szCs w:val="28"/>
          <w:lang w:val="ru-RU"/>
        </w:rPr>
        <w:lastRenderedPageBreak/>
        <w:t>Соответственно, более высокое качество портфеля связано с возникновением системного эффекта, который трудно воспроизвести на уровне единичного инструмента: денежные потоки становятся более устойчивыми, чувствительность к отдельным негативным событиям и ошибкам прогноза снижается, а структура вложений приобретает более предсказуемые свойства за счет распределения источников риска и дохода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[23, с. 140]</w:t>
      </w:r>
      <w:r w:rsidRPr="00793D47">
        <w:rPr>
          <w:rFonts w:ascii="Times New Roman" w:hAnsi="Times New Roman" w:cs="Times New Roman"/>
          <w:sz w:val="28"/>
          <w:szCs w:val="28"/>
          <w:lang w:val="ru-RU"/>
        </w:rPr>
        <w:t>. Одновременно качество предполагает не только «хороший набор активов», но и внутреннюю согласованность портфельной конструкции, то есть соответствие структуры целям, временным ограничениям и допустимому уровню потерь.</w:t>
      </w:r>
    </w:p>
    <w:p w14:paraId="132CE41A"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120]</w:t>
      </w:r>
      <w:r w:rsidRPr="00793D47">
        <w:rPr>
          <w:rFonts w:ascii="Times New Roman" w:hAnsi="Times New Roman" w:cs="Times New Roman"/>
          <w:sz w:val="28"/>
          <w:szCs w:val="28"/>
          <w:lang w:val="ru-RU"/>
        </w:rPr>
        <w:t>. Вместе с тем инструменты, которые принято относить к более надежным, включая государственные облигации, как правило, демонстрируют сравнительно умеренную доходность при более высокой ликвидности и меньшей амплитуде колебаний цен. Напротив, активы, ориентированные на рост стоимости, в том числе акции компаний роста, потенциально способны обеспечивать более высокий доход, однако они сопряжены с заметной вероятностью просадок, а в отдельных фазах кризиса нередко теряют ликвидность, что затрудняет закрытие позиции без существенного дисконта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[10, с. 450]</w:t>
      </w:r>
      <w:r w:rsidRPr="00793D47">
        <w:rPr>
          <w:rFonts w:ascii="Times New Roman" w:hAnsi="Times New Roman" w:cs="Times New Roman"/>
          <w:sz w:val="28"/>
          <w:szCs w:val="28"/>
          <w:lang w:val="ru-RU"/>
        </w:rPr>
        <w:t xml:space="preserve">. В результате управленческие решения редко могут опираться на один показатель; напротив, требуется учитывать </w:t>
      </w:r>
      <w:r w:rsidRPr="00793D47">
        <w:rPr>
          <w:rFonts w:ascii="Times New Roman" w:hAnsi="Times New Roman" w:cs="Times New Roman"/>
          <w:sz w:val="28"/>
          <w:szCs w:val="28"/>
          <w:lang w:val="ru-RU"/>
        </w:rPr>
        <w:lastRenderedPageBreak/>
        <w:t>характер компромиссов, возникающих при изменении макроэкономического режима, рыночных ожиданий и доступности финансирования.</w:t>
      </w:r>
    </w:p>
    <w:p w14:paraId="3C377038" w14:textId="77777777" w:rsidR="00793D47" w:rsidRP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[26, с. 146]</w:t>
      </w:r>
      <w:r w:rsidRPr="00793D47">
        <w:rPr>
          <w:rFonts w:ascii="Times New Roman" w:hAnsi="Times New Roman" w:cs="Times New Roman"/>
          <w:sz w:val="28"/>
          <w:szCs w:val="28"/>
          <w:lang w:val="ru-RU"/>
        </w:rPr>
        <w:t>. Целевые установки инвестора в таком случае могут быть описаны как система относительных приоритетов или «весов», где усиление ориентации на прибыль обычно ведет к повышению риска и в ряде ситуаций снижает ликвидность, особенно при стрессовых сценариях.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w:t>
      </w:r>
      <w:r w:rsidR="007C0ED7">
        <w:rPr>
          <w:rFonts w:ascii="Times New Roman" w:hAnsi="Times New Roman" w:cs="Times New Roman"/>
          <w:sz w:val="28"/>
          <w:szCs w:val="28"/>
          <w:lang w:val="ru-RU"/>
        </w:rPr>
        <w:t xml:space="preserve"> [20, с. 65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Однако результативность диверсификации определяется не столько количеством инструментов, сколько особенностями их совместного поведения, устойчивостью выбранной структуры к изменению корреляций, дисциплиной ребалансировки и соответствием портфельного состава исходным ограничениям, включая лимиты по классам активов, секторам, валютам и кредитному качеству. С прикладной точки зрения качественно сбалансированный портфель стремится уменьшить вероятность существенных потерь и сгладить вариативность результатов, не выходя при этом за рамки целевого профиля доходности и заданного инвестиционного горизонта.</w:t>
      </w:r>
    </w:p>
    <w:p w14:paraId="35D8E5B8" w14:textId="77777777" w:rsidR="00793D47" w:rsidRDefault="00793D47" w:rsidP="00CD1CF2">
      <w:pPr>
        <w:spacing w:line="360" w:lineRule="auto"/>
        <w:ind w:firstLine="709"/>
        <w:jc w:val="both"/>
        <w:rPr>
          <w:rFonts w:ascii="Times New Roman" w:hAnsi="Times New Roman" w:cs="Times New Roman"/>
          <w:sz w:val="28"/>
          <w:szCs w:val="28"/>
          <w:lang w:val="ru-RU"/>
        </w:rPr>
      </w:pPr>
      <w:r w:rsidRPr="00793D47">
        <w:rPr>
          <w:rFonts w:ascii="Times New Roman" w:hAnsi="Times New Roman" w:cs="Times New Roman"/>
          <w:sz w:val="28"/>
          <w:szCs w:val="28"/>
          <w:lang w:val="ru-RU"/>
        </w:rPr>
        <w:t xml:space="preserve">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w:t>
      </w:r>
      <w:r w:rsidRPr="00793D47">
        <w:rPr>
          <w:rFonts w:ascii="Times New Roman" w:hAnsi="Times New Roman" w:cs="Times New Roman"/>
          <w:sz w:val="28"/>
          <w:szCs w:val="28"/>
          <w:lang w:val="ru-RU"/>
        </w:rPr>
        <w:lastRenderedPageBreak/>
        <w:t>данными выступают ретроспективные ряды котировок и статистические оценки риска</w:t>
      </w:r>
      <w:r w:rsidR="007C0ED7">
        <w:rPr>
          <w:rFonts w:ascii="Times New Roman" w:hAnsi="Times New Roman" w:cs="Times New Roman"/>
          <w:sz w:val="28"/>
          <w:szCs w:val="28"/>
          <w:lang w:val="ru-RU"/>
        </w:rPr>
        <w:t xml:space="preserve"> </w:t>
      </w:r>
      <w:r w:rsidR="007C0ED7" w:rsidRPr="007C0ED7">
        <w:rPr>
          <w:rFonts w:ascii="Times New Roman" w:hAnsi="Times New Roman" w:cs="Times New Roman"/>
          <w:sz w:val="28"/>
          <w:szCs w:val="28"/>
          <w:lang w:val="ru-RU"/>
        </w:rPr>
        <w:t>[25, с. 880]</w:t>
      </w:r>
      <w:r w:rsidRPr="00793D47">
        <w:rPr>
          <w:rFonts w:ascii="Times New Roman" w:hAnsi="Times New Roman" w:cs="Times New Roman"/>
          <w:sz w:val="28"/>
          <w:szCs w:val="28"/>
          <w:lang w:val="ru-RU"/>
        </w:rPr>
        <w:t>. Традиционная трактовка качества портфеля в подобных подходах часто опирается преимущественно на количественные 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и рыночные цены не дают исчерпывающего представления о фундаментальной стоимости бизнеса эмитентов, о качестве их корпоративного управления, об устойчивости финансовой модели и о долгосрочных рисках, которые могут проявляться вне рамок краткосрочных ценовых колебаний, например через ухудшение конкурентной позиции, рост долговой нагрузки или структурные изменения в отрасли</w:t>
      </w:r>
      <w:r w:rsidR="007C0ED7">
        <w:rPr>
          <w:rFonts w:ascii="Times New Roman" w:hAnsi="Times New Roman" w:cs="Times New Roman"/>
          <w:sz w:val="28"/>
          <w:szCs w:val="28"/>
          <w:lang w:val="ru-RU"/>
        </w:rPr>
        <w:t xml:space="preserve"> [8, с. 45</w:t>
      </w:r>
      <w:r w:rsidR="007C0ED7" w:rsidRPr="007C0ED7">
        <w:rPr>
          <w:rFonts w:ascii="Times New Roman" w:hAnsi="Times New Roman" w:cs="Times New Roman"/>
          <w:sz w:val="28"/>
          <w:szCs w:val="28"/>
          <w:lang w:val="ru-RU"/>
        </w:rPr>
        <w:t>]</w:t>
      </w:r>
      <w:r w:rsidRPr="00793D47">
        <w:rPr>
          <w:rFonts w:ascii="Times New Roman" w:hAnsi="Times New Roman" w:cs="Times New Roman"/>
          <w:sz w:val="28"/>
          <w:szCs w:val="28"/>
          <w:lang w:val="ru-RU"/>
        </w:rPr>
        <w:t>. Кроме того, на статистические оценки заметно влияет выбор периода наблюдения, режим волатильности и наличие экстремальных событий, что усложняет перенос полученных оценок в будущее. По этой причине возникает методологическая необходимость расширять инструментарий оценки качества портфеля за счет методов фундаментального финансового анализа объектов инвестирования, а также за счет более широкого учета факторов, связанных с финансовой устойчивостью эмитента и источниками его денежных потоков, что логически подготавливает дальнейшее рассмотрение соответствующих подходов.</w:t>
      </w:r>
    </w:p>
    <w:p w14:paraId="5CF1815C" w14:textId="77777777" w:rsidR="00631EF4" w:rsidRDefault="00631EF4" w:rsidP="00CD1CF2">
      <w:pPr>
        <w:spacing w:line="360" w:lineRule="auto"/>
        <w:jc w:val="both"/>
        <w:rPr>
          <w:rFonts w:ascii="Times New Roman" w:hAnsi="Times New Roman" w:cs="Times New Roman"/>
          <w:sz w:val="28"/>
          <w:szCs w:val="28"/>
          <w:lang w:val="ru-RU"/>
        </w:rPr>
      </w:pPr>
    </w:p>
    <w:p w14:paraId="37FC8522" w14:textId="77777777" w:rsidR="00793D47" w:rsidRDefault="00793D47" w:rsidP="00CD1CF2">
      <w:pPr>
        <w:pStyle w:val="2"/>
        <w:numPr>
          <w:ilvl w:val="1"/>
          <w:numId w:val="13"/>
        </w:numPr>
        <w:spacing w:before="0" w:after="0" w:line="360" w:lineRule="auto"/>
        <w:ind w:left="0" w:firstLine="0"/>
        <w:rPr>
          <w:lang w:val="ru-RU"/>
        </w:rPr>
      </w:pPr>
      <w:bookmarkStart w:id="3" w:name="_Toc229218484"/>
      <w:r w:rsidRPr="00631EF4">
        <w:rPr>
          <w:lang w:val="ru-RU"/>
        </w:rPr>
        <w:t>Факторы, определяющие качество инвестиционного портфеля</w:t>
      </w:r>
      <w:bookmarkEnd w:id="3"/>
    </w:p>
    <w:p w14:paraId="6D8C339A" w14:textId="77777777" w:rsidR="00CD1CF2" w:rsidRPr="00CD1CF2" w:rsidRDefault="00CD1CF2" w:rsidP="00CD1CF2">
      <w:pPr>
        <w:rPr>
          <w:lang w:val="ru-RU"/>
        </w:rPr>
      </w:pPr>
    </w:p>
    <w:p w14:paraId="36A49B60"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w:t>
      </w:r>
      <w:r w:rsidRPr="00631EF4">
        <w:rPr>
          <w:rFonts w:ascii="Times New Roman" w:hAnsi="Times New Roman" w:cs="Times New Roman"/>
          <w:sz w:val="28"/>
          <w:szCs w:val="28"/>
          <w:lang w:val="ru-RU"/>
        </w:rPr>
        <w:lastRenderedPageBreak/>
        <w:t>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[7, с. 142]</w:t>
      </w:r>
      <w:r w:rsidRPr="00631EF4">
        <w:rPr>
          <w:rFonts w:ascii="Times New Roman" w:hAnsi="Times New Roman" w:cs="Times New Roman"/>
          <w:sz w:val="28"/>
          <w:szCs w:val="28"/>
          <w:lang w:val="ru-RU"/>
        </w:rPr>
        <w:t>. В академической 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w:t>
      </w:r>
      <w:r w:rsidR="00677407">
        <w:rPr>
          <w:rFonts w:ascii="Times New Roman" w:hAnsi="Times New Roman" w:cs="Times New Roman"/>
          <w:sz w:val="28"/>
          <w:szCs w:val="28"/>
          <w:lang w:val="ru-RU"/>
        </w:rPr>
        <w:t xml:space="preserve"> [19, с. 215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Подобное разделение не отменяет их взаимодействия: экзогенные шоки нередко меняют эффективность внутренних практик управления, а эндогенные решения могут усиливать либо, напротив, сглаживать влияние внешней конъюнктуры.</w:t>
      </w:r>
    </w:p>
    <w:p w14:paraId="63E9723D"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Внешние факторы задают макроэкономический и институциональный контур функционирования финансового рынка и по своей природе не являются результатом решений портфельного управляющего.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410]</w:t>
      </w:r>
      <w:r w:rsidRPr="00631EF4">
        <w:rPr>
          <w:rFonts w:ascii="Times New Roman" w:hAnsi="Times New Roman" w:cs="Times New Roman"/>
          <w:sz w:val="28"/>
          <w:szCs w:val="28"/>
          <w:lang w:val="ru-RU"/>
        </w:rPr>
        <w:t xml:space="preserve">.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компенсацию инфляционного обесценения или, по крайней мере, 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w:t>
      </w:r>
      <w:r w:rsidRPr="00631EF4">
        <w:rPr>
          <w:rFonts w:ascii="Times New Roman" w:hAnsi="Times New Roman" w:cs="Times New Roman"/>
          <w:sz w:val="28"/>
          <w:szCs w:val="28"/>
          <w:lang w:val="ru-RU"/>
        </w:rPr>
        <w:lastRenderedPageBreak/>
        <w:t>инструментов, что смещает баланс привлекательности между акциями и облигациями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 с. 312]</w:t>
      </w:r>
      <w:r w:rsidRPr="00631EF4">
        <w:rPr>
          <w:rFonts w:ascii="Times New Roman" w:hAnsi="Times New Roman" w:cs="Times New Roman"/>
          <w:sz w:val="28"/>
          <w:szCs w:val="28"/>
          <w:lang w:val="ru-RU"/>
        </w:rPr>
        <w:t>. Одновременно ставка выступает ключевым параметром дисконтирования при оценке активов: ее повышение повышает требуемую доходность и, при прочих равных, оказывает давление на текущую стоимость будущих потоков, тогда как снижение ставки, напротив, способно поддерживать оценки</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[13, с. 205]</w:t>
      </w:r>
      <w:r w:rsidRPr="00631EF4">
        <w:rPr>
          <w:rFonts w:ascii="Times New Roman" w:hAnsi="Times New Roman" w:cs="Times New Roman"/>
          <w:sz w:val="28"/>
          <w:szCs w:val="28"/>
          <w:lang w:val="ru-RU"/>
        </w:rPr>
        <w:t>.</w:t>
      </w:r>
    </w:p>
    <w:p w14:paraId="0DD06920"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Наряду с общими </w:t>
      </w:r>
      <w:proofErr w:type="spellStart"/>
      <w:r w:rsidRPr="00631EF4">
        <w:rPr>
          <w:rFonts w:ascii="Times New Roman" w:hAnsi="Times New Roman" w:cs="Times New Roman"/>
          <w:sz w:val="28"/>
          <w:szCs w:val="28"/>
          <w:lang w:val="ru-RU"/>
        </w:rPr>
        <w:t>макроусловиями</w:t>
      </w:r>
      <w:proofErr w:type="spellEnd"/>
      <w:r w:rsidRPr="00631EF4">
        <w:rPr>
          <w:rFonts w:ascii="Times New Roman" w:hAnsi="Times New Roman" w:cs="Times New Roman"/>
          <w:sz w:val="28"/>
          <w:szCs w:val="28"/>
          <w:lang w:val="ru-RU"/>
        </w:rPr>
        <w:t xml:space="preserve">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 с. 12]</w:t>
      </w:r>
      <w:r w:rsidRPr="00631EF4">
        <w:rPr>
          <w:rFonts w:ascii="Times New Roman" w:hAnsi="Times New Roman" w:cs="Times New Roman"/>
          <w:sz w:val="28"/>
          <w:szCs w:val="28"/>
          <w:lang w:val="ru-RU"/>
        </w:rPr>
        <w:t>.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 Показательно, что ухудшение ситуации на мировом рынке стали в 2023 году, связанное со слабым спросом и перепроизводством в КНР, сопровождалось снижением долларовых экспортных цен на 15–20%, что демонстрирует масштаб возможных ценовых сдвигов даже в относительно коротком временном интервале. Такая ценовая волатильность закономерно превращается в нестабильность финансовых результатов предприятий и проявляется в циклических колебаниях котировок, тем самым напрямую влияя на совокупную доходность отраслевых паевых фондов и усложняя интерпретацию «качества» портфеля в статических терминах</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[30, с. 22]</w:t>
      </w:r>
      <w:r w:rsidRPr="00631EF4">
        <w:rPr>
          <w:rFonts w:ascii="Times New Roman" w:hAnsi="Times New Roman" w:cs="Times New Roman"/>
          <w:sz w:val="28"/>
          <w:szCs w:val="28"/>
          <w:lang w:val="ru-RU"/>
        </w:rPr>
        <w:t>.</w:t>
      </w:r>
    </w:p>
    <w:p w14:paraId="0F5DB7BC"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необходимостью предоставления ценовых дисконтов к мировым ориентирам для сохранения конкурентоспособности. В совокупности перечисленные эффекты снижают операционную маржинальность экспортноориентированных компаний и формируют внешний фон, который не устраняется средствами портфельной оптимизации и потому должен учитываться при оценке качества базовых активов, включая их устойчивость к институциональным ограничениям.</w:t>
      </w:r>
    </w:p>
    <w:p w14:paraId="195E693D"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 фоне внешних ограничений относительным стабилизатором в ряде сегментов выступал внутренний спрос, который частично поддерживал восстановление операционных показателей. Для предприятий черной металлургии национальный рынок приобрел дополнительное значение как источник выручки, опирающийся на строительную активность, инфраструктурные проекты и программы импортозамещения в машиностроении и смежных отраслях. Эмитенты, исторически ориентированные на внутренние продажи, в отдельных случаях демонстрировали более высокую адаптивность, в том числе за счет изменения продуктовой линейки и наращивания доли продукции с более высокой добавленной стоимостью. Подобная переориентация способна в </w:t>
      </w:r>
      <w:r w:rsidRPr="00631EF4">
        <w:rPr>
          <w:rFonts w:ascii="Times New Roman" w:hAnsi="Times New Roman" w:cs="Times New Roman"/>
          <w:sz w:val="28"/>
          <w:szCs w:val="28"/>
          <w:lang w:val="ru-RU"/>
        </w:rPr>
        <w:lastRenderedPageBreak/>
        <w:t>определенной степени смягчать амплитуду циклических колебаний результатов, хотя и не устраняет базовую зависимость сектора от ценовой динамики сырьевых рынков и капиталоемкости производства.</w:t>
      </w:r>
    </w:p>
    <w:p w14:paraId="55F7F6A4"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Заметное влияние на привлекательность сектора также оказывает валютный фактор, наряду с изменениями фискальной политики и режимов 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модернизационных программ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[33]</w:t>
      </w:r>
      <w:r w:rsidRPr="00631EF4">
        <w:rPr>
          <w:rFonts w:ascii="Times New Roman" w:hAnsi="Times New Roman" w:cs="Times New Roman"/>
          <w:sz w:val="28"/>
          <w:szCs w:val="28"/>
          <w:lang w:val="ru-RU"/>
        </w:rPr>
        <w:t>.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w:t>
      </w:r>
      <w:r w:rsidRPr="00631EF4">
        <w:rPr>
          <w:rFonts w:ascii="Times New Roman" w:hAnsi="Times New Roman" w:cs="Times New Roman"/>
          <w:sz w:val="28"/>
          <w:szCs w:val="28"/>
          <w:lang w:val="ru-RU"/>
        </w:rPr>
        <w:t>. В условиях сохранения жесткой денежно-кредитной политики высокие процентные ставки ухудшают положение эмитентов с повышенной долговой нагрузкой, увеличивают стоимость обслуживания долга и способны сдерживать инвестиционные программы</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[17]</w:t>
      </w:r>
      <w:r w:rsidRPr="00631EF4">
        <w:rPr>
          <w:rFonts w:ascii="Times New Roman" w:hAnsi="Times New Roman" w:cs="Times New Roman"/>
          <w:sz w:val="28"/>
          <w:szCs w:val="28"/>
          <w:lang w:val="ru-RU"/>
        </w:rPr>
        <w:t>. В результате комбинация роста капитальных затрат, удорожания финансирования и налоговых изъятий ограничивает свободный денежный поток и снижает дивидендный потенциал, что формирует фундаментальный риск для портфельного инвестора и влияет на воспринимаемое качество портфеля как по критерию доходности, так и по критерию устойчивости.</w:t>
      </w:r>
    </w:p>
    <w:p w14:paraId="24BDD53C"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Во-первых, к ним относится качество управления фондом, проявляющееся в выборе общей </w:t>
      </w:r>
      <w:r w:rsidRPr="00631EF4">
        <w:rPr>
          <w:rFonts w:ascii="Times New Roman" w:hAnsi="Times New Roman" w:cs="Times New Roman"/>
          <w:sz w:val="28"/>
          <w:szCs w:val="28"/>
          <w:lang w:val="ru-RU"/>
        </w:rPr>
        <w:lastRenderedPageBreak/>
        <w:t>стратегии (активной либо пассивной), в заданной глубине диверсификации, в формализованных принципах отбора активов, а также в регулярности и дисциплине ребалансировки</w:t>
      </w:r>
      <w:r w:rsidR="00677407">
        <w:rPr>
          <w:rFonts w:ascii="Times New Roman" w:hAnsi="Times New Roman" w:cs="Times New Roman"/>
          <w:sz w:val="28"/>
          <w:szCs w:val="28"/>
          <w:lang w:val="ru-RU"/>
        </w:rPr>
        <w:t xml:space="preserve"> [20, с. 78</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этого, она снижает вероятность накопления нежелательной концентрации и позволяет корректировать портфель в ответ на смещение весов отдельных позиций. Диверсификация ориентирована на уменьшение концентрационного риска, однако ее результативность зависит от корректного учета корреляций, общих отраслевых драйверов и того обстоятельства, что в стрессовых фазах цикла зависимости между активами часто усиливаются. Во-вторых, важным внутренним компонентом выступает финансово-хозяйственное состояние компаний-эмитентов, включенных в портфель: способность генерировать денежные потоки, структура и стоимость долга, операционная рентабельность, инвестиционная дисциплина, а также качество корпоративного управления формируют фундаментальную основу стоимости ценных бумаг и определяют, насколько эмитент способен проходить неблагоприятные фазы цикла без разрушения финансовой устойчивости</w:t>
      </w:r>
      <w:r w:rsidR="00677407">
        <w:rPr>
          <w:rFonts w:ascii="Times New Roman" w:hAnsi="Times New Roman" w:cs="Times New Roman"/>
          <w:sz w:val="28"/>
          <w:szCs w:val="28"/>
          <w:lang w:val="ru-RU"/>
        </w:rPr>
        <w:t xml:space="preserve"> [11, с. 156</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21AA289A" w14:textId="77777777" w:rsidR="00631EF4" w:rsidRPr="00631EF4" w:rsidRDefault="00631EF4" w:rsidP="00CD1CF2">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w:t>
      </w:r>
      <w:r w:rsidRPr="00631EF4">
        <w:rPr>
          <w:rFonts w:ascii="Times New Roman" w:hAnsi="Times New Roman" w:cs="Times New Roman"/>
          <w:sz w:val="28"/>
          <w:szCs w:val="28"/>
          <w:lang w:val="ru-RU"/>
        </w:rPr>
        <w:lastRenderedPageBreak/>
        <w:t>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операционную гибкость в условиях санкционных ограничений, налоговых изменений и повышенной стоимости капитала, поскольку именно такие характеристики в конечном счете определяют устойчивость портфеля к внешним шокам и качество его риск-</w:t>
      </w:r>
      <w:proofErr w:type="spellStart"/>
      <w:r w:rsidRPr="00631EF4">
        <w:rPr>
          <w:rFonts w:ascii="Times New Roman" w:hAnsi="Times New Roman" w:cs="Times New Roman"/>
          <w:sz w:val="28"/>
          <w:szCs w:val="28"/>
          <w:lang w:val="ru-RU"/>
        </w:rPr>
        <w:t>доходностного</w:t>
      </w:r>
      <w:proofErr w:type="spellEnd"/>
      <w:r w:rsidRPr="00631EF4">
        <w:rPr>
          <w:rFonts w:ascii="Times New Roman" w:hAnsi="Times New Roman" w:cs="Times New Roman"/>
          <w:sz w:val="28"/>
          <w:szCs w:val="28"/>
          <w:lang w:val="ru-RU"/>
        </w:rPr>
        <w:t xml:space="preserve"> профиля</w:t>
      </w:r>
      <w:r w:rsidR="00677407">
        <w:rPr>
          <w:rFonts w:ascii="Times New Roman" w:hAnsi="Times New Roman" w:cs="Times New Roman"/>
          <w:sz w:val="28"/>
          <w:szCs w:val="28"/>
          <w:lang w:val="ru-RU"/>
        </w:rPr>
        <w:t xml:space="preserve"> [9, с. 320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17E47291" w14:textId="77777777" w:rsidR="00631EF4" w:rsidRPr="00631EF4" w:rsidRDefault="00631EF4" w:rsidP="00FF3E0E">
      <w:pPr>
        <w:pStyle w:val="a5"/>
        <w:spacing w:line="360" w:lineRule="auto"/>
        <w:contextualSpacing w:val="0"/>
        <w:rPr>
          <w:lang w:val="ru-RU"/>
        </w:rPr>
      </w:pPr>
    </w:p>
    <w:p w14:paraId="320BD741" w14:textId="77777777" w:rsidR="00631EF4" w:rsidRDefault="00793D47" w:rsidP="00FF3E0E">
      <w:pPr>
        <w:pStyle w:val="2"/>
        <w:numPr>
          <w:ilvl w:val="1"/>
          <w:numId w:val="13"/>
        </w:numPr>
        <w:spacing w:before="0" w:after="0" w:line="360" w:lineRule="auto"/>
        <w:rPr>
          <w:lang w:val="ru-RU"/>
        </w:rPr>
      </w:pPr>
      <w:bookmarkStart w:id="4" w:name="_Toc229218485"/>
      <w:r w:rsidRPr="00631EF4">
        <w:rPr>
          <w:lang w:val="ru-RU"/>
        </w:rPr>
        <w:t>Инвестиционная привлекательность предприятия как фактор качества инвестиционного портфеля</w:t>
      </w:r>
      <w:bookmarkEnd w:id="4"/>
    </w:p>
    <w:p w14:paraId="0B4DA365"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p>
    <w:p w14:paraId="3C8217CF"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w:t>
      </w:r>
      <w:r w:rsidR="00677407">
        <w:rPr>
          <w:rFonts w:ascii="Times New Roman" w:hAnsi="Times New Roman" w:cs="Times New Roman"/>
          <w:sz w:val="28"/>
          <w:szCs w:val="28"/>
          <w:lang w:val="ru-RU"/>
        </w:rPr>
        <w:t xml:space="preserve"> [10, с. 245</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[24, с. 45]</w:t>
      </w:r>
      <w:r w:rsidRPr="00631EF4">
        <w:rPr>
          <w:rFonts w:ascii="Times New Roman" w:hAnsi="Times New Roman" w:cs="Times New Roman"/>
          <w:sz w:val="28"/>
          <w:szCs w:val="28"/>
          <w:lang w:val="ru-RU"/>
        </w:rPr>
        <w:t xml:space="preserve">. Акция фиксирует долю участия в капитале и, следовательно, опосредованно отражает способность бизнеса формировать стоимость для собственников; облигация представляет собой долговое обязательство, напрямую зависящее от платежной дисциплины и структуры денежных потоков эмитента. Обе формы инвестиций, несмотря на различия в правах держателей, укоренены в финансово-экономической динамике предприятия, а потому неизбежно связаны с качеством корпоративного </w:t>
      </w:r>
      <w:r w:rsidRPr="00631EF4">
        <w:rPr>
          <w:rFonts w:ascii="Times New Roman" w:hAnsi="Times New Roman" w:cs="Times New Roman"/>
          <w:sz w:val="28"/>
          <w:szCs w:val="28"/>
          <w:lang w:val="ru-RU"/>
        </w:rPr>
        <w:lastRenderedPageBreak/>
        <w:t>управления, инвестиционной политикой и операционной эффективностью</w:t>
      </w:r>
      <w:r w:rsidR="00677407">
        <w:rPr>
          <w:rFonts w:ascii="Times New Roman" w:hAnsi="Times New Roman" w:cs="Times New Roman"/>
          <w:sz w:val="28"/>
          <w:szCs w:val="28"/>
          <w:lang w:val="ru-RU"/>
        </w:rPr>
        <w:t xml:space="preserve"> [17, с. 140</w:t>
      </w:r>
      <w:r w:rsidR="00677407" w:rsidRPr="00677407">
        <w:rPr>
          <w:rFonts w:ascii="Times New Roman" w:hAnsi="Times New Roman" w:cs="Times New Roman"/>
          <w:sz w:val="28"/>
          <w:szCs w:val="28"/>
          <w:lang w:val="ru-RU"/>
        </w:rPr>
        <w:t>]</w:t>
      </w:r>
      <w:r w:rsidRPr="00631EF4">
        <w:rPr>
          <w:rFonts w:ascii="Times New Roman" w:hAnsi="Times New Roman" w:cs="Times New Roman"/>
          <w:sz w:val="28"/>
          <w:szCs w:val="28"/>
          <w:lang w:val="ru-RU"/>
        </w:rPr>
        <w:t>.</w:t>
      </w:r>
    </w:p>
    <w:p w14:paraId="65D829ED"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диверсификация не обеспечивает надежной защиты капитала от обесценения в долгосрочном горизонте</w:t>
      </w:r>
      <w:r w:rsidR="00677407">
        <w:rPr>
          <w:rFonts w:ascii="Times New Roman" w:hAnsi="Times New Roman" w:cs="Times New Roman"/>
          <w:sz w:val="28"/>
          <w:szCs w:val="28"/>
          <w:lang w:val="ru-RU"/>
        </w:rPr>
        <w:t xml:space="preserve"> </w:t>
      </w:r>
      <w:r w:rsidR="00677407" w:rsidRPr="00677407">
        <w:rPr>
          <w:rFonts w:ascii="Times New Roman" w:hAnsi="Times New Roman" w:cs="Times New Roman"/>
          <w:sz w:val="28"/>
          <w:szCs w:val="28"/>
          <w:lang w:val="ru-RU"/>
        </w:rPr>
        <w:t>[9, с. 210]</w:t>
      </w:r>
      <w:r w:rsidRPr="00631EF4">
        <w:rPr>
          <w:rFonts w:ascii="Times New Roman" w:hAnsi="Times New Roman" w:cs="Times New Roman"/>
          <w:sz w:val="28"/>
          <w:szCs w:val="28"/>
          <w:lang w:val="ru-RU"/>
        </w:rPr>
        <w:t>. Практика показывает, что статистически «оптимальные» комбинации активов могут сохранять повышенную уязвимость к рискам, возникающим на уровне эмитента: от ухудшения условий рефинансирования и кассовых разрывов до стратегических ошибок, способных изменить траекторию бизнеса. Следовательно, параметры портфельного качества — ожидаемая доходность, ликвидность и устойчивость к рискам — в значительной мере детерминируются финансово-экономическими результатами базовых активов и характеристиками их источников стоимости, а не только формой распределения исторических доходностей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112]</w:t>
      </w:r>
      <w:r w:rsidRPr="00631EF4">
        <w:rPr>
          <w:rFonts w:ascii="Times New Roman" w:hAnsi="Times New Roman" w:cs="Times New Roman"/>
          <w:sz w:val="28"/>
          <w:szCs w:val="28"/>
          <w:lang w:val="ru-RU"/>
        </w:rPr>
        <w:t>.</w:t>
      </w:r>
    </w:p>
    <w:p w14:paraId="30CD5F1C"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44]</w:t>
      </w:r>
      <w:r w:rsidRPr="00631EF4">
        <w:rPr>
          <w:rFonts w:ascii="Times New Roman" w:hAnsi="Times New Roman" w:cs="Times New Roman"/>
          <w:sz w:val="28"/>
          <w:szCs w:val="28"/>
          <w:lang w:val="ru-RU"/>
        </w:rPr>
        <w:t xml:space="preserve">. Данная характеристика изменяется во времени под влиянием рыночной конъюнктуры, управленческих решений и структурных сдвигов в отрасли, поэтому ее корректнее рассматривать как результат совокупного действия факторов, а не как раз и навсегда заданный статус эмитента. В ее состав логично включать оценку стратегических перспектив, качества ресурсной </w:t>
      </w:r>
      <w:r w:rsidRPr="00631EF4">
        <w:rPr>
          <w:rFonts w:ascii="Times New Roman" w:hAnsi="Times New Roman" w:cs="Times New Roman"/>
          <w:sz w:val="28"/>
          <w:szCs w:val="28"/>
          <w:lang w:val="ru-RU"/>
        </w:rPr>
        <w:lastRenderedPageBreak/>
        <w:t>базы и технологий, конкурентоспособности продукции и рыночных позиций, а также ликвидности и финансовой устойчивости при приемлемом уровне риска. Для управляющего фондом высокая инвестиционная привлекательность базовых активов означает, что рыночные котировки в большей степени опираются на внутренние экономические основания — способность бизнеса создавать стоимость и обслуживать обязательства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120]</w:t>
      </w:r>
      <w:r w:rsidRPr="00631EF4">
        <w:rPr>
          <w:rFonts w:ascii="Times New Roman" w:hAnsi="Times New Roman" w:cs="Times New Roman"/>
          <w:sz w:val="28"/>
          <w:szCs w:val="28"/>
          <w:lang w:val="ru-RU"/>
        </w:rPr>
        <w:t>. Это, в свою очередь, снижает вероятность вовлеченности портфеля в спекулятивные ценовые искажения, а также способствует большей предсказуемости дивидендных и купонных выплат, поскольку последние оказываются подкреплены операционными результатами.</w:t>
      </w:r>
    </w:p>
    <w:p w14:paraId="51C6923B"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[25, с. 156]</w:t>
      </w:r>
      <w:r w:rsidRPr="00631EF4">
        <w:rPr>
          <w:rFonts w:ascii="Times New Roman" w:hAnsi="Times New Roman" w:cs="Times New Roman"/>
          <w:sz w:val="28"/>
          <w:szCs w:val="28"/>
          <w:lang w:val="ru-RU"/>
        </w:rPr>
        <w:t>. Вместе с тем для вывода о реальном качестве портфеля опора исключительно на статистические показатели представляется методологически ограниченной, особенно применительно к секторам, где фундаментальные факторы способны резко менять профиль рисков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 В капиталоемких и циклических отраслях динамика цен активов нередко отражает не только текущие настроения инвесторов, но и фундаментальные сдвиги в спросе, издержках, инвестиционных циклах, доступности финансирования и регуляторной среде. При этом статистические параметры прошлого периода фиксируют такие изменения преимущественно постфактум, не раскрывая причинно-следственных связей и не позволяя адекватно оценить трансформацию рисков до ее проявления в котировках.</w:t>
      </w:r>
    </w:p>
    <w:p w14:paraId="49E4D233"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[30, с. 19]</w:t>
      </w:r>
      <w:r w:rsidRPr="00631EF4">
        <w:rPr>
          <w:rFonts w:ascii="Times New Roman" w:hAnsi="Times New Roman" w:cs="Times New Roman"/>
          <w:sz w:val="28"/>
          <w:szCs w:val="28"/>
          <w:lang w:val="ru-RU"/>
        </w:rPr>
        <w:t>.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товарных рынков и логистическим ограничениям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[33, с. 11]</w:t>
      </w:r>
      <w:r w:rsidRPr="00631EF4">
        <w:rPr>
          <w:rFonts w:ascii="Times New Roman" w:hAnsi="Times New Roman" w:cs="Times New Roman"/>
          <w:sz w:val="28"/>
          <w:szCs w:val="28"/>
          <w:lang w:val="ru-RU"/>
        </w:rPr>
        <w:t>.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 вероятности кассовых разрывов, ухудшения способности обслуживать долг при падении спроса, росте стоимости фондирования или снижении экспортных цен, а также риске технологического устаревания и необходимости ускоренных капитальных вложений. Поэтому для оценки устойчивости и выявления источников доходности обоснованно привлекать фундаментальный анализ, предполагающий детальное рассмотрение отчетности, структуры капитала, операционного левериджа и показателей покрытия обязательств. Важным оказывается и учет специфики производственного цикла, поскольку длительность оборота капитала и зависимость от сырьевой базы нередко формируют скрытые ограничения, которые не проявляются в агрегированных рыночных метриках</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42]</w:t>
      </w:r>
      <w:r w:rsidRPr="00631EF4">
        <w:rPr>
          <w:rFonts w:ascii="Times New Roman" w:hAnsi="Times New Roman" w:cs="Times New Roman"/>
          <w:sz w:val="28"/>
          <w:szCs w:val="28"/>
          <w:lang w:val="ru-RU"/>
        </w:rPr>
        <w:t>.</w:t>
      </w:r>
    </w:p>
    <w:p w14:paraId="6A60D687" w14:textId="77777777" w:rsid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w:t>
      </w:r>
      <w:r w:rsidRPr="00631EF4">
        <w:rPr>
          <w:rFonts w:ascii="Times New Roman" w:hAnsi="Times New Roman" w:cs="Times New Roman"/>
          <w:sz w:val="28"/>
          <w:szCs w:val="28"/>
          <w:lang w:val="ru-RU"/>
        </w:rPr>
        <w:lastRenderedPageBreak/>
        <w:t>включая анализ бизнес-модели, устойчивости денежных потоков и качества управления рисками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[20, с. 110]</w:t>
      </w:r>
      <w:r w:rsidRPr="00631EF4">
        <w:rPr>
          <w:rFonts w:ascii="Times New Roman" w:hAnsi="Times New Roman" w:cs="Times New Roman"/>
          <w:sz w:val="28"/>
          <w:szCs w:val="28"/>
          <w:lang w:val="ru-RU"/>
        </w:rPr>
        <w:t>. Логика зависимости портфеля от базового актива делает обоснованным переход от преимущественного анализа рыночных метрик к применению методов финансового и фундаментального анализа предприятий. Такая постановка вопроса подготавливает дальнейшее рассмотрение процедур, позволяющих связать наблюдаемые рыночные показатели с экономическим содержанием деятельности эмитентов и с потенциальными изменениями их финансового профиля.</w:t>
      </w:r>
    </w:p>
    <w:p w14:paraId="2012D761"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0DDD7204" w14:textId="77777777" w:rsidR="00631EF4" w:rsidRPr="00FF3E0E" w:rsidRDefault="00631EF4" w:rsidP="00FF3E0E">
      <w:pPr>
        <w:spacing w:line="360" w:lineRule="auto"/>
        <w:ind w:firstLine="709"/>
        <w:jc w:val="center"/>
        <w:rPr>
          <w:rFonts w:ascii="Times New Roman" w:hAnsi="Times New Roman" w:cs="Times New Roman"/>
          <w:b/>
          <w:sz w:val="28"/>
          <w:szCs w:val="28"/>
          <w:lang w:val="ru-RU"/>
        </w:rPr>
      </w:pPr>
      <w:r w:rsidRPr="00FF3E0E">
        <w:rPr>
          <w:rFonts w:ascii="Times New Roman" w:hAnsi="Times New Roman" w:cs="Times New Roman"/>
          <w:b/>
          <w:sz w:val="28"/>
          <w:szCs w:val="28"/>
          <w:lang w:val="ru-RU"/>
        </w:rPr>
        <w:t>1.4. Методы определения инвестиционной привлекательности предприятия</w:t>
      </w:r>
    </w:p>
    <w:p w14:paraId="036BCBC3"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5974B62E"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22, с. 54]</w:t>
      </w:r>
      <w:r w:rsidRPr="00631EF4">
        <w:rPr>
          <w:rFonts w:ascii="Times New Roman" w:hAnsi="Times New Roman" w:cs="Times New Roman"/>
          <w:sz w:val="28"/>
          <w:szCs w:val="28"/>
          <w:lang w:val="ru-RU"/>
        </w:rPr>
        <w:t>.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12]</w:t>
      </w:r>
      <w:r w:rsidRPr="00631EF4">
        <w:rPr>
          <w:rFonts w:ascii="Times New Roman" w:hAnsi="Times New Roman" w:cs="Times New Roman"/>
          <w:sz w:val="28"/>
          <w:szCs w:val="28"/>
          <w:lang w:val="ru-RU"/>
        </w:rPr>
        <w:t xml:space="preserve">. В прикладном измерении он ориентирован на оценку внутренней (справедливой) стоимости бизнеса и на диагностику его способности генерировать устойчивые денежные потоки в условиях отраслевой и макроэкономической изменчивости.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которые позволяют перейти от </w:t>
      </w:r>
      <w:r w:rsidRPr="00631EF4">
        <w:rPr>
          <w:rFonts w:ascii="Times New Roman" w:hAnsi="Times New Roman" w:cs="Times New Roman"/>
          <w:sz w:val="28"/>
          <w:szCs w:val="28"/>
          <w:lang w:val="ru-RU"/>
        </w:rPr>
        <w:lastRenderedPageBreak/>
        <w:t>описания текущего состояния к вероятностной оценке негативных сценариев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24, с. 218]</w:t>
      </w:r>
      <w:r w:rsidRPr="00631EF4">
        <w:rPr>
          <w:rFonts w:ascii="Times New Roman" w:hAnsi="Times New Roman" w:cs="Times New Roman"/>
          <w:sz w:val="28"/>
          <w:szCs w:val="28"/>
          <w:lang w:val="ru-RU"/>
        </w:rPr>
        <w:t>.</w:t>
      </w:r>
    </w:p>
    <w:p w14:paraId="6D7DE158"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Коэффициентный анализ представляет собой метод исследования, основанный на расчете относительных показателей как соотношений между абсолютными величинами отчетности. Его преимущество состоит в том, что относительные показатели позволяют сопоставлять компании разного масштаба и выявлять тенденции, не сводимые к номинальному росту выручки или активов</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48]</w:t>
      </w:r>
      <w:r w:rsidRPr="00631EF4">
        <w:rPr>
          <w:rFonts w:ascii="Times New Roman" w:hAnsi="Times New Roman" w:cs="Times New Roman"/>
          <w:sz w:val="28"/>
          <w:szCs w:val="28"/>
          <w:lang w:val="ru-RU"/>
        </w:rPr>
        <w:t>. Для инвестора наибольший практический интерес традиционно представляют четыре группы коэффициентов, поскольку они дают возможность увязать оценку доходности с оценкой устойчивости и рисков, а также сформировать более структурированное представление о природе финансовых результатов:</w:t>
      </w:r>
    </w:p>
    <w:p w14:paraId="113AD69F"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В условиях нестабильной конъюнктуры и роста стоимости фондирования данная группа показателей приобретает дополнительную значимость, поскольку доступ к ликвидности может оказывать прямое влияние на способность поддерживать операционную непрерывность и выполнять ковенанты по кредитным соглашениям</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[15, с. 215]</w:t>
      </w:r>
      <w:r w:rsidRPr="00FF3E0E">
        <w:rPr>
          <w:rFonts w:ascii="Times New Roman" w:hAnsi="Times New Roman" w:cs="Times New Roman"/>
          <w:sz w:val="28"/>
          <w:szCs w:val="28"/>
          <w:lang w:val="ru-RU"/>
        </w:rPr>
        <w:t>.</w:t>
      </w:r>
    </w:p>
    <w:p w14:paraId="194849BC"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w:t>
      </w:r>
      <w:r w:rsidRPr="00FF3E0E">
        <w:rPr>
          <w:rFonts w:ascii="Times New Roman" w:hAnsi="Times New Roman" w:cs="Times New Roman"/>
          <w:sz w:val="28"/>
          <w:szCs w:val="28"/>
          <w:lang w:val="ru-RU"/>
        </w:rPr>
        <w:lastRenderedPageBreak/>
        <w:t>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Чрезмерная долговая нагрузка, как правило, снижает устойчивость к шокам спроса и цен, ограничивает инвестиционные возможности в фазах неблагоприятного цикла и может ухудшать восприятие компании рынком, в том числе через рост требуемой доходности по долговым инструментам и повышение дисконта в оценке капитала</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[21, с. 140]</w:t>
      </w:r>
      <w:r w:rsidRPr="00FF3E0E">
        <w:rPr>
          <w:rFonts w:ascii="Times New Roman" w:hAnsi="Times New Roman" w:cs="Times New Roman"/>
          <w:sz w:val="28"/>
          <w:szCs w:val="28"/>
          <w:lang w:val="ru-RU"/>
        </w:rPr>
        <w:t>.</w:t>
      </w:r>
    </w:p>
    <w:p w14:paraId="05417F14"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и насколько согласованы производственный цикл и расчетная дисциплина с контрагентами. Более высокая деловая активность нередко способствует укреплению платежеспособности и снижает потребность в дополнительном внешнем финансировании, однако интерпретация требует учета отраслевых норм: ускорение оборота может сопровождаться ростом операционных рисков, если достигается за счет снижения запасов ниже технологически безопасного уровня или за счет смягчения условий продаж</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[16, с. 56]</w:t>
      </w:r>
      <w:r w:rsidRPr="00FF3E0E">
        <w:rPr>
          <w:rFonts w:ascii="Times New Roman" w:hAnsi="Times New Roman" w:cs="Times New Roman"/>
          <w:sz w:val="28"/>
          <w:szCs w:val="28"/>
          <w:lang w:val="ru-RU"/>
        </w:rPr>
        <w:t>.</w:t>
      </w:r>
    </w:p>
    <w:p w14:paraId="3CB4C435" w14:textId="77777777" w:rsidR="00631EF4" w:rsidRPr="00FF3E0E" w:rsidRDefault="00631EF4" w:rsidP="00FF3E0E">
      <w:pPr>
        <w:pStyle w:val="a5"/>
        <w:numPr>
          <w:ilvl w:val="0"/>
          <w:numId w:val="17"/>
        </w:numPr>
        <w:tabs>
          <w:tab w:val="left" w:pos="993"/>
        </w:tabs>
        <w:spacing w:line="360" w:lineRule="auto"/>
        <w:ind w:left="0" w:firstLine="709"/>
        <w:jc w:val="both"/>
        <w:rPr>
          <w:rFonts w:ascii="Times New Roman" w:hAnsi="Times New Roman" w:cs="Times New Roman"/>
          <w:sz w:val="28"/>
          <w:szCs w:val="28"/>
          <w:lang w:val="ru-RU"/>
        </w:rPr>
      </w:pPr>
      <w:r w:rsidRPr="00FF3E0E">
        <w:rPr>
          <w:rFonts w:ascii="Times New Roman" w:hAnsi="Times New Roman" w:cs="Times New Roman"/>
          <w:sz w:val="28"/>
          <w:szCs w:val="28"/>
          <w:lang w:val="ru-RU"/>
        </w:rPr>
        <w:t xml:space="preserve">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(ROA), собственного капитала (ROE) и продаж (ROS), поскольку они позволяют сопоставлять эффективность разных эмитентов и увязывать финансовый результат с </w:t>
      </w:r>
      <w:r w:rsidRPr="00FF3E0E">
        <w:rPr>
          <w:rFonts w:ascii="Times New Roman" w:hAnsi="Times New Roman" w:cs="Times New Roman"/>
          <w:sz w:val="28"/>
          <w:szCs w:val="28"/>
          <w:lang w:val="ru-RU"/>
        </w:rPr>
        <w:lastRenderedPageBreak/>
        <w:t>масштабом используемых ресурсов и структурой финансирования. При этом для корректной интерпретации важны уточнения: ROE может временно повышаться вследствие роста доли заемного капитала, а ROS — меняться под влиянием ценового цикла и структуры продуктовой корзины, что требует сопоставления с операционной маржинальностью и уровнем капитальных затрат</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[13, с. 115]</w:t>
      </w:r>
      <w:r w:rsidRPr="00FF3E0E">
        <w:rPr>
          <w:rFonts w:ascii="Times New Roman" w:hAnsi="Times New Roman" w:cs="Times New Roman"/>
          <w:sz w:val="28"/>
          <w:szCs w:val="28"/>
          <w:lang w:val="ru-RU"/>
        </w:rPr>
        <w:t>.</w:t>
      </w:r>
    </w:p>
    <w:p w14:paraId="7DD809F4"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Существенным элементом оценки выступает диагностика риска финансовой несостоятельности. Для портфельного инвестора кредитный риск эмитента имеет принципиальное значение, поскольку ухудшение платежеспособности обычно приводит к резкому пересмотру стоимости ценных бумаг и, следовательно, к снижению качества портфеля как по доходности, так и по рисковому профилю.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Z-счет Э. Альтмана, основанный на комбинированном учете показателей ликвидности, рентабельности и структуры капитала и интерпретируемый как индикатор вероятностного приближения к зоне финансового неблагополучия. В прикладных исследованиях также используется модель Р. </w:t>
      </w:r>
      <w:proofErr w:type="spellStart"/>
      <w:r w:rsidRPr="00631EF4">
        <w:rPr>
          <w:rFonts w:ascii="Times New Roman" w:hAnsi="Times New Roman" w:cs="Times New Roman"/>
          <w:sz w:val="28"/>
          <w:szCs w:val="28"/>
          <w:lang w:val="ru-RU"/>
        </w:rPr>
        <w:t>Таффлера</w:t>
      </w:r>
      <w:proofErr w:type="spellEnd"/>
      <w:r w:rsidRPr="00631EF4">
        <w:rPr>
          <w:rFonts w:ascii="Times New Roman" w:hAnsi="Times New Roman" w:cs="Times New Roman"/>
          <w:sz w:val="28"/>
          <w:szCs w:val="28"/>
          <w:lang w:val="ru-RU"/>
        </w:rPr>
        <w:t>, представляющая собой линейную регрессионную конструкцию, оценивающую финансовое состояние по набору коэффициентов; ее применение может быть оправдано как средство сопоставительной диагностики при условии учета ограничений, связанных с переносимостью параметров между рынками и отраслями</w:t>
      </w:r>
      <w:r w:rsidR="00220139">
        <w:rPr>
          <w:rFonts w:ascii="Times New Roman" w:hAnsi="Times New Roman" w:cs="Times New Roman"/>
          <w:sz w:val="28"/>
          <w:szCs w:val="28"/>
          <w:lang w:val="ru-RU"/>
        </w:rPr>
        <w:t xml:space="preserve"> </w:t>
      </w:r>
      <w:r w:rsidR="00220139" w:rsidRPr="00220139">
        <w:rPr>
          <w:rFonts w:ascii="Times New Roman" w:hAnsi="Times New Roman" w:cs="Times New Roman"/>
          <w:sz w:val="28"/>
          <w:szCs w:val="28"/>
          <w:lang w:val="ru-RU"/>
        </w:rPr>
        <w:t>[19, с. 312]</w:t>
      </w:r>
      <w:r w:rsidRPr="00631EF4">
        <w:rPr>
          <w:rFonts w:ascii="Times New Roman" w:hAnsi="Times New Roman" w:cs="Times New Roman"/>
          <w:sz w:val="28"/>
          <w:szCs w:val="28"/>
          <w:lang w:val="ru-RU"/>
        </w:rPr>
        <w:t>.</w:t>
      </w:r>
    </w:p>
    <w:p w14:paraId="6402DAA3"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Наряду с фундаментальным анализом эмитентов значимую роль сохраняют метрики портфельной теории, предназначенные для оценки эффективности управления портфелем как целостной системой. </w:t>
      </w:r>
      <w:r w:rsidRPr="00631EF4">
        <w:rPr>
          <w:rFonts w:ascii="Times New Roman" w:hAnsi="Times New Roman" w:cs="Times New Roman"/>
          <w:sz w:val="28"/>
          <w:szCs w:val="28"/>
          <w:lang w:val="ru-RU"/>
        </w:rPr>
        <w:lastRenderedPageBreak/>
        <w:t>Методологической основой многих таких показателей выступает модель оценки капитальных активов (CAPM), разделяющая риск на систематический и несистематический и тем самым предлагающая схему сопоставления доходности с рыночной экспозицией</w:t>
      </w:r>
      <w:r w:rsidR="00220139">
        <w:rPr>
          <w:rFonts w:ascii="Times New Roman" w:hAnsi="Times New Roman" w:cs="Times New Roman"/>
          <w:sz w:val="28"/>
          <w:szCs w:val="28"/>
          <w:lang w:val="ru-RU"/>
        </w:rPr>
        <w:t xml:space="preserve"> </w:t>
      </w:r>
      <w:r w:rsidR="00710322">
        <w:rPr>
          <w:rFonts w:ascii="Times New Roman" w:hAnsi="Times New Roman" w:cs="Times New Roman"/>
          <w:sz w:val="28"/>
          <w:szCs w:val="28"/>
          <w:lang w:val="ru-RU"/>
        </w:rPr>
        <w:t>[</w:t>
      </w:r>
      <w:r w:rsidR="00220139" w:rsidRPr="00220139">
        <w:rPr>
          <w:rFonts w:ascii="Times New Roman" w:hAnsi="Times New Roman" w:cs="Times New Roman"/>
          <w:sz w:val="28"/>
          <w:szCs w:val="28"/>
          <w:lang w:val="ru-RU"/>
        </w:rPr>
        <w:t>20, с. 112]</w:t>
      </w:r>
      <w:r w:rsidRPr="00631EF4">
        <w:rPr>
          <w:rFonts w:ascii="Times New Roman" w:hAnsi="Times New Roman" w:cs="Times New Roman"/>
          <w:sz w:val="28"/>
          <w:szCs w:val="28"/>
          <w:lang w:val="ru-RU"/>
        </w:rPr>
        <w:t>. В классическом изложении используются следующие показатели:</w:t>
      </w:r>
    </w:p>
    <w:p w14:paraId="5C8A88F0"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Коэффициент Шарпа (</w:t>
      </w:r>
      <w:proofErr w:type="spellStart"/>
      <w:r w:rsidRPr="00631EF4">
        <w:rPr>
          <w:rFonts w:ascii="Times New Roman" w:hAnsi="Times New Roman" w:cs="Times New Roman"/>
          <w:sz w:val="28"/>
          <w:szCs w:val="28"/>
          <w:lang w:val="ru-RU"/>
        </w:rPr>
        <w:t>Sharpe</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измеряет избыточную доходность портфеля на единицу совокупного риска</w:t>
      </w:r>
      <w:r w:rsidR="00FF3E0E">
        <w:rPr>
          <w:rFonts w:ascii="Times New Roman" w:hAnsi="Times New Roman" w:cs="Times New Roman"/>
          <w:sz w:val="28"/>
          <w:szCs w:val="28"/>
          <w:lang w:val="ru-RU"/>
        </w:rPr>
        <w:t xml:space="preserve"> (1)</w:t>
      </w:r>
      <w:r w:rsidRPr="00631EF4">
        <w:rPr>
          <w:rFonts w:ascii="Times New Roman" w:hAnsi="Times New Roman" w:cs="Times New Roman"/>
          <w:sz w:val="28"/>
          <w:szCs w:val="28"/>
          <w:lang w:val="ru-RU"/>
        </w:rPr>
        <w:t>:</w:t>
      </w:r>
    </w:p>
    <w:p w14:paraId="49B44457"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Sharpe</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(1)</w:t>
      </w:r>
    </w:p>
    <w:p w14:paraId="23AE9FB0"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средняя доходность инвестиционного портфеля;</w:t>
      </w:r>
    </w:p>
    <w:p w14:paraId="7D30F3DB" w14:textId="77777777" w:rsidR="00FF3E0E" w:rsidRDefault="00000000" w:rsidP="00631EF4">
      <w:pPr>
        <w:spacing w:line="360" w:lineRule="auto"/>
        <w:ind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oMath>
      <w:r w:rsidR="00631EF4" w:rsidRPr="00631EF4">
        <w:rPr>
          <w:rFonts w:ascii="Times New Roman" w:hAnsi="Times New Roman" w:cs="Times New Roman"/>
          <w:sz w:val="28"/>
          <w:szCs w:val="28"/>
          <w:lang w:val="ru-RU"/>
        </w:rPr>
        <w:t xml:space="preserve"> — средняя доходность безрискового актива;</w:t>
      </w:r>
    </w:p>
    <w:p w14:paraId="5A081F5A" w14:textId="77777777" w:rsidR="00FF3E0E"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стандартное отклонение доходностей портфеля (общий риск). </w:t>
      </w:r>
    </w:p>
    <w:p w14:paraId="04A7B736"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Показатель интерпретируется как премия за принятый риск;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 хотя выводы зависят от горизонта, распределения доходностей и корректности выбора безрисковой ставки.</w:t>
      </w:r>
    </w:p>
    <w:p w14:paraId="312C3B3B"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Коэффициент </w:t>
      </w:r>
      <w:proofErr w:type="spellStart"/>
      <w:r w:rsidRPr="00631EF4">
        <w:rPr>
          <w:rFonts w:ascii="Times New Roman" w:hAnsi="Times New Roman" w:cs="Times New Roman"/>
          <w:sz w:val="28"/>
          <w:szCs w:val="28"/>
          <w:lang w:val="ru-RU"/>
        </w:rPr>
        <w:t>Сортино</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Sortino</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xml:space="preserve">) уточняет оценку риска, используя </w:t>
      </w:r>
      <w:proofErr w:type="spellStart"/>
      <w:r w:rsidRPr="00631EF4">
        <w:rPr>
          <w:rFonts w:ascii="Times New Roman" w:hAnsi="Times New Roman" w:cs="Times New Roman"/>
          <w:sz w:val="28"/>
          <w:szCs w:val="28"/>
          <w:lang w:val="ru-RU"/>
        </w:rPr>
        <w:t>полудисперсию</w:t>
      </w:r>
      <w:proofErr w:type="spellEnd"/>
      <w:r w:rsidRPr="00631EF4">
        <w:rPr>
          <w:rFonts w:ascii="Times New Roman" w:hAnsi="Times New Roman" w:cs="Times New Roman"/>
          <w:sz w:val="28"/>
          <w:szCs w:val="28"/>
          <w:lang w:val="ru-RU"/>
        </w:rPr>
        <w:t xml:space="preserve"> и фокусируясь на отрицательных отклонениях</w:t>
      </w:r>
      <w:r w:rsidR="00FF3E0E">
        <w:rPr>
          <w:rFonts w:ascii="Times New Roman" w:hAnsi="Times New Roman" w:cs="Times New Roman"/>
          <w:sz w:val="28"/>
          <w:szCs w:val="28"/>
          <w:lang w:val="ru-RU"/>
        </w:rPr>
        <w:t xml:space="preserve"> (2)</w:t>
      </w:r>
      <w:r w:rsidRPr="00631EF4">
        <w:rPr>
          <w:rFonts w:ascii="Times New Roman" w:hAnsi="Times New Roman" w:cs="Times New Roman"/>
          <w:sz w:val="28"/>
          <w:szCs w:val="28"/>
          <w:lang w:val="ru-RU"/>
        </w:rPr>
        <w:t>:</w:t>
      </w:r>
    </w:p>
    <w:p w14:paraId="08E90B26"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Sortino</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σ</m:t>
                </m:r>
              </m:e>
              <m:sub>
                <m:r>
                  <w:rPr>
                    <w:rFonts w:ascii="Cambria Math" w:hAnsi="Cambria Math" w:cs="Times New Roman"/>
                    <w:sz w:val="28"/>
                    <w:szCs w:val="28"/>
                    <w:lang w:val="ru-RU"/>
                  </w:rPr>
                  <m:t>d</m:t>
                </m:r>
              </m:sub>
            </m:sSub>
          </m:e>
        </m:d>
      </m:oMath>
      <w:r>
        <w:rPr>
          <w:rFonts w:ascii="Times New Roman" w:hAnsi="Times New Roman" w:cs="Times New Roman"/>
          <w:sz w:val="28"/>
          <w:szCs w:val="28"/>
          <w:lang w:val="ru-RU"/>
        </w:rPr>
        <w:t>,                               (2)</w:t>
      </w:r>
    </w:p>
    <w:p w14:paraId="6F5D5392"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sigm</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d</m:t>
            </m:r>
          </m:sub>
        </m:sSub>
      </m:oMath>
      <w:r w:rsidRPr="00631EF4">
        <w:rPr>
          <w:rFonts w:ascii="Times New Roman" w:hAnsi="Times New Roman" w:cs="Times New Roman"/>
          <w:sz w:val="28"/>
          <w:szCs w:val="28"/>
          <w:lang w:val="ru-RU"/>
        </w:rPr>
        <w:t xml:space="preserve">— стандартное отклонение убытков (downside deviation). </w:t>
      </w:r>
    </w:p>
    <w:p w14:paraId="6A5BECAA"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В прикладном анализе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и тем самым ближе к предпочтениям инвестора, ориентированного на ограничение просадок.</w:t>
      </w:r>
    </w:p>
    <w:p w14:paraId="639333DC"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lastRenderedPageBreak/>
        <w:t xml:space="preserve">Коэффициент </w:t>
      </w:r>
      <w:proofErr w:type="spellStart"/>
      <w:r w:rsidRPr="00631EF4">
        <w:rPr>
          <w:rFonts w:ascii="Times New Roman" w:hAnsi="Times New Roman" w:cs="Times New Roman"/>
          <w:sz w:val="28"/>
          <w:szCs w:val="28"/>
          <w:lang w:val="ru-RU"/>
        </w:rPr>
        <w:t>Трейнора</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Treynor</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ratio</w:t>
      </w:r>
      <w:proofErr w:type="spellEnd"/>
      <w:r w:rsidRPr="00631EF4">
        <w:rPr>
          <w:rFonts w:ascii="Times New Roman" w:hAnsi="Times New Roman" w:cs="Times New Roman"/>
          <w:sz w:val="28"/>
          <w:szCs w:val="28"/>
          <w:lang w:val="ru-RU"/>
        </w:rPr>
        <w:t>) соотносит избыточную доходность с величиной систематического риска</w:t>
      </w:r>
      <w:r w:rsidR="00FF3E0E">
        <w:rPr>
          <w:rFonts w:ascii="Times New Roman" w:hAnsi="Times New Roman" w:cs="Times New Roman"/>
          <w:sz w:val="28"/>
          <w:szCs w:val="28"/>
          <w:lang w:val="ru-RU"/>
        </w:rPr>
        <w:t xml:space="preserve"> (3)</w:t>
      </w:r>
      <w:r w:rsidRPr="00631EF4">
        <w:rPr>
          <w:rFonts w:ascii="Times New Roman" w:hAnsi="Times New Roman" w:cs="Times New Roman"/>
          <w:sz w:val="28"/>
          <w:szCs w:val="28"/>
          <w:lang w:val="ru-RU"/>
        </w:rPr>
        <w:t>:</w:t>
      </w:r>
    </w:p>
    <w:p w14:paraId="213973AA" w14:textId="77777777" w:rsidR="00631EF4" w:rsidRPr="00631EF4"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K</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Treynor</m:t>
                </m:r>
              </m:e>
            </m:d>
          </m:sub>
        </m:sSub>
        <m:r>
          <w:rPr>
            <w:rFonts w:ascii="Cambria Math" w:hAnsi="Cambria Math" w:cs="Times New Roman"/>
            <w:sz w:val="28"/>
            <w:szCs w:val="28"/>
            <w:lang w:val="ru-RU"/>
          </w:rPr>
          <m:t>=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f</m:t>
                </m:r>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ru-RU"/>
                  </w:rPr>
                  <m:t>p</m:t>
                </m:r>
              </m:sub>
            </m:sSub>
          </m:e>
        </m:d>
      </m:oMath>
      <w:r>
        <w:rPr>
          <w:rFonts w:ascii="Times New Roman" w:hAnsi="Times New Roman" w:cs="Times New Roman"/>
          <w:sz w:val="28"/>
          <w:szCs w:val="28"/>
          <w:lang w:val="ru-RU"/>
        </w:rPr>
        <w:t>,                             (3)</w:t>
      </w:r>
    </w:p>
    <w:p w14:paraId="3416F416"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bet</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p</m:t>
            </m:r>
          </m:sub>
        </m:sSub>
      </m:oMath>
      <w:r w:rsidRPr="00631EF4">
        <w:rPr>
          <w:rFonts w:ascii="Times New Roman" w:hAnsi="Times New Roman" w:cs="Times New Roman"/>
          <w:sz w:val="28"/>
          <w:szCs w:val="28"/>
          <w:lang w:val="ru-RU"/>
        </w:rPr>
        <w:t xml:space="preserve"> — бета-коэффициент портфеля, интерпретируемый как мера рыночного риска. </w:t>
      </w:r>
    </w:p>
    <w:p w14:paraId="6F9EB3BA"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Данный показатель уместен в тех случаях, когда предполагается, что несистематический риск в портфеле в значительной степени диверсифицирован, и ключевым источником неопределенности остается рыночная компонента.</w:t>
      </w:r>
    </w:p>
    <w:p w14:paraId="3661C834"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Альфа Дженсена (</w:t>
      </w:r>
      <w:proofErr w:type="spellStart"/>
      <w:r w:rsidRPr="00631EF4">
        <w:rPr>
          <w:rFonts w:ascii="Times New Roman" w:hAnsi="Times New Roman" w:cs="Times New Roman"/>
          <w:sz w:val="28"/>
          <w:szCs w:val="28"/>
          <w:lang w:val="ru-RU"/>
        </w:rPr>
        <w:t>Jensen's</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alpha</w:t>
      </w:r>
      <w:proofErr w:type="spellEnd"/>
      <w:r w:rsidRPr="00631EF4">
        <w:rPr>
          <w:rFonts w:ascii="Times New Roman" w:hAnsi="Times New Roman" w:cs="Times New Roman"/>
          <w:sz w:val="28"/>
          <w:szCs w:val="28"/>
          <w:lang w:val="ru-RU"/>
        </w:rPr>
        <w:t>) оценивает абсолютную величину сверхдоходности относительно прогнозируемой CAPM</w:t>
      </w:r>
      <w:r w:rsidR="00FF3E0E">
        <w:rPr>
          <w:rFonts w:ascii="Times New Roman" w:hAnsi="Times New Roman" w:cs="Times New Roman"/>
          <w:sz w:val="28"/>
          <w:szCs w:val="28"/>
          <w:lang w:val="ru-RU"/>
        </w:rPr>
        <w:t xml:space="preserve"> (4)</w:t>
      </w:r>
      <w:r w:rsidRPr="00631EF4">
        <w:rPr>
          <w:rFonts w:ascii="Times New Roman" w:hAnsi="Times New Roman" w:cs="Times New Roman"/>
          <w:sz w:val="28"/>
          <w:szCs w:val="28"/>
          <w:lang w:val="ru-RU"/>
        </w:rPr>
        <w:t>:</w:t>
      </w:r>
    </w:p>
    <w:p w14:paraId="604A4071" w14:textId="77777777" w:rsidR="00631EF4" w:rsidRPr="005F2182" w:rsidRDefault="00FF3E0E"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α=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en-US"/>
                      </w:rPr>
                      <m:t>r</m:t>
                    </m:r>
                  </m:e>
                  <m:sub>
                    <m:r>
                      <w:rPr>
                        <w:rFonts w:ascii="Cambria Math" w:hAnsi="Cambria Math" w:cs="Times New Roman"/>
                        <w:sz w:val="28"/>
                        <w:szCs w:val="28"/>
                        <w:lang w:val="en-US"/>
                      </w:rPr>
                      <m:t>f</m:t>
                    </m:r>
                  </m:sub>
                </m:sSub>
              </m:e>
            </m:d>
          </m:e>
        </m:d>
      </m:oMath>
      <w:r>
        <w:rPr>
          <w:rFonts w:ascii="Times New Roman" w:hAnsi="Times New Roman" w:cs="Times New Roman"/>
          <w:sz w:val="28"/>
          <w:szCs w:val="28"/>
          <w:lang w:val="ru-RU"/>
        </w:rPr>
        <w:t>,                                    (4)</w:t>
      </w:r>
    </w:p>
    <w:p w14:paraId="1B9708D1" w14:textId="77777777" w:rsidR="00FF3E0E"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oMath>
      <w:r w:rsidRPr="00631EF4">
        <w:rPr>
          <w:rFonts w:ascii="Times New Roman" w:hAnsi="Times New Roman" w:cs="Times New Roman"/>
          <w:sz w:val="28"/>
          <w:szCs w:val="28"/>
          <w:lang w:val="ru-RU"/>
        </w:rPr>
        <w:t xml:space="preserve"> — ожидаемая среднерыночная доходность. </w:t>
      </w:r>
    </w:p>
    <w:p w14:paraId="0C3A04A2"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Положительная альфа обычно трактуется как свидетельство превышения портфелем рыночных ожиданий при заданной величине систематического риска, однако интерпретация требует осторожности из-за чувствительности к выбору бенчмарка и горизонта оценки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158]</w:t>
      </w:r>
      <w:r w:rsidRPr="00631EF4">
        <w:rPr>
          <w:rFonts w:ascii="Times New Roman" w:hAnsi="Times New Roman" w:cs="Times New Roman"/>
          <w:sz w:val="28"/>
          <w:szCs w:val="28"/>
          <w:lang w:val="ru-RU"/>
        </w:rPr>
        <w:t>.</w:t>
      </w:r>
    </w:p>
    <w:p w14:paraId="28D07200"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Бета-коэффициент </w:t>
      </w:r>
      <w:r w:rsidR="00631EF4" w:rsidRPr="00631EF4">
        <w:rPr>
          <w:rFonts w:ascii="Times New Roman" w:hAnsi="Times New Roman" w:cs="Times New Roman"/>
          <w:sz w:val="28"/>
          <w:szCs w:val="28"/>
          <w:lang w:val="ru-RU"/>
        </w:rPr>
        <w:t>(</w:t>
      </w:r>
      <m:oMath>
        <m:r>
          <w:rPr>
            <w:rFonts w:ascii="Cambria Math" w:hAnsi="Cambria Math" w:cs="Times New Roman"/>
            <w:sz w:val="28"/>
            <w:szCs w:val="28"/>
            <w:lang w:val="ru-RU"/>
          </w:rPr>
          <m:t>beta</m:t>
        </m:r>
      </m:oMath>
      <w:r w:rsidR="00631EF4" w:rsidRPr="00631EF4">
        <w:rPr>
          <w:rFonts w:ascii="Times New Roman" w:hAnsi="Times New Roman" w:cs="Times New Roman"/>
          <w:sz w:val="28"/>
          <w:szCs w:val="28"/>
          <w:lang w:val="ru-RU"/>
        </w:rPr>
        <w:t>) отражает чувствительность портфеля к изменению рыночного бенчмарка</w:t>
      </w:r>
      <w:r>
        <w:rPr>
          <w:rFonts w:ascii="Times New Roman" w:hAnsi="Times New Roman" w:cs="Times New Roman"/>
          <w:sz w:val="28"/>
          <w:szCs w:val="28"/>
          <w:lang w:val="ru-RU"/>
        </w:rPr>
        <w:t xml:space="preserve"> (5)</w:t>
      </w:r>
      <w:r w:rsidR="00631EF4" w:rsidRPr="00631EF4">
        <w:rPr>
          <w:rFonts w:ascii="Times New Roman" w:hAnsi="Times New Roman" w:cs="Times New Roman"/>
          <w:sz w:val="28"/>
          <w:szCs w:val="28"/>
          <w:lang w:val="ru-RU"/>
        </w:rPr>
        <w:t>:</w:t>
      </w:r>
    </w:p>
    <w:p w14:paraId="5FB237D9" w14:textId="77777777" w:rsidR="00631EF4" w:rsidRPr="004605F7"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ru-RU"/>
              </w:rPr>
              <m:t xml:space="preserve"> </m:t>
            </m:r>
            <m:r>
              <w:rPr>
                <w:rFonts w:ascii="Cambria Math" w:hAnsi="Cambria Math" w:cs="Times New Roman"/>
                <w:sz w:val="28"/>
                <w:szCs w:val="28"/>
                <w:lang w:val="en-US"/>
              </w:rPr>
              <m:t>β</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r>
          <w:rPr>
            <w:rFonts w:ascii="Cambria Math" w:hAnsi="Cambria Math" w:cs="Times New Roman"/>
            <w:sz w:val="28"/>
            <w:szCs w:val="28"/>
            <w:lang w:val="en-US"/>
          </w:rPr>
          <m:t>frac</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Cov</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m</m:t>
                    </m:r>
                  </m:sub>
                </m:sSub>
              </m:e>
            </m:d>
          </m:e>
        </m:d>
        <m:d>
          <m:dPr>
            <m:begChr m:val="{"/>
            <m:endChr m:val="}"/>
            <m:ctrlPr>
              <w:rPr>
                <w:rFonts w:ascii="Cambria Math" w:hAnsi="Cambria Math" w:cs="Times New Roman"/>
                <w:i/>
                <w:sz w:val="28"/>
                <w:szCs w:val="28"/>
                <w:lang w:val="en-US"/>
              </w:rPr>
            </m:ctrlPr>
          </m:dPr>
          <m:e>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σ</m:t>
                </m:r>
              </m:e>
              <m:sub>
                <m:r>
                  <w:rPr>
                    <w:rFonts w:ascii="Cambria Math" w:hAnsi="Cambria Math" w:cs="Times New Roman"/>
                    <w:sz w:val="28"/>
                    <w:szCs w:val="28"/>
                    <w:lang w:val="en-US"/>
                  </w:rPr>
                  <m:t>m</m:t>
                </m:r>
              </m:sub>
              <m:sup>
                <m:r>
                  <w:rPr>
                    <w:rFonts w:ascii="Cambria Math" w:hAnsi="Cambria Math" w:cs="Times New Roman"/>
                    <w:sz w:val="28"/>
                    <w:szCs w:val="28"/>
                    <w:lang w:val="ru-RU"/>
                  </w:rPr>
                  <m:t>2</m:t>
                </m:r>
              </m:sup>
            </m:sSubSup>
          </m:e>
        </m:d>
      </m:oMath>
      <w:r>
        <w:rPr>
          <w:rFonts w:ascii="Times New Roman" w:hAnsi="Times New Roman" w:cs="Times New Roman"/>
          <w:sz w:val="28"/>
          <w:szCs w:val="28"/>
          <w:lang w:val="ru-RU"/>
        </w:rPr>
        <w:t>,                                            (5)</w:t>
      </w:r>
    </w:p>
    <w:p w14:paraId="53157578" w14:textId="77777777" w:rsidR="004605F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где </w:t>
      </w:r>
      <m:oMath>
        <m:r>
          <w:rPr>
            <w:rFonts w:ascii="Cambria Math" w:hAnsi="Cambria Math" w:cs="Times New Roman"/>
            <w:sz w:val="28"/>
            <w:szCs w:val="28"/>
            <w:lang w:val="ru-RU"/>
          </w:rPr>
          <m:t>Cov</m:t>
        </m:r>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p</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r>
                  <w:rPr>
                    <w:rFonts w:ascii="Cambria Math" w:hAnsi="Cambria Math" w:cs="Times New Roman"/>
                    <w:sz w:val="28"/>
                    <w:szCs w:val="28"/>
                    <w:lang w:val="ru-RU"/>
                  </w:rPr>
                  <m:t>m</m:t>
                </m:r>
              </m:sub>
            </m:sSub>
          </m:e>
        </m:d>
      </m:oMath>
      <w:r w:rsidRPr="00631EF4">
        <w:rPr>
          <w:rFonts w:ascii="Times New Roman" w:hAnsi="Times New Roman" w:cs="Times New Roman"/>
          <w:sz w:val="28"/>
          <w:szCs w:val="28"/>
          <w:lang w:val="ru-RU"/>
        </w:rPr>
        <w:t xml:space="preserve"> — ковариация доходностей портфеля и рынка;</w:t>
      </w:r>
    </w:p>
    <w:p w14:paraId="79485D2C" w14:textId="77777777" w:rsidR="004605F7" w:rsidRDefault="00631EF4" w:rsidP="00631EF4">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lang w:val="ru-RU"/>
          </w:rPr>
          <m:t>sigm</m:t>
        </m:r>
        <m:sSubSup>
          <m:sSubSupPr>
            <m:ctrlPr>
              <w:rPr>
                <w:rFonts w:ascii="Cambria Math" w:hAnsi="Cambria Math" w:cs="Times New Roman"/>
                <w:i/>
                <w:sz w:val="28"/>
                <w:szCs w:val="28"/>
                <w:lang w:val="ru-RU"/>
              </w:rPr>
            </m:ctrlPr>
          </m:sSubSupPr>
          <m:e>
            <m:r>
              <w:rPr>
                <w:rFonts w:ascii="Cambria Math" w:hAnsi="Cambria Math" w:cs="Times New Roman"/>
                <w:sz w:val="28"/>
                <w:szCs w:val="28"/>
                <w:lang w:val="ru-RU"/>
              </w:rPr>
              <m:t>a</m:t>
            </m:r>
          </m:e>
          <m:sub>
            <m:r>
              <w:rPr>
                <w:rFonts w:ascii="Cambria Math" w:hAnsi="Cambria Math" w:cs="Times New Roman"/>
                <w:sz w:val="28"/>
                <w:szCs w:val="28"/>
                <w:lang w:val="ru-RU"/>
              </w:rPr>
              <m:t>m</m:t>
            </m:r>
          </m:sub>
          <m:sup>
            <m:r>
              <w:rPr>
                <w:rFonts w:ascii="Cambria Math" w:hAnsi="Cambria Math" w:cs="Times New Roman"/>
                <w:sz w:val="28"/>
                <w:szCs w:val="28"/>
                <w:lang w:val="ru-RU"/>
              </w:rPr>
              <m:t>2</m:t>
            </m:r>
          </m:sup>
        </m:sSubSup>
      </m:oMath>
      <w:r w:rsidRPr="00631EF4">
        <w:rPr>
          <w:rFonts w:ascii="Times New Roman" w:hAnsi="Times New Roman" w:cs="Times New Roman"/>
          <w:sz w:val="28"/>
          <w:szCs w:val="28"/>
          <w:lang w:val="ru-RU"/>
        </w:rPr>
        <w:t xml:space="preserve"> — дисперсия доходности рынка. </w:t>
      </w:r>
    </w:p>
    <w:p w14:paraId="682B665B"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Значения </w:t>
      </w:r>
      <m:oMath>
        <m:r>
          <w:rPr>
            <w:rFonts w:ascii="Cambria Math" w:hAnsi="Cambria Math" w:cs="Times New Roman"/>
            <w:sz w:val="28"/>
            <w:szCs w:val="28"/>
            <w:lang w:val="ru-RU"/>
          </w:rPr>
          <m:t xml:space="preserve">beta &gt; 1 </m:t>
        </m:r>
      </m:oMath>
      <w:r w:rsidRPr="00631EF4">
        <w:rPr>
          <w:rFonts w:ascii="Times New Roman" w:hAnsi="Times New Roman" w:cs="Times New Roman"/>
          <w:sz w:val="28"/>
          <w:szCs w:val="28"/>
          <w:lang w:val="ru-RU"/>
        </w:rPr>
        <w:t xml:space="preserve">традиционно связывают с более высокой волатильностью портфеля относительно рынка, что соответствует более «агрессивному» профилю, однако в отдельных режимах рынка высокая бета </w:t>
      </w:r>
      <w:r w:rsidRPr="00631EF4">
        <w:rPr>
          <w:rFonts w:ascii="Times New Roman" w:hAnsi="Times New Roman" w:cs="Times New Roman"/>
          <w:sz w:val="28"/>
          <w:szCs w:val="28"/>
          <w:lang w:val="ru-RU"/>
        </w:rPr>
        <w:lastRenderedPageBreak/>
        <w:t>может сопровождаться асимметрией потерь, что делает уместным параллельный анализ просадок.</w:t>
      </w:r>
    </w:p>
    <w:p w14:paraId="6402972F"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Для оценки устойчивости реализации стратегии нередко дополнительно используются показатели максимальной просадки (MDD), фиксирующей наиболее неблагоприятный исторический сценарий падения стоимости от локального пика к минимуму</w:t>
      </w:r>
      <w:r w:rsidR="004605F7">
        <w:rPr>
          <w:rFonts w:ascii="Times New Roman" w:hAnsi="Times New Roman" w:cs="Times New Roman"/>
          <w:sz w:val="28"/>
          <w:szCs w:val="28"/>
          <w:lang w:val="ru-RU"/>
        </w:rPr>
        <w:t xml:space="preserve"> (6)</w:t>
      </w:r>
      <w:r w:rsidRPr="00631EF4">
        <w:rPr>
          <w:rFonts w:ascii="Times New Roman" w:hAnsi="Times New Roman" w:cs="Times New Roman"/>
          <w:sz w:val="28"/>
          <w:szCs w:val="28"/>
          <w:lang w:val="ru-RU"/>
        </w:rPr>
        <w:t>:</w:t>
      </w:r>
    </w:p>
    <w:p w14:paraId="526ED604"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MDD = frac</m:t>
        </m:r>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trough</m:t>
                    </m:r>
                  </m:e>
                </m:d>
              </m:sub>
            </m:sSub>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V</m:t>
                </m:r>
              </m:e>
              <m:sub>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peak</m:t>
                    </m:r>
                  </m:e>
                </m:d>
              </m:sub>
            </m:sSub>
          </m:e>
        </m:d>
      </m:oMath>
      <w:r>
        <w:rPr>
          <w:rFonts w:ascii="Times New Roman" w:hAnsi="Times New Roman" w:cs="Times New Roman"/>
          <w:sz w:val="28"/>
          <w:szCs w:val="28"/>
          <w:lang w:val="ru-RU"/>
        </w:rPr>
        <w:t>,                    (6)</w:t>
      </w:r>
    </w:p>
    <w:p w14:paraId="01153F88"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а также ошибка слежения (</w:t>
      </w:r>
      <w:proofErr w:type="spellStart"/>
      <w:r w:rsidRPr="00631EF4">
        <w:rPr>
          <w:rFonts w:ascii="Times New Roman" w:hAnsi="Times New Roman" w:cs="Times New Roman"/>
          <w:sz w:val="28"/>
          <w:szCs w:val="28"/>
          <w:lang w:val="ru-RU"/>
        </w:rPr>
        <w:t>Tracking</w:t>
      </w:r>
      <w:proofErr w:type="spellEnd"/>
      <w:r w:rsidRPr="00631EF4">
        <w:rPr>
          <w:rFonts w:ascii="Times New Roman" w:hAnsi="Times New Roman" w:cs="Times New Roman"/>
          <w:sz w:val="28"/>
          <w:szCs w:val="28"/>
          <w:lang w:val="ru-RU"/>
        </w:rPr>
        <w:t xml:space="preserve"> </w:t>
      </w:r>
      <w:proofErr w:type="spellStart"/>
      <w:r w:rsidRPr="00631EF4">
        <w:rPr>
          <w:rFonts w:ascii="Times New Roman" w:hAnsi="Times New Roman" w:cs="Times New Roman"/>
          <w:sz w:val="28"/>
          <w:szCs w:val="28"/>
          <w:lang w:val="ru-RU"/>
        </w:rPr>
        <w:t>Error</w:t>
      </w:r>
      <w:proofErr w:type="spellEnd"/>
      <w:r w:rsidRPr="00631EF4">
        <w:rPr>
          <w:rFonts w:ascii="Times New Roman" w:hAnsi="Times New Roman" w:cs="Times New Roman"/>
          <w:sz w:val="28"/>
          <w:szCs w:val="28"/>
          <w:lang w:val="ru-RU"/>
        </w:rPr>
        <w:t>, TE), измеряющая степень отклонения динамики портфеля от базового индекса</w:t>
      </w:r>
      <w:r w:rsidR="004605F7">
        <w:rPr>
          <w:rFonts w:ascii="Times New Roman" w:hAnsi="Times New Roman" w:cs="Times New Roman"/>
          <w:sz w:val="28"/>
          <w:szCs w:val="28"/>
          <w:lang w:val="ru-RU"/>
        </w:rPr>
        <w:t xml:space="preserve"> (7)</w:t>
      </w:r>
      <w:r w:rsidRPr="00631EF4">
        <w:rPr>
          <w:rFonts w:ascii="Times New Roman" w:hAnsi="Times New Roman" w:cs="Times New Roman"/>
          <w:sz w:val="28"/>
          <w:szCs w:val="28"/>
          <w:lang w:val="ru-RU"/>
        </w:rPr>
        <w:t>:</w:t>
      </w:r>
    </w:p>
    <w:p w14:paraId="27330359" w14:textId="77777777" w:rsidR="00631EF4" w:rsidRPr="00631EF4" w:rsidRDefault="004605F7" w:rsidP="00631EF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TE = </m:t>
        </m:r>
        <m:rad>
          <m:radPr>
            <m:degHide m:val="1"/>
            <m:ctrlPr>
              <w:rPr>
                <w:rFonts w:ascii="Cambria Math" w:hAnsi="Cambria Math" w:cs="Times New Roman"/>
                <w:i/>
                <w:sz w:val="28"/>
                <w:szCs w:val="28"/>
                <w:lang w:val="ru-RU"/>
              </w:rPr>
            </m:ctrlPr>
          </m:radPr>
          <m:deg/>
          <m:e>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frac</m:t>
                </m:r>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m:t>
                    </m:r>
                    <m:sSup>
                      <m:sSupPr>
                        <m:ctrlPr>
                          <w:rPr>
                            <w:rFonts w:ascii="Cambria Math" w:hAnsi="Cambria Math" w:cs="Times New Roman"/>
                            <w:i/>
                            <w:sz w:val="28"/>
                            <w:szCs w:val="28"/>
                            <w:lang w:val="ru-RU"/>
                          </w:rPr>
                        </m:ctrlPr>
                      </m:sSupPr>
                      <m:e>
                        <m:d>
                          <m:dPr>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p</m:t>
                                        </m:r>
                                      </m:e>
                                      <m:sub>
                                        <m:r>
                                          <w:rPr>
                                            <w:rFonts w:ascii="Cambria Math" w:hAnsi="Cambria Math" w:cs="Times New Roman"/>
                                            <w:sz w:val="28"/>
                                            <w:szCs w:val="28"/>
                                            <w:lang w:val="ru-RU"/>
                                          </w:rPr>
                                          <m:t>i</m:t>
                                        </m:r>
                                      </m:sub>
                                    </m:sSub>
                                  </m:e>
                                </m:d>
                              </m:sub>
                            </m:sSub>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r</m:t>
                                </m:r>
                              </m:e>
                              <m:sub>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i</m:t>
                                        </m:r>
                                      </m:sub>
                                    </m:sSub>
                                  </m:e>
                                </m:d>
                              </m:sub>
                            </m:sSub>
                          </m:e>
                        </m:d>
                      </m:e>
                      <m:sup>
                        <m:r>
                          <w:rPr>
                            <w:rFonts w:ascii="Cambria Math" w:hAnsi="Cambria Math" w:cs="Times New Roman"/>
                            <w:sz w:val="28"/>
                            <w:szCs w:val="28"/>
                            <w:lang w:val="ru-RU"/>
                          </w:rPr>
                          <m:t>2</m:t>
                        </m:r>
                      </m:sup>
                    </m:sSup>
                  </m:e>
                </m:d>
                <m:d>
                  <m:dPr>
                    <m:begChr m:val="{"/>
                    <m:endChr m:val="}"/>
                    <m:ctrlPr>
                      <w:rPr>
                        <w:rFonts w:ascii="Cambria Math" w:hAnsi="Cambria Math" w:cs="Times New Roman"/>
                        <w:i/>
                        <w:sz w:val="28"/>
                        <w:szCs w:val="28"/>
                        <w:lang w:val="ru-RU"/>
                      </w:rPr>
                    </m:ctrlPr>
                  </m:dPr>
                  <m:e>
                    <m:r>
                      <w:rPr>
                        <w:rFonts w:ascii="Cambria Math" w:hAnsi="Cambria Math" w:cs="Times New Roman"/>
                        <w:sz w:val="28"/>
                        <w:szCs w:val="28"/>
                        <w:lang w:val="ru-RU"/>
                      </w:rPr>
                      <m:t>n-1</m:t>
                    </m:r>
                  </m:e>
                </m:d>
              </m:e>
            </m:d>
          </m:e>
        </m:rad>
      </m:oMath>
      <w:r>
        <w:rPr>
          <w:rFonts w:ascii="Times New Roman" w:hAnsi="Times New Roman" w:cs="Times New Roman"/>
          <w:sz w:val="28"/>
          <w:szCs w:val="28"/>
          <w:lang w:val="ru-RU"/>
        </w:rPr>
        <w:t>,                  (7)</w:t>
      </w:r>
    </w:p>
    <w:p w14:paraId="6B1436FC" w14:textId="77777777" w:rsidR="00631EF4" w:rsidRPr="00677407" w:rsidRDefault="00631EF4" w:rsidP="004605F7">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Эти индикаторы позволяют дополнить оценку «среднего» риска характеристиками экстремальных движений и дисциплины следования выбранному ориентиру, что важно как для контроля качества управления, так и для интерпретации результатов в контексте заявленной инвестиционной политики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631EF4">
        <w:rPr>
          <w:rFonts w:ascii="Times New Roman" w:hAnsi="Times New Roman" w:cs="Times New Roman"/>
          <w:sz w:val="28"/>
          <w:szCs w:val="28"/>
          <w:lang w:val="ru-RU"/>
        </w:rPr>
        <w:t>.</w:t>
      </w:r>
    </w:p>
    <w:p w14:paraId="018E5C19"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 </w:t>
      </w:r>
    </w:p>
    <w:p w14:paraId="4D6FCE39"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Преимущественная ориентация на ретроспективные портфельные метрики способна приводить к недоучету фундаментальных драйверов стоимости бизнеса и внутренних рисков эмитентов, которые не сводятся к историческим колебаниям котировок и могут проявляться с временным лагом. </w:t>
      </w:r>
    </w:p>
    <w:p w14:paraId="554741D0" w14:textId="77777777" w:rsidR="004605F7" w:rsidRPr="00677407"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 xml:space="preserve">Более аргументированная оценка качества инвестиционного портфеля предполагает совместное применение инструментов портфельной теории и </w:t>
      </w:r>
      <w:r w:rsidRPr="00631EF4">
        <w:rPr>
          <w:rFonts w:ascii="Times New Roman" w:hAnsi="Times New Roman" w:cs="Times New Roman"/>
          <w:sz w:val="28"/>
          <w:szCs w:val="28"/>
          <w:lang w:val="ru-RU"/>
        </w:rPr>
        <w:lastRenderedPageBreak/>
        <w:t>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[20, с. 135]</w:t>
      </w:r>
      <w:r w:rsidRPr="00631EF4">
        <w:rPr>
          <w:rFonts w:ascii="Times New Roman" w:hAnsi="Times New Roman" w:cs="Times New Roman"/>
          <w:sz w:val="28"/>
          <w:szCs w:val="28"/>
          <w:lang w:val="ru-RU"/>
        </w:rPr>
        <w:t xml:space="preserve">. </w:t>
      </w:r>
    </w:p>
    <w:p w14:paraId="29B4BD74" w14:textId="77777777" w:rsidR="00631EF4" w:rsidRPr="00631EF4" w:rsidRDefault="00631EF4" w:rsidP="00631EF4">
      <w:pPr>
        <w:spacing w:line="360" w:lineRule="auto"/>
        <w:ind w:firstLine="709"/>
        <w:jc w:val="both"/>
        <w:rPr>
          <w:rFonts w:ascii="Times New Roman" w:hAnsi="Times New Roman" w:cs="Times New Roman"/>
          <w:sz w:val="28"/>
          <w:szCs w:val="28"/>
          <w:lang w:val="ru-RU"/>
        </w:rPr>
      </w:pPr>
      <w:r w:rsidRPr="00631EF4">
        <w:rPr>
          <w:rFonts w:ascii="Times New Roman" w:hAnsi="Times New Roman" w:cs="Times New Roman"/>
          <w:sz w:val="28"/>
          <w:szCs w:val="28"/>
          <w:lang w:val="ru-RU"/>
        </w:rPr>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14:paraId="15D4CC68" w14:textId="77777777" w:rsidR="00631EF4" w:rsidRPr="00631EF4" w:rsidRDefault="00631EF4" w:rsidP="00631EF4">
      <w:pPr>
        <w:rPr>
          <w:rFonts w:ascii="Times New Roman" w:hAnsi="Times New Roman" w:cs="Times New Roman"/>
          <w:sz w:val="28"/>
          <w:szCs w:val="28"/>
          <w:lang w:val="ru-RU"/>
        </w:rPr>
      </w:pPr>
    </w:p>
    <w:p w14:paraId="1FB26D47" w14:textId="77777777" w:rsidR="00631EF4" w:rsidRPr="00631EF4" w:rsidRDefault="00631EF4" w:rsidP="00631EF4">
      <w:pPr>
        <w:rPr>
          <w:rFonts w:ascii="Times New Roman" w:hAnsi="Times New Roman" w:cs="Times New Roman"/>
          <w:sz w:val="28"/>
          <w:szCs w:val="28"/>
          <w:lang w:val="ru-RU"/>
        </w:rPr>
      </w:pPr>
    </w:p>
    <w:p w14:paraId="1B16F8D0" w14:textId="77777777" w:rsidR="005F2182" w:rsidRPr="005F2182" w:rsidRDefault="00793D47" w:rsidP="005F2182">
      <w:pPr>
        <w:rPr>
          <w:rFonts w:ascii="Times New Roman" w:hAnsi="Times New Roman"/>
          <w:b/>
          <w:i/>
          <w:sz w:val="28"/>
          <w:szCs w:val="32"/>
          <w:lang w:val="ru-RU"/>
        </w:rPr>
      </w:pPr>
      <w:r>
        <w:rPr>
          <w:lang w:val="ru-RU"/>
        </w:rPr>
        <w:br w:type="page"/>
      </w:r>
    </w:p>
    <w:p w14:paraId="5B5409FE" w14:textId="77777777" w:rsidR="005F2182" w:rsidRPr="005F2182" w:rsidRDefault="005F2182" w:rsidP="004605F7">
      <w:pPr>
        <w:pStyle w:val="1"/>
        <w:spacing w:before="0" w:after="0" w:line="360" w:lineRule="auto"/>
        <w:rPr>
          <w:lang w:val="ru-RU"/>
        </w:rPr>
      </w:pPr>
      <w:bookmarkStart w:id="5" w:name="_Toc229218486"/>
      <w:r w:rsidRPr="005F2182">
        <w:rPr>
          <w:lang w:val="ru-RU"/>
        </w:rPr>
        <w:lastRenderedPageBreak/>
        <w:t>Глава 2. Аналитическая часть — анализ качества инвестиционного портфеля ОПИФ РФИ «ВИМ-Металлургия»</w:t>
      </w:r>
      <w:bookmarkEnd w:id="5"/>
    </w:p>
    <w:p w14:paraId="42104B96" w14:textId="77777777" w:rsidR="005F2182" w:rsidRDefault="005F2182" w:rsidP="004605F7">
      <w:pPr>
        <w:pStyle w:val="2"/>
        <w:spacing w:before="0" w:after="0" w:line="360" w:lineRule="auto"/>
        <w:ind w:firstLine="709"/>
        <w:rPr>
          <w:lang w:val="ru-RU"/>
        </w:rPr>
      </w:pPr>
      <w:bookmarkStart w:id="6" w:name="_Toc229218487"/>
      <w:r w:rsidRPr="005F2182">
        <w:rPr>
          <w:lang w:val="ru-RU"/>
        </w:rPr>
        <w:t>2.1. Финансово-экономическая характеристика ОПИФ РФИ «ВИМ-Металлургия»</w:t>
      </w:r>
      <w:bookmarkEnd w:id="6"/>
    </w:p>
    <w:p w14:paraId="06308C11" w14:textId="77777777" w:rsidR="005F2182" w:rsidRPr="005F2182" w:rsidRDefault="005F2182" w:rsidP="004605F7">
      <w:pPr>
        <w:spacing w:line="360" w:lineRule="auto"/>
        <w:ind w:firstLine="709"/>
        <w:jc w:val="both"/>
        <w:rPr>
          <w:lang w:val="ru-RU"/>
        </w:rPr>
      </w:pPr>
    </w:p>
    <w:p w14:paraId="0F7A2219"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может быть охарактеризован как отраслевой механизм коллективного инвестирования, функционирующий под управлением управляющей компании АО «ВИМ Инвестиции» и ориентированный на формирование экспозиции к российскому металлургическому и горнодобывающему сегментам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[4; 50]</w:t>
      </w:r>
      <w:r w:rsidRPr="00EC4086">
        <w:rPr>
          <w:rFonts w:ascii="Times New Roman" w:hAnsi="Times New Roman" w:cs="Times New Roman"/>
          <w:sz w:val="28"/>
          <w:szCs w:val="28"/>
          <w:lang w:val="ru-RU"/>
        </w:rPr>
        <w:t xml:space="preserve">. В соответствии с инвестиционной декларацией, заявленная базовая стратегия предполагает размещение привлеченных средств преимущественно в долевые инструменты, прежде всего в акции крупных российских эмитентов, относимых к металлургии и добыче сырья. </w:t>
      </w:r>
    </w:p>
    <w:p w14:paraId="5B7ADC37" w14:textId="77777777" w:rsidR="005F2182" w:rsidRPr="00677407"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Тем самым фонд фактически воспроизводит логики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[33, с. 11]</w:t>
      </w:r>
      <w:r w:rsidRPr="00EC4086">
        <w:rPr>
          <w:rFonts w:ascii="Times New Roman" w:hAnsi="Times New Roman" w:cs="Times New Roman"/>
          <w:sz w:val="28"/>
          <w:szCs w:val="28"/>
          <w:lang w:val="ru-RU"/>
        </w:rPr>
        <w:t xml:space="preserve">. Дополнительный источник накопления капитала формируется через дивидендные выплаты, однако их вклад носит условный характер и зависит от корпоративной политики эмитентов, инвестиционных программ и ограничений, диктуемых рыночной конъюнктурой. В прикладном смысле целевой ориентир управления следует понимать как попытку капитализации циклических преимуществ сырьевого сектора, одновременно принимая во внимание, что отрасль исторически характеризуется повышенной чувствительностью к внешним шокам, включая </w:t>
      </w:r>
      <w:r w:rsidRPr="00EC4086">
        <w:rPr>
          <w:rFonts w:ascii="Times New Roman" w:hAnsi="Times New Roman" w:cs="Times New Roman"/>
          <w:sz w:val="28"/>
          <w:szCs w:val="28"/>
          <w:lang w:val="ru-RU"/>
        </w:rPr>
        <w:lastRenderedPageBreak/>
        <w:t>колебания мировых цен на металлы, изменения курса национальной валюты и ограничения на внешнюю торговлю</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[9, с. 210]</w:t>
      </w:r>
      <w:r w:rsidRPr="00EC4086">
        <w:rPr>
          <w:rFonts w:ascii="Times New Roman" w:hAnsi="Times New Roman" w:cs="Times New Roman"/>
          <w:sz w:val="28"/>
          <w:szCs w:val="28"/>
          <w:lang w:val="ru-RU"/>
        </w:rPr>
        <w:t>.</w:t>
      </w:r>
    </w:p>
    <w:p w14:paraId="135F2098"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Ключевым агрегированным показателем, используемым для оценки масштаба операций фонда и качества управления, выступает динамика стоимости чистых активов (СЧА), поскольку она интегрирует как изменение рыночной стоимости портфеля, так и поведение пайщиков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115]</w:t>
      </w:r>
      <w:r w:rsidRPr="00EC4086">
        <w:rPr>
          <w:rFonts w:ascii="Times New Roman" w:hAnsi="Times New Roman" w:cs="Times New Roman"/>
          <w:sz w:val="28"/>
          <w:szCs w:val="28"/>
          <w:lang w:val="ru-RU"/>
        </w:rPr>
        <w:t>. Изменение СЧА ОПИФ РФИ «ВИМ-Металлургия» в наблюдаемых периодах целесообразно объяснять действием двух базовых компонент: во-первых, переоценкой стоимости ценных бумаг вследствие движения котировок (то есть рыночным фактором), во-вторых, результатом операций по выдаче и погашению инвестиционных паев, отражающим чистый приток либо отток средств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[15, с. 300]</w:t>
      </w:r>
      <w:r w:rsidRPr="00EC4086">
        <w:rPr>
          <w:rFonts w:ascii="Times New Roman" w:hAnsi="Times New Roman" w:cs="Times New Roman"/>
          <w:sz w:val="28"/>
          <w:szCs w:val="28"/>
          <w:lang w:val="ru-RU"/>
        </w:rPr>
        <w:t xml:space="preserve">. </w:t>
      </w:r>
    </w:p>
    <w:p w14:paraId="43722F4D" w14:textId="77777777" w:rsidR="005F2182" w:rsidRPr="00EC4086" w:rsidRDefault="005F2182" w:rsidP="0071032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фазах благоприятной макроэкономической конъюнктуры и на фоне роста цен на сырьевые товары (включая железную руду, цветные и драгоценные металлы) возможно увеличение СЧА, обусловленное одновременно положительной переоценкой акций и расширением базы пайщиков. Однако в периоды нестабильности, усложнения логистических маршрутов и переоценки корпоративных приоритетов, когда компании могут временно сокращать дивидендные выплаты для поддержания ликвидности, СЧА фонда закономерно становится более волатильной. Отдельного внимания заслуживает и поведенческий аспект: при ухудшении рыночной динамики часть пайщиков может фиксировать убытки через погашение паев, тем самым усиливая эффект оттока капитала и снижая операционную гибкость фонда в краткосрочной перспективе. Следовательно, СЧА в данном случае представляет собой не просто бухгалтерский итог, а индикатор взаимодействия рыночного цикла и коллективных ожиданий инвесторов</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[25, с. 120]</w:t>
      </w:r>
      <w:r w:rsidRPr="00EC4086">
        <w:rPr>
          <w:rFonts w:ascii="Times New Roman" w:hAnsi="Times New Roman" w:cs="Times New Roman"/>
          <w:sz w:val="28"/>
          <w:szCs w:val="28"/>
          <w:lang w:val="ru-RU"/>
        </w:rPr>
        <w:t>.</w:t>
      </w:r>
    </w:p>
    <w:p w14:paraId="0E8D6CC6"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доходности ОПИФ РФИ «ВИМ-Металлургия» указывает на высокую сопряженность результатов фонда с динамикой его бенчмарка — Индекса металлургии и добычи Московской биржи (MOEXMM), что является логичным следствием отраслевой специализации и высокой доли профильных акций в портфеле. 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цикличность спроса на металлы, чувствительность к внешнеторговым ограничениям, а также к изменениям процентных ставок и ожиданий по инвестиционным программам компаний</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[24, с. 230]</w:t>
      </w:r>
      <w:r w:rsidRPr="00EC4086">
        <w:rPr>
          <w:rFonts w:ascii="Times New Roman" w:hAnsi="Times New Roman" w:cs="Times New Roman"/>
          <w:sz w:val="28"/>
          <w:szCs w:val="28"/>
          <w:lang w:val="ru-RU"/>
        </w:rPr>
        <w:t>. На более продолжительных интервалах (примерно от одного года до трех лет)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[13, с. 132]</w:t>
      </w:r>
      <w:r w:rsidRPr="00EC4086">
        <w:rPr>
          <w:rFonts w:ascii="Times New Roman" w:hAnsi="Times New Roman" w:cs="Times New Roman"/>
          <w:sz w:val="28"/>
          <w:szCs w:val="28"/>
          <w:lang w:val="ru-RU"/>
        </w:rPr>
        <w:t xml:space="preserve">. </w:t>
      </w:r>
    </w:p>
    <w:p w14:paraId="6292AC90"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Ретроспективные оценки по металлургическому сектору в ряде периодов действительно демонстрировали двузначные значения средней годовой эффективной доходности для отдельных крупных компаний, при этом устойчивость таких оценок зависит от выбранного временного окна и фаз товарного цикла. В этой связи задача управляющей компании по «обыгрыванию» бенчмарка может быть интерпретирована как результат совокупности решений по ребалансировке, выбору относительных весов между сегментами черной и цветной металлургии, а также по управлению ликвидностью; при этом практическая реализуемость устойчивого превышения индекса осложняется высокой концентрацией отраслевых рисков и ограниченным числом сопоставимых ликвидных инструментов на локальном рынке.</w:t>
      </w:r>
    </w:p>
    <w:p w14:paraId="2FF2F8D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p>
    <w:p w14:paraId="1741127F"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Отраслевая композиция активов ОПИФ РФИ «ВИМ-Металлургия» описывается как высококонцентрированная, что подтверждается доминированием категории «Сырье и материалы», на которую приходится более 93% портфеля. Внутри данного сегмента представлены акции ведущих эмитентов, значимых как для экспортной выручки, так и для внутреннего рынка, включая ПАО «ГМК «Норильский никель», ПАО «Северсталь», ПАО «НЛМК», ПАО «ММК», МКПАО «ЭН+ ГРУП», ПАО «Корпорация ВСМПО-АВИСМА» и другие компании сопоставимого профиля. Такая структура фактически означает, что фонд воспроизводит риск-профиль сырьевого кластера: его результаты тесно связаны с динамикой сырьевых котировок, производственными ограничениями, регуляторной средой и внешними рынками. Остальная часть СЧА, как правило, размещается в высоколиквидных консервативных инструментах, включая денежные средства на счетах, что объясняется необходимостью поддерживать операционную ликвидность для своевременного погашения паев, финансирования обязательных расходов и снижения транзакционных издержек в ситуациях, когда требуется перераспределение активов. Одновременно доля таких средств, хотя и повышает управляемость фонда, в периоды роста рынка может выступать фактором, ограничивающим участие в восходящем движении, поскольку формирует «кэш-драг» относительно полностью инвестированного портфеля</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[7, с. 112]</w:t>
      </w:r>
      <w:r w:rsidRPr="00EC4086">
        <w:rPr>
          <w:rFonts w:ascii="Times New Roman" w:hAnsi="Times New Roman" w:cs="Times New Roman"/>
          <w:sz w:val="28"/>
          <w:szCs w:val="28"/>
          <w:lang w:val="ru-RU"/>
        </w:rPr>
        <w:t>.</w:t>
      </w:r>
    </w:p>
    <w:p w14:paraId="366F4311"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w:t>
      </w:r>
      <w:r w:rsidRPr="00EC4086">
        <w:rPr>
          <w:rFonts w:ascii="Times New Roman" w:hAnsi="Times New Roman" w:cs="Times New Roman"/>
          <w:sz w:val="28"/>
          <w:szCs w:val="28"/>
          <w:lang w:val="ru-RU"/>
        </w:rPr>
        <w:lastRenderedPageBreak/>
        <w:t>межотраслевой диверсификации и, следовательно, в большей мере подвержен систематическим отраслевым рискам</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[29, с. 14]</w:t>
      </w:r>
      <w:r w:rsidRPr="00EC4086">
        <w:rPr>
          <w:rFonts w:ascii="Times New Roman" w:hAnsi="Times New Roman" w:cs="Times New Roman"/>
          <w:sz w:val="28"/>
          <w:szCs w:val="28"/>
          <w:lang w:val="ru-RU"/>
        </w:rPr>
        <w:t xml:space="preserve">. </w:t>
      </w:r>
    </w:p>
    <w:p w14:paraId="656CAE1A"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Практическое следствие состоит в повышенной чувствительности к макроэкономическим шокам, изменениям условий внешней торговли, колебаниям товарных рынков и корпоративным событиям крупнейших эмитентов, включая пересмотр дивидендной политики и инвестиционных планов. Иначе говоря, устойчивость результатов фонда во многом зависит от способности отдельных ключевых компаний сохранять финансовую устойчивость, а также от того, насколько благоприятной будет внешняя среда для сырьевых производств в рассматриваемом горизонте.</w:t>
      </w:r>
    </w:p>
    <w:p w14:paraId="15600DDD"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Инвестиционная привлекательность и итоговое качество паевого инвестиционного фонда для конечного инвестора целесообразно рассматривать не только через призму валовой доходности базовых активов, но и с учетом совокупного бремени инфраструктурных издержек, которые систематически снижают чистый финансовый результат</w:t>
      </w:r>
      <w:r w:rsidR="00710322">
        <w:rPr>
          <w:rFonts w:ascii="Times New Roman" w:hAnsi="Times New Roman" w:cs="Times New Roman"/>
          <w:sz w:val="28"/>
          <w:szCs w:val="28"/>
          <w:lang w:val="ru-RU"/>
        </w:rPr>
        <w:t xml:space="preserve"> </w:t>
      </w:r>
      <w:r w:rsidR="00710322" w:rsidRPr="00710322">
        <w:rPr>
          <w:rFonts w:ascii="Times New Roman" w:hAnsi="Times New Roman" w:cs="Times New Roman"/>
          <w:sz w:val="28"/>
          <w:szCs w:val="28"/>
          <w:lang w:val="ru-RU"/>
        </w:rPr>
        <w:t>[11, с. 42]</w:t>
      </w:r>
      <w:r w:rsidRPr="00EC4086">
        <w:rPr>
          <w:rFonts w:ascii="Times New Roman" w:hAnsi="Times New Roman" w:cs="Times New Roman"/>
          <w:sz w:val="28"/>
          <w:szCs w:val="28"/>
          <w:lang w:val="ru-RU"/>
        </w:rPr>
        <w:t xml:space="preserve">. </w:t>
      </w:r>
    </w:p>
    <w:p w14:paraId="210098C6"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современной практике для агрегированной оценки подобных расходов используется совокупный коэффициент затрат (Total </w:t>
      </w:r>
      <w:proofErr w:type="spellStart"/>
      <w:r w:rsidRPr="00EC4086">
        <w:rPr>
          <w:rFonts w:ascii="Times New Roman" w:hAnsi="Times New Roman" w:cs="Times New Roman"/>
          <w:sz w:val="28"/>
          <w:szCs w:val="28"/>
          <w:lang w:val="ru-RU"/>
        </w:rPr>
        <w:t>Expense</w:t>
      </w:r>
      <w:proofErr w:type="spellEnd"/>
      <w:r w:rsidRPr="00EC4086">
        <w:rPr>
          <w:rFonts w:ascii="Times New Roman" w:hAnsi="Times New Roman" w:cs="Times New Roman"/>
          <w:sz w:val="28"/>
          <w:szCs w:val="28"/>
          <w:lang w:val="ru-RU"/>
        </w:rPr>
        <w:t xml:space="preserve"> </w:t>
      </w:r>
      <w:proofErr w:type="spellStart"/>
      <w:r w:rsidRPr="00EC4086">
        <w:rPr>
          <w:rFonts w:ascii="Times New Roman" w:hAnsi="Times New Roman" w:cs="Times New Roman"/>
          <w:sz w:val="28"/>
          <w:szCs w:val="28"/>
          <w:lang w:val="ru-RU"/>
        </w:rPr>
        <w:t>Ratio</w:t>
      </w:r>
      <w:proofErr w:type="spellEnd"/>
      <w:r w:rsidRPr="00EC4086">
        <w:rPr>
          <w:rFonts w:ascii="Times New Roman" w:hAnsi="Times New Roman" w:cs="Times New Roman"/>
          <w:sz w:val="28"/>
          <w:szCs w:val="28"/>
          <w:lang w:val="ru-RU"/>
        </w:rPr>
        <w:t xml:space="preserve">, TER), который для ПИФов представляет собой комбинацию регулярных обязательных удержаний. </w:t>
      </w:r>
    </w:p>
    <w:p w14:paraId="2EF1B454" w14:textId="77777777" w:rsidR="00710322"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состав TER, как правило, входят: вознаграждение управляющей компании за доверительное управление и поддержание структуры портфеля; плата за услуги специализированного депозитария, осуществляющего учет и контроль сделок на предмет соответствия инвестиционной декларации; расходы, связанные с ведением реестра владельцев паев; услуги независимого аудитора; а также транзакционные и биржевые сборы, возникающие при совершении операций с инструментами. </w:t>
      </w:r>
    </w:p>
    <w:p w14:paraId="099FD089"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В методологическом плане TER удобен тем, что переводит разнородные статьи расходов в сопоставимый показатель, позволяющий обсуждать эффективность фонда на базе единой метрики, хотя при сравнительном анализе важно учитывать специфику стратегии и частоту операций.</w:t>
      </w:r>
    </w:p>
    <w:p w14:paraId="530FDF53"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Экономически значимая особенность механизма TER состоит в том, что данные расходы, как правило, удерживаются из СЧА на регулярной основе (в том числе ежедневно), что делает их влияние на результат непрерывным и слабо зависящим от рыночной фазы. Принципиально существенным является то, что соответствующее изъятие носит условно «безусловный» характер: оно происходит независимо от того, находится ли портфель в фазе роста либо переживает период снижения стоимости (</w:t>
      </w:r>
      <w:proofErr w:type="spellStart"/>
      <w:r w:rsidRPr="00EC4086">
        <w:rPr>
          <w:rFonts w:ascii="Times New Roman" w:hAnsi="Times New Roman" w:cs="Times New Roman"/>
          <w:sz w:val="28"/>
          <w:szCs w:val="28"/>
          <w:lang w:val="ru-RU"/>
        </w:rPr>
        <w:t>drawdown</w:t>
      </w:r>
      <w:proofErr w:type="spellEnd"/>
      <w:r w:rsidRPr="00EC4086">
        <w:rPr>
          <w:rFonts w:ascii="Times New Roman" w:hAnsi="Times New Roman" w:cs="Times New Roman"/>
          <w:sz w:val="28"/>
          <w:szCs w:val="28"/>
          <w:lang w:val="ru-RU"/>
        </w:rPr>
        <w:t>). В прикладном аспекте это означает, что в периоды отрицательной рыночной доходности комиссионное давление усиливает просадку, тогда как в периоды роста снижает темп накопления капитала относительно гипотетического портфеля без издержек. При этом эффект не ограничивается однократным уменьшением: регулярные удержания меняют базу, на которую в дальнейшем начисляется доходность, что особенно заметно на длительных горизонтах</w:t>
      </w:r>
      <w:r w:rsidR="00710322">
        <w:rPr>
          <w:rFonts w:ascii="Times New Roman" w:hAnsi="Times New Roman" w:cs="Times New Roman"/>
          <w:sz w:val="28"/>
          <w:szCs w:val="28"/>
          <w:lang w:val="ru-RU"/>
        </w:rPr>
        <w:t xml:space="preserve"> [24, с. 412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22F75EE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Помимо внутренних операционных расходов, инвестор сталкивается с прямыми транзакционными издержками при входе и выходе, реализуемыми через механизм надбавок и скидок. Надбавка повышает расчетную стоимость пая при приобретении и тем самым означает, что часть капитала инвестора фактически перераспределяется в пользу посредников в момент открытия позиции. Скидка удерживается при погашении паев, выполняя, в том числе, функцию снижения краткосрочных спекулятивных потоков и защиты фонда от избыточной текучести капитала. Для долгосрочного инвестора такая </w:t>
      </w:r>
      <w:r w:rsidRPr="00EC4086">
        <w:rPr>
          <w:rFonts w:ascii="Times New Roman" w:hAnsi="Times New Roman" w:cs="Times New Roman"/>
          <w:sz w:val="28"/>
          <w:szCs w:val="28"/>
          <w:lang w:val="ru-RU"/>
        </w:rPr>
        <w:lastRenderedPageBreak/>
        <w:t>конструкция сдвигает точку безубыточности: прежде чем инвестиция начнет приносить чистый положительный результат, валовая доходность портфеля должна компенсировать первоначальный спред транзакционных издержек и последующее давление регулярных комиссий. С практической точки зрения это усиливает значимость горизонта инвестирования и делает сравнение альтернативных инструментов (например, индексных продуктов, прямого владения акциями или иных форм коллективного инвестирования) более содержательным при сопоставимых рисках</w:t>
      </w:r>
      <w:r w:rsidR="00710322">
        <w:rPr>
          <w:rFonts w:ascii="Times New Roman" w:hAnsi="Times New Roman" w:cs="Times New Roman"/>
          <w:sz w:val="28"/>
          <w:szCs w:val="28"/>
          <w:lang w:val="ru-RU"/>
        </w:rPr>
        <w:t xml:space="preserve"> [33, с. 12</w:t>
      </w:r>
      <w:r w:rsidR="00710322" w:rsidRPr="00710322">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07007F0A"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поскольку изъятый капитал перестает участвовать в дальнейшем наращении стоимости. В стандартной формализации будущая стоимость инвестиции (FV) выражается зависимостью</w:t>
      </w:r>
      <w:r w:rsidR="004605F7" w:rsidRPr="004605F7">
        <w:rPr>
          <w:rFonts w:ascii="Times New Roman" w:hAnsi="Times New Roman" w:cs="Times New Roman"/>
          <w:sz w:val="28"/>
          <w:szCs w:val="28"/>
          <w:lang w:val="ru-RU"/>
        </w:rPr>
        <w:t xml:space="preserve"> (8)</w:t>
      </w:r>
      <w:r w:rsidRPr="00EC4086">
        <w:rPr>
          <w:rFonts w:ascii="Times New Roman" w:hAnsi="Times New Roman" w:cs="Times New Roman"/>
          <w:sz w:val="28"/>
          <w:szCs w:val="28"/>
          <w:lang w:val="ru-RU"/>
        </w:rPr>
        <w:t>:</w:t>
      </w:r>
    </w:p>
    <w:p w14:paraId="3916622C" w14:textId="77777777"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ru-RU"/>
          </w:rPr>
          <m:t>FV = PV ⋅</m:t>
        </m:r>
        <m:sSup>
          <m:sSupPr>
            <m:ctrlPr>
              <w:rPr>
                <w:rFonts w:ascii="Cambria Math" w:hAnsi="Cambria Math" w:cs="Times New Roman"/>
                <w:sz w:val="28"/>
                <w:szCs w:val="28"/>
                <w:lang w:val="ru-RU"/>
              </w:rPr>
            </m:ctrlPr>
          </m:sSupPr>
          <m:e>
            <m:d>
              <m:dPr>
                <m:ctrlPr>
                  <w:rPr>
                    <w:rFonts w:ascii="Cambria Math" w:hAnsi="Cambria Math" w:cs="Times New Roman"/>
                    <w:sz w:val="28"/>
                    <w:szCs w:val="28"/>
                    <w:lang w:val="ru-RU"/>
                  </w:rPr>
                </m:ctrlPr>
              </m:dPr>
              <m:e>
                <m:r>
                  <m:rPr>
                    <m:sty m:val="p"/>
                  </m:rPr>
                  <w:rPr>
                    <w:rFonts w:ascii="Cambria Math" w:hAnsi="Cambria Math" w:cs="Times New Roman"/>
                    <w:sz w:val="28"/>
                    <w:szCs w:val="28"/>
                    <w:lang w:val="ru-RU"/>
                  </w:rPr>
                  <m:t>1 + r</m:t>
                </m:r>
              </m:e>
            </m:d>
          </m:e>
          <m:sup>
            <m:r>
              <m:rPr>
                <m:sty m:val="p"/>
              </m:rPr>
              <w:rPr>
                <w:rFonts w:ascii="Cambria Math" w:hAnsi="Cambria Math" w:cs="Times New Roman"/>
                <w:sz w:val="28"/>
                <w:szCs w:val="28"/>
                <w:lang w:val="ru-RU"/>
              </w:rPr>
              <m:t>n</m:t>
            </m:r>
          </m:sup>
        </m:sSup>
      </m:oMath>
      <w:r>
        <w:rPr>
          <w:rFonts w:ascii="Times New Roman" w:hAnsi="Times New Roman" w:cs="Times New Roman"/>
          <w:sz w:val="28"/>
          <w:szCs w:val="28"/>
          <w:lang w:val="ru-RU"/>
        </w:rPr>
        <w:t>,                                            (8)</w:t>
      </w:r>
    </w:p>
    <w:p w14:paraId="2AC10D06" w14:textId="77777777" w:rsidR="005F2182" w:rsidRPr="00EC4086" w:rsidRDefault="005F2182" w:rsidP="005F2182">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где PV обозначает первоначально инвестированный капитал, r — ожидаемую валовую доходность, а n — число периодов инвестирования. Если предположить, что совокупная комиссия удерживается систематически и может быть аппроксимирована ставкой c, то выражение принимает вид</w:t>
      </w:r>
      <w:r w:rsidR="004605F7">
        <w:rPr>
          <w:rFonts w:ascii="Times New Roman" w:hAnsi="Times New Roman" w:cs="Times New Roman"/>
          <w:sz w:val="28"/>
          <w:szCs w:val="28"/>
          <w:lang w:val="ru-RU"/>
        </w:rPr>
        <w:t xml:space="preserve"> (9)</w:t>
      </w:r>
      <w:r w:rsidRPr="00EC4086">
        <w:rPr>
          <w:rFonts w:ascii="Times New Roman" w:hAnsi="Times New Roman" w:cs="Times New Roman"/>
          <w:sz w:val="28"/>
          <w:szCs w:val="28"/>
          <w:lang w:val="ru-RU"/>
        </w:rPr>
        <w:t>:</w:t>
      </w:r>
    </w:p>
    <w:p w14:paraId="4B1D6D41" w14:textId="77777777" w:rsidR="005F2182" w:rsidRPr="004605F7" w:rsidRDefault="004605F7" w:rsidP="005F218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m:rPr>
            <m:sty m:val="p"/>
          </m:rPr>
          <w:rPr>
            <w:rFonts w:ascii="Cambria Math" w:hAnsi="Cambria Math" w:cs="Times New Roman"/>
            <w:sz w:val="28"/>
            <w:szCs w:val="28"/>
            <w:lang w:val="en-US"/>
          </w:rPr>
          <m:t>FV</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PV</m:t>
        </m:r>
        <m:r>
          <m:rPr>
            <m:sty m:val="p"/>
          </m:rPr>
          <w:rPr>
            <w:rFonts w:ascii="Cambria Math" w:hAnsi="Cambria Math" w:cs="Times New Roman"/>
            <w:sz w:val="28"/>
            <w:szCs w:val="28"/>
            <w:lang w:val="ru-RU"/>
          </w:rPr>
          <m:t xml:space="preserve"> ⋅</m:t>
        </m:r>
        <m:sSup>
          <m:sSupPr>
            <m:ctrlPr>
              <w:rPr>
                <w:rFonts w:ascii="Cambria Math" w:hAnsi="Cambria Math" w:cs="Times New Roman"/>
                <w:sz w:val="28"/>
                <w:szCs w:val="28"/>
                <w:lang w:val="en-US"/>
              </w:rPr>
            </m:ctrlPr>
          </m:sSupPr>
          <m:e>
            <m:d>
              <m:dPr>
                <m:ctrlPr>
                  <w:rPr>
                    <w:rFonts w:ascii="Cambria Math" w:hAnsi="Cambria Math" w:cs="Times New Roman"/>
                    <w:sz w:val="28"/>
                    <w:szCs w:val="28"/>
                    <w:lang w:val="en-US"/>
                  </w:rPr>
                </m:ctrlPr>
              </m:dPr>
              <m:e>
                <m:r>
                  <m:rPr>
                    <m:sty m:val="p"/>
                  </m:rPr>
                  <w:rPr>
                    <w:rFonts w:ascii="Cambria Math" w:hAnsi="Cambria Math" w:cs="Times New Roman"/>
                    <w:sz w:val="28"/>
                    <w:szCs w:val="28"/>
                    <w:lang w:val="ru-RU"/>
                  </w:rPr>
                  <m:t xml:space="preserve">1 + </m:t>
                </m:r>
                <m:r>
                  <m:rPr>
                    <m:sty m:val="p"/>
                  </m:rPr>
                  <w:rPr>
                    <w:rFonts w:ascii="Cambria Math" w:hAnsi="Cambria Math" w:cs="Times New Roman"/>
                    <w:sz w:val="28"/>
                    <w:szCs w:val="28"/>
                    <w:lang w:val="en-US"/>
                  </w:rPr>
                  <m:t>r</m:t>
                </m:r>
                <m:r>
                  <m:rPr>
                    <m:sty m:val="p"/>
                  </m:rPr>
                  <w:rPr>
                    <w:rFonts w:ascii="Cambria Math" w:hAnsi="Cambria Math" w:cs="Times New Roman"/>
                    <w:sz w:val="28"/>
                    <w:szCs w:val="28"/>
                    <w:lang w:val="ru-RU"/>
                  </w:rPr>
                  <m:t xml:space="preserve"> - </m:t>
                </m:r>
                <m:r>
                  <m:rPr>
                    <m:sty m:val="p"/>
                  </m:rPr>
                  <w:rPr>
                    <w:rFonts w:ascii="Cambria Math" w:hAnsi="Cambria Math" w:cs="Times New Roman"/>
                    <w:sz w:val="28"/>
                    <w:szCs w:val="28"/>
                    <w:lang w:val="en-US"/>
                  </w:rPr>
                  <m:t>c</m:t>
                </m:r>
              </m:e>
            </m:d>
          </m:e>
          <m:sup>
            <m:r>
              <m:rPr>
                <m:sty m:val="p"/>
              </m:rPr>
              <w:rPr>
                <w:rFonts w:ascii="Cambria Math" w:hAnsi="Cambria Math" w:cs="Times New Roman"/>
                <w:sz w:val="28"/>
                <w:szCs w:val="28"/>
                <w:lang w:val="en-US"/>
              </w:rPr>
              <m:t>n</m:t>
            </m:r>
          </m:sup>
        </m:sSup>
      </m:oMath>
      <w:r>
        <w:rPr>
          <w:rFonts w:ascii="Times New Roman" w:hAnsi="Times New Roman" w:cs="Times New Roman"/>
          <w:sz w:val="28"/>
          <w:szCs w:val="28"/>
          <w:lang w:val="ru-RU"/>
        </w:rPr>
        <w:t>,                                      (9)</w:t>
      </w:r>
    </w:p>
    <w:p w14:paraId="42F53ACB" w14:textId="77777777" w:rsidR="00AC43B0"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Поскольку n выступает экспоненциальным множителем, даже умеренные по величине ежегодные удержания способны сформировать кумулятивный эффект, который по масштабу оказывается несоразмерным номинальной ставке комиссии, особенно на длинных временных интервалах. В прикладном контексте это означает, что капитал, направляемый на покрытие TER и прочих расходов, фактически исключается из процесса </w:t>
      </w:r>
      <w:r w:rsidRPr="00EC4086">
        <w:rPr>
          <w:rFonts w:ascii="Times New Roman" w:hAnsi="Times New Roman" w:cs="Times New Roman"/>
          <w:sz w:val="28"/>
          <w:szCs w:val="28"/>
          <w:lang w:val="ru-RU"/>
        </w:rPr>
        <w:lastRenderedPageBreak/>
        <w:t>реинвестирования, а потому снижает потенциальную траекторию роста портфеля</w:t>
      </w:r>
      <w:r w:rsidR="00AC43B0">
        <w:rPr>
          <w:rFonts w:ascii="Times New Roman" w:hAnsi="Times New Roman" w:cs="Times New Roman"/>
          <w:sz w:val="28"/>
          <w:szCs w:val="28"/>
          <w:lang w:val="ru-RU"/>
        </w:rPr>
        <w:t xml:space="preserve"> </w:t>
      </w:r>
      <w:r w:rsidR="00AC43B0" w:rsidRPr="00AC43B0">
        <w:rPr>
          <w:rFonts w:ascii="Times New Roman" w:hAnsi="Times New Roman" w:cs="Times New Roman"/>
          <w:sz w:val="28"/>
          <w:szCs w:val="28"/>
          <w:lang w:val="ru-RU"/>
        </w:rPr>
        <w:t>[47]</w:t>
      </w:r>
      <w:r w:rsidRPr="00EC4086">
        <w:rPr>
          <w:rFonts w:ascii="Times New Roman" w:hAnsi="Times New Roman" w:cs="Times New Roman"/>
          <w:sz w:val="28"/>
          <w:szCs w:val="28"/>
          <w:lang w:val="ru-RU"/>
        </w:rPr>
        <w:t xml:space="preserve">. </w:t>
      </w:r>
    </w:p>
    <w:p w14:paraId="54DD51F7" w14:textId="77777777" w:rsidR="005F2182" w:rsidRPr="00EC4086" w:rsidRDefault="005F2182"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В условиях высокой волатильности металлургического сектора, возможных периодов стагнации и неоднозначной дивидендной динамики эмитентов издержки фонда могут повышать вероятность того, что реальная (инфляционно скорректированная) доходность окажется низкой или отрицательной, что делает учет структуры расходов и их сопоставление с ожидаемой премией за риск существенным элементом обоснования инвестиционной стратегии.</w:t>
      </w:r>
    </w:p>
    <w:p w14:paraId="499E50DD" w14:textId="77777777" w:rsidR="00EC4086" w:rsidRPr="00EC4086" w:rsidRDefault="00EC4086" w:rsidP="004605F7">
      <w:pPr>
        <w:pStyle w:val="2"/>
        <w:spacing w:before="0" w:after="0" w:line="360" w:lineRule="auto"/>
        <w:rPr>
          <w:bCs/>
          <w:lang w:val="ru-RU"/>
        </w:rPr>
      </w:pPr>
    </w:p>
    <w:p w14:paraId="599109D9" w14:textId="77777777" w:rsidR="005F2182" w:rsidRPr="00EC4086" w:rsidRDefault="005F2182" w:rsidP="004605F7">
      <w:pPr>
        <w:pStyle w:val="2"/>
        <w:spacing w:before="0" w:after="0" w:line="360" w:lineRule="auto"/>
        <w:rPr>
          <w:bCs/>
          <w:lang w:val="ru-RU"/>
        </w:rPr>
      </w:pPr>
      <w:bookmarkStart w:id="7" w:name="_Toc229218488"/>
      <w:r w:rsidRPr="00EC4086">
        <w:rPr>
          <w:bCs/>
          <w:lang w:val="ru-RU"/>
        </w:rPr>
        <w:t>2.2. Оценка инвестиционной привлекательности крупнейших объектов инвестирования ОПИФ РФИ «ВИМ-Металлургия»</w:t>
      </w:r>
      <w:bookmarkEnd w:id="7"/>
    </w:p>
    <w:p w14:paraId="2C33A253" w14:textId="77777777" w:rsidR="005F2182" w:rsidRPr="00EC4086" w:rsidRDefault="005F2182" w:rsidP="004605F7">
      <w:pPr>
        <w:spacing w:line="360" w:lineRule="auto"/>
        <w:jc w:val="both"/>
        <w:rPr>
          <w:rFonts w:ascii="Times New Roman" w:hAnsi="Times New Roman" w:cs="Times New Roman"/>
          <w:sz w:val="28"/>
          <w:szCs w:val="28"/>
          <w:lang w:val="ru-RU"/>
        </w:rPr>
      </w:pPr>
    </w:p>
    <w:p w14:paraId="53E7117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Подобный подход позволяет соотнести наблюдаемую доходность и волатильность фонда с устойчивостью базовых активов, а также уточнить источники потенциальных уязвимостей в условиях меняющейся макроэкономической и отраслевой конъюнктуры</w:t>
      </w:r>
      <w:r w:rsidR="00A30BC7">
        <w:rPr>
          <w:rFonts w:ascii="Times New Roman" w:hAnsi="Times New Roman" w:cs="Times New Roman"/>
          <w:sz w:val="28"/>
          <w:szCs w:val="28"/>
          <w:lang w:val="ru-RU"/>
        </w:rPr>
        <w:t xml:space="preserve"> [11, с. 132</w:t>
      </w:r>
      <w:r w:rsidR="00A30BC7" w:rsidRPr="00A30BC7">
        <w:rPr>
          <w:rFonts w:ascii="Times New Roman" w:hAnsi="Times New Roman" w:cs="Times New Roman"/>
          <w:sz w:val="28"/>
          <w:szCs w:val="28"/>
          <w:lang w:val="ru-RU"/>
        </w:rPr>
        <w:t>]</w:t>
      </w:r>
      <w:r w:rsidRPr="00EC4086">
        <w:rPr>
          <w:rFonts w:ascii="Times New Roman" w:hAnsi="Times New Roman" w:cs="Times New Roman"/>
          <w:sz w:val="28"/>
          <w:szCs w:val="28"/>
          <w:lang w:val="ru-RU"/>
        </w:rPr>
        <w:t>.</w:t>
      </w:r>
    </w:p>
    <w:p w14:paraId="629698E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w:t>
      </w:r>
      <w:r w:rsidRPr="00EC4086">
        <w:rPr>
          <w:rFonts w:ascii="Times New Roman" w:hAnsi="Times New Roman" w:cs="Times New Roman"/>
          <w:sz w:val="28"/>
          <w:szCs w:val="28"/>
          <w:lang w:val="ru-RU"/>
        </w:rPr>
        <w:lastRenderedPageBreak/>
        <w:t>черной металлургии. В контексте портфеля фонда данная позиция может интерпретироваться как высокомаржинальный актив, ориентированный на формирование устойчивого денежного потока за счет продуктовой линейки с относительно высокой добавленной стоимостью, а также за счет операционной эффективности, характерной для интегрированных производственных цепочек</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15]</w:t>
      </w:r>
      <w:r w:rsidRPr="00EC4086">
        <w:rPr>
          <w:rFonts w:ascii="Times New Roman" w:hAnsi="Times New Roman" w:cs="Times New Roman"/>
          <w:sz w:val="28"/>
          <w:szCs w:val="28"/>
          <w:lang w:val="ru-RU"/>
        </w:rPr>
        <w:t>.</w:t>
      </w:r>
    </w:p>
    <w:p w14:paraId="46742A4F"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Финансовое положение компании характеризуется высокой платежеспособностью и значительным запасом краткосрочной устойчивости. Валюта баланса демонстрирует стабильную восходящую динамику, что может отражать как расширение операционного масштаба, так и консервативный подход к формированию оборотного капитала. Коэффициент текущей ликвидности по итогам отчетных периодов устойчиво превышает ориентир 2,0, который в прикладном финансовом анализе часто используется как условный норматив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110]</w:t>
      </w:r>
      <w:r w:rsidRPr="00EC4086">
        <w:rPr>
          <w:rFonts w:ascii="Times New Roman" w:hAnsi="Times New Roman" w:cs="Times New Roman"/>
          <w:sz w:val="28"/>
          <w:szCs w:val="28"/>
          <w:lang w:val="ru-RU"/>
        </w:rPr>
        <w:t>. Коэффициент абсолютной ликвидности дополнительно фиксирует наличие существенного объема высоколиквидных средств; такой запас, по-видимому, связан, среди прочего, с пересмотром дивидендной политики на фоне санкционных ограничений и повышенной неопределенности внешней среды.</w:t>
      </w:r>
    </w:p>
    <w:p w14:paraId="7187FD7A"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эффективности использования капитала находятся на повышенных уровнях: ROA составляет порядка 19,5%, ROE превышает 31,5%</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156]</w:t>
      </w:r>
      <w:r w:rsidRPr="00EC4086">
        <w:rPr>
          <w:rFonts w:ascii="Times New Roman" w:hAnsi="Times New Roman" w:cs="Times New Roman"/>
          <w:sz w:val="28"/>
          <w:szCs w:val="28"/>
          <w:lang w:val="ru-RU"/>
        </w:rPr>
        <w:t xml:space="preserve">. Маржинальность по EBITDA устойчиво превосходит среднеотраслевые значения, что согласуется с гипотезой о контроле издержек, наличии масштабного эффекта и более благоприятной структуре продуктового портфеля. Вместе с тем для корректной интерпретации рентабельности следует учитывать цикличность </w:t>
      </w:r>
      <w:r w:rsidRPr="00EC4086">
        <w:rPr>
          <w:rFonts w:ascii="Times New Roman" w:hAnsi="Times New Roman" w:cs="Times New Roman"/>
          <w:sz w:val="28"/>
          <w:szCs w:val="28"/>
          <w:lang w:val="ru-RU"/>
        </w:rPr>
        <w:lastRenderedPageBreak/>
        <w:t>металлургического рынка и возможное влияние ценовой конъюнктуры на конечные показатели.</w:t>
      </w:r>
    </w:p>
    <w:p w14:paraId="091416ED"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Капитальная структура оценивается как устойчиво-консервативная: коэффициент автономии превышает 0,6, что снижает чувствительность к шокам на кредитных рынках</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140]</w:t>
      </w:r>
      <w:r w:rsidRPr="00EC4086">
        <w:rPr>
          <w:rFonts w:ascii="Times New Roman" w:hAnsi="Times New Roman" w:cs="Times New Roman"/>
          <w:sz w:val="28"/>
          <w:szCs w:val="28"/>
          <w:lang w:val="ru-RU"/>
        </w:rPr>
        <w:t>. Показатель «Чистый долг / EBITDA» принимает отрицательное значение, поскольку объем денежных средств и их эквивалентов превышает совокупный долг. В рамках дискриминантного подхода модели Альтмана дают результаты, соответствующие крайне низкой вероятности финансовой несостоятельности. В рассматриваемой выборке данная компания выступает одним из наиболее устойчивых элементов портфеля, потенциально выполняя «защитную» функцию в периоды ухудшения рыночной конъюнктуры.</w:t>
      </w:r>
    </w:p>
    <w:p w14:paraId="62C0414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«ММК» относится к крупнейшим российским производителям стали и исторически ориентировано на внутренний рынок, в том числе на строительный сектор, машиностроение и автомобильную промышленность</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17]</w:t>
      </w:r>
      <w:r w:rsidRPr="00EC4086">
        <w:rPr>
          <w:rFonts w:ascii="Times New Roman" w:hAnsi="Times New Roman" w:cs="Times New Roman"/>
          <w:sz w:val="28"/>
          <w:szCs w:val="28"/>
          <w:lang w:val="ru-RU"/>
        </w:rPr>
        <w:t>. Для портфеля фонда данный эмитент может рассматриваться как стабилизирующая позиция, чья чувствительность к рискам экспортных ограничений, по сравнению с экспортноориентированными компаниями, относительно ниже, хотя и не исключает косвенного влияния через внутренний спрос и ценовые ожидания.</w:t>
      </w:r>
    </w:p>
    <w:p w14:paraId="049485E7"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Анализ ликвидности и платежеспособности: Компания придерживается консервативного финансового профиля: коэффициент текущей ликвидности устойчиво удерживается выше 2,0. Генерация денежных потоков позволяет покрывать краткосрочные обязательства без выраженного напряжения, а наличие значимых денежных остатков снижает вероятность кассовых разрывов. Дополнительно следует отметить, что подобная </w:t>
      </w:r>
      <w:proofErr w:type="spellStart"/>
      <w:r w:rsidRPr="00EC4086">
        <w:rPr>
          <w:rFonts w:ascii="Times New Roman" w:hAnsi="Times New Roman" w:cs="Times New Roman"/>
          <w:sz w:val="28"/>
          <w:szCs w:val="28"/>
          <w:lang w:val="ru-RU"/>
        </w:rPr>
        <w:t>ликвидностная</w:t>
      </w:r>
      <w:proofErr w:type="spellEnd"/>
      <w:r w:rsidRPr="00EC4086">
        <w:rPr>
          <w:rFonts w:ascii="Times New Roman" w:hAnsi="Times New Roman" w:cs="Times New Roman"/>
          <w:sz w:val="28"/>
          <w:szCs w:val="28"/>
          <w:lang w:val="ru-RU"/>
        </w:rPr>
        <w:t xml:space="preserve"> позиция в капиталоемких отраслях обычно рассматривается как фактор </w:t>
      </w:r>
      <w:r w:rsidRPr="00EC4086">
        <w:rPr>
          <w:rFonts w:ascii="Times New Roman" w:hAnsi="Times New Roman" w:cs="Times New Roman"/>
          <w:sz w:val="28"/>
          <w:szCs w:val="28"/>
          <w:lang w:val="ru-RU"/>
        </w:rPr>
        <w:lastRenderedPageBreak/>
        <w:t>устойчивости к временным сбоям в цепочках поставок и к колебаниям оборотного капитала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22, с. 112]</w:t>
      </w:r>
      <w:r w:rsidRPr="00EC4086">
        <w:rPr>
          <w:rFonts w:ascii="Times New Roman" w:hAnsi="Times New Roman" w:cs="Times New Roman"/>
          <w:sz w:val="28"/>
          <w:szCs w:val="28"/>
          <w:lang w:val="ru-RU"/>
        </w:rPr>
        <w:t>.</w:t>
      </w:r>
    </w:p>
    <w:p w14:paraId="50E1AB3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ROE восстановился до уровня около 18%, а маржа по EBITDA стабильно превышает 25%. Рост внутренних продаж, судя по отчетной динамике, способен частично компенсировать снижение экспортной выручки, хотя степень такой компенсации зависит от ценовой эластичности внутреннего рынка и от инвестиционной активности ключевых потребляющих отраслей. В целом показатели отражают сохранение конкурентоспособности в условиях адаптации к внешним ограничениям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[16, с. 82]</w:t>
      </w:r>
      <w:r w:rsidRPr="00EC4086">
        <w:rPr>
          <w:rFonts w:ascii="Times New Roman" w:hAnsi="Times New Roman" w:cs="Times New Roman"/>
          <w:sz w:val="28"/>
          <w:szCs w:val="28"/>
          <w:lang w:val="ru-RU"/>
        </w:rPr>
        <w:t>.</w:t>
      </w:r>
    </w:p>
    <w:p w14:paraId="7C72FF19"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Доля собственного капитала в балансе остается высокой даже по отраслевым меркам, что повышает устойчивость в стресс-сценариях. Чистый долг сохраняет отрицательное значение, что указывает на низкую зависимость от заемного финансирования. Адаптивность компании к макроэкономическим шокам проявляется через способность перестраивать каналы сбыта и поддерживать приемлемые уровни маржинальности; при этом корректнее говорить о высокой инвестиционной привлекательности при прочих равных условиях, избегая трактовок, предполагающих безусловность такого вывода.</w:t>
      </w:r>
    </w:p>
    <w:p w14:paraId="62B16E45"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ПАО «ГМК «Норильский никель» является одним из крупнейших мировых производителей никеля и палладия. В портфеле фонда данная позиция выполняет функцию отраслевой диверсификации, снижая концентрацию в сегменте черной металлургии, однако одновременно добавляет экспозицию к специфическим рискам рынка цветных металлов, включая ценовую волатильность и </w:t>
      </w:r>
      <w:proofErr w:type="spellStart"/>
      <w:r w:rsidRPr="00EC4086">
        <w:rPr>
          <w:rFonts w:ascii="Times New Roman" w:hAnsi="Times New Roman" w:cs="Times New Roman"/>
          <w:sz w:val="28"/>
          <w:szCs w:val="28"/>
          <w:lang w:val="ru-RU"/>
        </w:rPr>
        <w:t>логистико</w:t>
      </w:r>
      <w:proofErr w:type="spellEnd"/>
      <w:r w:rsidRPr="00EC4086">
        <w:rPr>
          <w:rFonts w:ascii="Times New Roman" w:hAnsi="Times New Roman" w:cs="Times New Roman"/>
          <w:sz w:val="28"/>
          <w:szCs w:val="28"/>
          <w:lang w:val="ru-RU"/>
        </w:rPr>
        <w:t>-санкционные ограничения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[30, с. 20]</w:t>
      </w:r>
      <w:r w:rsidRPr="00EC4086">
        <w:rPr>
          <w:rFonts w:ascii="Times New Roman" w:hAnsi="Times New Roman" w:cs="Times New Roman"/>
          <w:sz w:val="28"/>
          <w:szCs w:val="28"/>
          <w:lang w:val="ru-RU"/>
        </w:rPr>
        <w:t>.</w:t>
      </w:r>
    </w:p>
    <w:p w14:paraId="4BE04793"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ликвидности и платежеспособности: На фоне сокращения свободных денежных потоков, обусловленного снижением мировых цен на корзину цветных металлов и перестройкой логистических цепочек, коэффициент текущей ликвидности снизился до 1,2–1,3. Такой уровень в целом может рассматриваться как приемлемый для непрерывной операционной деятельности, однако запас финансовой прочности становится менее выраженным по сравнению с крупнейшими предприятиями черной металлургии. В данном контексте усиливается значимость доступа к рынкам капитала и качества управления оборотным капиталом.</w:t>
      </w:r>
    </w:p>
    <w:p w14:paraId="7626AB90"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Показатели ROA и ROE продемонстрировали снижение под влиянием внешних шоков, что согласуется с ухудшением ценовой конъюнктуры и ростом издержек адаптации. При этом маржа по EBITDA остается на уровне около 48%, что по международным сопоставлениям является высоким значением и отражает структурную рентабельность бизнеса, связанную с ресурсной базой и позицией компании на мировом рынке. Вместе с тем сохранение высокой EBITDA-маржинальности не исключает давления на чистую прибыль при росте амортизационных отчислений и финансовых расходов</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[9, с. 320]</w:t>
      </w:r>
      <w:r w:rsidRPr="00EC4086">
        <w:rPr>
          <w:rFonts w:ascii="Times New Roman" w:hAnsi="Times New Roman" w:cs="Times New Roman"/>
          <w:sz w:val="28"/>
          <w:szCs w:val="28"/>
          <w:lang w:val="ru-RU"/>
        </w:rPr>
        <w:t>.</w:t>
      </w:r>
    </w:p>
    <w:p w14:paraId="4490B95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риска банкротства: Долговая нагрузка увеличилась в связи с прохождением инвестиционного цикла и обновлением основных фондов. Соотношение «Чистый долг / EBITDA» выросло до 1,2x, что само по себе остается в рамках умеренных значений, но указывает на снижение финансовой свободы по сравнению с периодами сверхконсервативного баланса. Дискриминантные модели не сигнализируют о высокой вероятности несостоятельности, однако текущая фаза повышенных CAPEX объективно сокращает краткосрочную инвестиционную привлекательность для </w:t>
      </w:r>
      <w:r w:rsidRPr="00EC4086">
        <w:rPr>
          <w:rFonts w:ascii="Times New Roman" w:hAnsi="Times New Roman" w:cs="Times New Roman"/>
          <w:sz w:val="28"/>
          <w:szCs w:val="28"/>
          <w:lang w:val="ru-RU"/>
        </w:rPr>
        <w:lastRenderedPageBreak/>
        <w:t>портфеля, ориентированного на устойчивую динамику стоимости чистых активов.</w:t>
      </w:r>
    </w:p>
    <w:p w14:paraId="7F23D69C" w14:textId="77777777" w:rsidR="00EC4086" w:rsidRPr="00EC4086" w:rsidRDefault="00EC4086" w:rsidP="00A30BC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МКПАО «ЭН+ ГРУП» является холдинговой структурой, объединяющей электрогенерирующие активы и контрольный пакет ОК «РУСАЛ». Присутствие данного эмитента в портфеле обеспечивает экспозицию одновременно к сегменту алюминиевой промышленности и к электроэнергетике, включая компоненты относительно «чистой» генерации, что может быть интерпретировано как расширение отраслевого охвата фонда</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18]</w:t>
      </w:r>
      <w:r w:rsidRPr="00EC4086">
        <w:rPr>
          <w:rFonts w:ascii="Times New Roman" w:hAnsi="Times New Roman" w:cs="Times New Roman"/>
          <w:sz w:val="28"/>
          <w:szCs w:val="28"/>
          <w:lang w:val="ru-RU"/>
        </w:rPr>
        <w:t>.</w:t>
      </w:r>
    </w:p>
    <w:p w14:paraId="1CED16DC"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Финансовые параметры холдинга испытывают заметное давление вследствие ухудшения условий в алюминиевом сегменте, включая снижение котировок на LME и действие экспортных пошлин. Коэффициент текущей ликвидности находится вблизи пороговых значений и оценивается примерно в диапазоне 1,05–1,1. Такая конфигурация означает, что краткосрочная устойчивость в большей степени зависит от регулярности поступления операционного денежного потока и от способности компании поддерживать условия рефинансирования, чем от наличия значимого ликвидного резерва.</w:t>
      </w:r>
    </w:p>
    <w:p w14:paraId="4E92B6E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рентабельности: Финансовые результаты остаются под давлением, чистая прибыль существенно сократилась. ROE снизился до 3–4%, что заметно ниже ориентиров безрисковой доходности в Российской Федерации; в инвестиционном анализе это обычно интерпретируется как снижение компенсации инвестору за принятие риска. Дополнительным фактором выступает цикличность сырьевых рынков, которая усиливает неопределенность краткосрочных прогнозов, особенно при одновременном воздействии регуляторных и внешнеторговых ограничений.</w:t>
      </w:r>
    </w:p>
    <w:p w14:paraId="6D7EE87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Оценка риска банкротства: Холдинг сохраняет повышенную долговую нагрузку, сформированную исторически. Показатель «Чистый долг / EBITDA» приблизился к 3,5x–4,0x, что в прикладных оценках часто относится к зоне повышенного риска, особенно в условиях сжатия маржи. Операционная прибыльность, по имеющимся данным, лишь с ограниченным запасом покрывает обслуживание долгового портфеля, что повышает чувствительность к росту процентных ставок, к колебаниям валютных курсов и к неблагоприятной динамике цен на алюминий. В результате присутствие МКПАО «ЭН+ ГРУП» увеличивает восприимчивость портфеля к макроэкономическим шокам и снижает его агрегированную устойчивость.</w:t>
      </w:r>
    </w:p>
    <w:p w14:paraId="38A85048"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Для портфеля фонда данная компания формирует экспозицию к сегментам высокотехнологичного машиностроения, а также к цепочкам поставок, в которых востребованы материалы специального назначения; подобная экспозиция отличается от классической металлургической цикличности и может частично сглаживать отраслевую концентрацию</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[33, с. 19]</w:t>
      </w:r>
      <w:r w:rsidRPr="00EC4086">
        <w:rPr>
          <w:rFonts w:ascii="Times New Roman" w:hAnsi="Times New Roman" w:cs="Times New Roman"/>
          <w:sz w:val="28"/>
          <w:szCs w:val="28"/>
          <w:lang w:val="ru-RU"/>
        </w:rPr>
        <w:t>.</w:t>
      </w:r>
    </w:p>
    <w:p w14:paraId="2C1C9F2B"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Анализ ликвидности и платежеспособности: После прохождения логистических шоков корпорации удалось стабилизировать сбыт и восстановить предсказуемость операционных потоков. Ликвидность баланса оценивается как высокая: коэффициент текущей ликвидности превышает 2,8, что указывает на значительный запас по покрытию краткосрочных обязательств. Данная характеристика, как правило, рассматривается как фактор устойчивости в условиях неопределенности по внешним рынкам и по структуре заказов.</w:t>
      </w:r>
    </w:p>
    <w:p w14:paraId="6112F342"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lastRenderedPageBreak/>
        <w:t>Анализ рентабельности: Рост внутреннего спроса позволил поддерживать маржу по EBITDA выше 35%. ROA удерживается в диапазоне 12–15%, ROE превышает 20%, что согласуется с представлением об устойчивости бизнес-модели и о способности сохранять прибыльность при адаптации к изменению географии продаж. При этом корректная интерпретация требует учета возможных структурных сдвигов в спросе со стороны авиационной и машиностроительной отраслей, а также потенциальных ограничений на экспорт высокотехнологичной продукции</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[11, с. 90]</w:t>
      </w:r>
      <w:r w:rsidRPr="00EC4086">
        <w:rPr>
          <w:rFonts w:ascii="Times New Roman" w:hAnsi="Times New Roman" w:cs="Times New Roman"/>
          <w:sz w:val="28"/>
          <w:szCs w:val="28"/>
          <w:lang w:val="ru-RU"/>
        </w:rPr>
        <w:t>.</w:t>
      </w:r>
    </w:p>
    <w:p w14:paraId="2F0B257C" w14:textId="77777777" w:rsidR="00EC4086" w:rsidRPr="006C118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Оценка риска банкротства: Критическая долговая нагрузка отсутствует: заемный капитал составляет менее 35% валюты баланса. Значения Z-счета Альтмана уверенно относят предприятие к группе финансово устойчивых компаний без выраженных признаков несостоятельности. В рамках портфеля данная позиция может рассматриваться как один из устойчивых компонентов, хотя ее риск-профиль в существенной степени определяется отраслевой спецификой и чувствительностью к внешним рынкам конечного потребления.</w:t>
      </w:r>
    </w:p>
    <w:p w14:paraId="447095FE" w14:textId="77777777"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Для количественного и наглядного подтверждения результатов фундаментального анализа, в Таблице 1 систематизированы ключевые финансовые коэффициенты крупнейших эмитентов, формирующих ядро рассматриваемого инвестиционного портфеля (расчетные данные приведены на основе консолидированной отчетности по МСФО).</w:t>
      </w:r>
    </w:p>
    <w:p w14:paraId="3BE7239E" w14:textId="77777777" w:rsidR="006C1187" w:rsidRDefault="006C1187" w:rsidP="006C1187">
      <w:pPr>
        <w:spacing w:line="360" w:lineRule="auto"/>
        <w:ind w:firstLine="709"/>
        <w:jc w:val="both"/>
        <w:rPr>
          <w:rFonts w:ascii="Times New Roman" w:hAnsi="Times New Roman" w:cs="Times New Roman"/>
          <w:b/>
          <w:bCs/>
          <w:sz w:val="28"/>
          <w:szCs w:val="28"/>
          <w:lang w:val="en-US"/>
        </w:rPr>
      </w:pPr>
    </w:p>
    <w:p w14:paraId="2F6B682D" w14:textId="77777777" w:rsidR="006C1187" w:rsidRDefault="006C1187" w:rsidP="006C1187">
      <w:pPr>
        <w:spacing w:line="360" w:lineRule="auto"/>
        <w:ind w:firstLine="709"/>
        <w:jc w:val="both"/>
        <w:rPr>
          <w:rFonts w:ascii="Times New Roman" w:hAnsi="Times New Roman" w:cs="Times New Roman"/>
          <w:b/>
          <w:bCs/>
          <w:sz w:val="28"/>
          <w:szCs w:val="28"/>
          <w:lang w:val="en-US"/>
        </w:rPr>
      </w:pPr>
    </w:p>
    <w:p w14:paraId="76EAB99C" w14:textId="77777777" w:rsidR="006C1187" w:rsidRDefault="006C1187" w:rsidP="006C1187">
      <w:pPr>
        <w:spacing w:line="360" w:lineRule="auto"/>
        <w:ind w:firstLine="709"/>
        <w:jc w:val="both"/>
        <w:rPr>
          <w:rFonts w:ascii="Times New Roman" w:hAnsi="Times New Roman" w:cs="Times New Roman"/>
          <w:b/>
          <w:bCs/>
          <w:sz w:val="28"/>
          <w:szCs w:val="28"/>
          <w:lang w:val="en-US"/>
        </w:rPr>
      </w:pPr>
    </w:p>
    <w:p w14:paraId="0BAE1956" w14:textId="77777777" w:rsidR="006C1187" w:rsidRDefault="006C1187" w:rsidP="006C1187">
      <w:pPr>
        <w:spacing w:line="360" w:lineRule="auto"/>
        <w:ind w:firstLine="709"/>
        <w:jc w:val="both"/>
        <w:rPr>
          <w:rFonts w:ascii="Times New Roman" w:hAnsi="Times New Roman" w:cs="Times New Roman"/>
          <w:b/>
          <w:bCs/>
          <w:sz w:val="28"/>
          <w:szCs w:val="28"/>
          <w:lang w:val="en-US"/>
        </w:rPr>
      </w:pPr>
    </w:p>
    <w:p w14:paraId="2E37130E" w14:textId="25DF8996" w:rsidR="006C1187" w:rsidRPr="006C1187" w:rsidRDefault="006C1187" w:rsidP="006C1187">
      <w:pPr>
        <w:spacing w:line="24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lastRenderedPageBreak/>
        <w:t>Таблица 1 – Ключевые фундаментальные показатели крупнейших объектов инвестирования ОПИФ РФИ «ВИМ-Металлургия»</w:t>
      </w:r>
    </w:p>
    <w:tbl>
      <w:tblPr>
        <w:tblStyle w:val="af"/>
        <w:tblW w:w="0" w:type="auto"/>
        <w:tblLook w:val="04A0" w:firstRow="1" w:lastRow="0" w:firstColumn="1" w:lastColumn="0" w:noHBand="0" w:noVBand="1"/>
      </w:tblPr>
      <w:tblGrid>
        <w:gridCol w:w="2094"/>
        <w:gridCol w:w="1262"/>
        <w:gridCol w:w="1917"/>
        <w:gridCol w:w="1219"/>
        <w:gridCol w:w="1243"/>
        <w:gridCol w:w="1615"/>
      </w:tblGrid>
      <w:tr w:rsidR="006C1187" w:rsidRPr="006C1187" w14:paraId="68DFA3B5" w14:textId="77777777" w:rsidTr="006C1187">
        <w:tc>
          <w:tcPr>
            <w:tcW w:w="2093" w:type="dxa"/>
            <w:vAlign w:val="center"/>
            <w:hideMark/>
          </w:tcPr>
          <w:p w14:paraId="11E2DB80"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Эмитент</w:t>
            </w:r>
          </w:p>
        </w:tc>
        <w:tc>
          <w:tcPr>
            <w:tcW w:w="1095" w:type="dxa"/>
            <w:hideMark/>
          </w:tcPr>
          <w:p w14:paraId="470B880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Удельный вес в портфеле, %</w:t>
            </w:r>
          </w:p>
        </w:tc>
        <w:tc>
          <w:tcPr>
            <w:tcW w:w="0" w:type="auto"/>
            <w:hideMark/>
          </w:tcPr>
          <w:p w14:paraId="206F50A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Рентабельность капитала (ROE), %</w:t>
            </w:r>
          </w:p>
        </w:tc>
        <w:tc>
          <w:tcPr>
            <w:tcW w:w="0" w:type="auto"/>
            <w:hideMark/>
          </w:tcPr>
          <w:p w14:paraId="6976397C"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Маржа по EBITDA, %</w:t>
            </w:r>
          </w:p>
        </w:tc>
        <w:tc>
          <w:tcPr>
            <w:tcW w:w="0" w:type="auto"/>
            <w:hideMark/>
          </w:tcPr>
          <w:p w14:paraId="77883EE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Чистый долг / EBITDA, (x)</w:t>
            </w:r>
          </w:p>
        </w:tc>
        <w:tc>
          <w:tcPr>
            <w:tcW w:w="0" w:type="auto"/>
            <w:hideMark/>
          </w:tcPr>
          <w:p w14:paraId="40E33E73" w14:textId="77777777" w:rsidR="006C1187" w:rsidRPr="006C1187" w:rsidRDefault="006C1187" w:rsidP="006C1187">
            <w:pPr>
              <w:jc w:val="center"/>
              <w:rPr>
                <w:rFonts w:ascii="Times New Roman" w:hAnsi="Times New Roman" w:cs="Times New Roman"/>
                <w:sz w:val="24"/>
                <w:szCs w:val="24"/>
                <w:lang w:val="ru-RU"/>
              </w:rPr>
            </w:pPr>
            <w:proofErr w:type="spellStart"/>
            <w:r w:rsidRPr="006C1187">
              <w:rPr>
                <w:rFonts w:ascii="Times New Roman" w:hAnsi="Times New Roman" w:cs="Times New Roman"/>
                <w:sz w:val="24"/>
                <w:szCs w:val="24"/>
                <w:lang w:val="ru-RU"/>
              </w:rPr>
              <w:t>Коэфф</w:t>
            </w:r>
            <w:proofErr w:type="spellEnd"/>
            <w:proofErr w:type="gramStart"/>
            <w:r w:rsidRPr="006C1187">
              <w:rPr>
                <w:rFonts w:ascii="Times New Roman" w:hAnsi="Times New Roman" w:cs="Times New Roman"/>
                <w:sz w:val="24"/>
                <w:szCs w:val="24"/>
                <w:lang w:val="ru-RU"/>
              </w:rPr>
              <w:t>.</w:t>
            </w:r>
            <w:proofErr w:type="gramEnd"/>
            <w:r w:rsidRPr="006C1187">
              <w:rPr>
                <w:rFonts w:ascii="Times New Roman" w:hAnsi="Times New Roman" w:cs="Times New Roman"/>
                <w:sz w:val="24"/>
                <w:szCs w:val="24"/>
                <w:lang w:val="ru-RU"/>
              </w:rPr>
              <w:t xml:space="preserve"> текущей ликвидности</w:t>
            </w:r>
          </w:p>
        </w:tc>
      </w:tr>
      <w:tr w:rsidR="006C1187" w:rsidRPr="006C1187" w14:paraId="3CEAA710" w14:textId="77777777" w:rsidTr="006C1187">
        <w:tc>
          <w:tcPr>
            <w:tcW w:w="2093" w:type="dxa"/>
            <w:vAlign w:val="center"/>
            <w:hideMark/>
          </w:tcPr>
          <w:p w14:paraId="6698401A"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«Северсталь»</w:t>
            </w:r>
          </w:p>
        </w:tc>
        <w:tc>
          <w:tcPr>
            <w:tcW w:w="1095" w:type="dxa"/>
            <w:vAlign w:val="center"/>
            <w:hideMark/>
          </w:tcPr>
          <w:p w14:paraId="79E00E1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18,5</w:t>
            </w:r>
          </w:p>
        </w:tc>
        <w:tc>
          <w:tcPr>
            <w:tcW w:w="0" w:type="auto"/>
            <w:vAlign w:val="center"/>
            <w:hideMark/>
          </w:tcPr>
          <w:p w14:paraId="238A8B9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31,5</w:t>
            </w:r>
          </w:p>
        </w:tc>
        <w:tc>
          <w:tcPr>
            <w:tcW w:w="0" w:type="auto"/>
            <w:vAlign w:val="center"/>
            <w:hideMark/>
          </w:tcPr>
          <w:p w14:paraId="1519C88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34,2</w:t>
            </w:r>
          </w:p>
        </w:tc>
        <w:tc>
          <w:tcPr>
            <w:tcW w:w="0" w:type="auto"/>
            <w:vAlign w:val="center"/>
            <w:hideMark/>
          </w:tcPr>
          <w:p w14:paraId="192F482D"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-0,2</w:t>
            </w:r>
          </w:p>
        </w:tc>
        <w:tc>
          <w:tcPr>
            <w:tcW w:w="0" w:type="auto"/>
            <w:vAlign w:val="center"/>
            <w:hideMark/>
          </w:tcPr>
          <w:p w14:paraId="45F0AB5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2,15</w:t>
            </w:r>
          </w:p>
        </w:tc>
      </w:tr>
      <w:tr w:rsidR="006C1187" w:rsidRPr="006C1187" w14:paraId="3BDD0F1D" w14:textId="77777777" w:rsidTr="006C1187">
        <w:tc>
          <w:tcPr>
            <w:tcW w:w="2093" w:type="dxa"/>
            <w:vAlign w:val="center"/>
            <w:hideMark/>
          </w:tcPr>
          <w:p w14:paraId="1117E4F6"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«ММК»</w:t>
            </w:r>
          </w:p>
        </w:tc>
        <w:tc>
          <w:tcPr>
            <w:tcW w:w="1095" w:type="dxa"/>
            <w:vAlign w:val="center"/>
            <w:hideMark/>
          </w:tcPr>
          <w:p w14:paraId="5CB7642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16,2</w:t>
            </w:r>
          </w:p>
        </w:tc>
        <w:tc>
          <w:tcPr>
            <w:tcW w:w="0" w:type="auto"/>
            <w:vAlign w:val="center"/>
            <w:hideMark/>
          </w:tcPr>
          <w:p w14:paraId="028AA54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18,2</w:t>
            </w:r>
          </w:p>
        </w:tc>
        <w:tc>
          <w:tcPr>
            <w:tcW w:w="0" w:type="auto"/>
            <w:vAlign w:val="center"/>
            <w:hideMark/>
          </w:tcPr>
          <w:p w14:paraId="1BF4797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25,4</w:t>
            </w:r>
          </w:p>
        </w:tc>
        <w:tc>
          <w:tcPr>
            <w:tcW w:w="0" w:type="auto"/>
            <w:vAlign w:val="center"/>
            <w:hideMark/>
          </w:tcPr>
          <w:p w14:paraId="0CE4220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-0,4</w:t>
            </w:r>
          </w:p>
        </w:tc>
        <w:tc>
          <w:tcPr>
            <w:tcW w:w="0" w:type="auto"/>
            <w:vAlign w:val="center"/>
            <w:hideMark/>
          </w:tcPr>
          <w:p w14:paraId="26F90FBA"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2,30</w:t>
            </w:r>
          </w:p>
        </w:tc>
      </w:tr>
      <w:tr w:rsidR="006C1187" w:rsidRPr="006C1187" w14:paraId="645AFC08" w14:textId="77777777" w:rsidTr="006C1187">
        <w:tc>
          <w:tcPr>
            <w:tcW w:w="2093" w:type="dxa"/>
            <w:vAlign w:val="center"/>
            <w:hideMark/>
          </w:tcPr>
          <w:p w14:paraId="2A999C62"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«ГМК «Норильский никель»</w:t>
            </w:r>
          </w:p>
        </w:tc>
        <w:tc>
          <w:tcPr>
            <w:tcW w:w="1095" w:type="dxa"/>
            <w:vAlign w:val="center"/>
            <w:hideMark/>
          </w:tcPr>
          <w:p w14:paraId="6211351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16,8</w:t>
            </w:r>
          </w:p>
        </w:tc>
        <w:tc>
          <w:tcPr>
            <w:tcW w:w="0" w:type="auto"/>
            <w:vAlign w:val="center"/>
            <w:hideMark/>
          </w:tcPr>
          <w:p w14:paraId="492DA25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12,4</w:t>
            </w:r>
          </w:p>
        </w:tc>
        <w:tc>
          <w:tcPr>
            <w:tcW w:w="0" w:type="auto"/>
            <w:vAlign w:val="center"/>
            <w:hideMark/>
          </w:tcPr>
          <w:p w14:paraId="76BADE2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48,1</w:t>
            </w:r>
          </w:p>
        </w:tc>
        <w:tc>
          <w:tcPr>
            <w:tcW w:w="0" w:type="auto"/>
            <w:vAlign w:val="center"/>
            <w:hideMark/>
          </w:tcPr>
          <w:p w14:paraId="79E8FDCA"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w:t>
            </w:r>
          </w:p>
        </w:tc>
        <w:tc>
          <w:tcPr>
            <w:tcW w:w="0" w:type="auto"/>
            <w:vAlign w:val="center"/>
            <w:hideMark/>
          </w:tcPr>
          <w:p w14:paraId="7A5D322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1,25</w:t>
            </w:r>
          </w:p>
        </w:tc>
      </w:tr>
      <w:tr w:rsidR="006C1187" w:rsidRPr="006C1187" w14:paraId="1DBE6D7B" w14:textId="77777777" w:rsidTr="006C1187">
        <w:tc>
          <w:tcPr>
            <w:tcW w:w="2093" w:type="dxa"/>
            <w:vAlign w:val="center"/>
            <w:hideMark/>
          </w:tcPr>
          <w:p w14:paraId="11839959"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МКПАО «ЭН+ ГРУП»</w:t>
            </w:r>
          </w:p>
        </w:tc>
        <w:tc>
          <w:tcPr>
            <w:tcW w:w="1095" w:type="dxa"/>
            <w:vAlign w:val="center"/>
            <w:hideMark/>
          </w:tcPr>
          <w:p w14:paraId="009EA80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14,3</w:t>
            </w:r>
          </w:p>
        </w:tc>
        <w:tc>
          <w:tcPr>
            <w:tcW w:w="0" w:type="auto"/>
            <w:vAlign w:val="center"/>
            <w:hideMark/>
          </w:tcPr>
          <w:p w14:paraId="61A0CCF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3,8</w:t>
            </w:r>
          </w:p>
        </w:tc>
        <w:tc>
          <w:tcPr>
            <w:tcW w:w="0" w:type="auto"/>
            <w:vAlign w:val="center"/>
            <w:hideMark/>
          </w:tcPr>
          <w:p w14:paraId="70E3F0F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14,5</w:t>
            </w:r>
          </w:p>
        </w:tc>
        <w:tc>
          <w:tcPr>
            <w:tcW w:w="0" w:type="auto"/>
            <w:vAlign w:val="center"/>
            <w:hideMark/>
          </w:tcPr>
          <w:p w14:paraId="739FA20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3,8</w:t>
            </w:r>
          </w:p>
        </w:tc>
        <w:tc>
          <w:tcPr>
            <w:tcW w:w="0" w:type="auto"/>
            <w:vAlign w:val="center"/>
            <w:hideMark/>
          </w:tcPr>
          <w:p w14:paraId="4E18854B"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1,05</w:t>
            </w:r>
          </w:p>
        </w:tc>
      </w:tr>
      <w:tr w:rsidR="006C1187" w:rsidRPr="006C1187" w14:paraId="285F6D83" w14:textId="77777777" w:rsidTr="006C1187">
        <w:tc>
          <w:tcPr>
            <w:tcW w:w="2093" w:type="dxa"/>
            <w:vAlign w:val="center"/>
            <w:hideMark/>
          </w:tcPr>
          <w:p w14:paraId="2D7ADC5B"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ПАО «ВСМПО-АВИСМА»</w:t>
            </w:r>
          </w:p>
        </w:tc>
        <w:tc>
          <w:tcPr>
            <w:tcW w:w="1095" w:type="dxa"/>
            <w:vAlign w:val="center"/>
            <w:hideMark/>
          </w:tcPr>
          <w:p w14:paraId="5D644C46"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12,6</w:t>
            </w:r>
          </w:p>
        </w:tc>
        <w:tc>
          <w:tcPr>
            <w:tcW w:w="0" w:type="auto"/>
            <w:vAlign w:val="center"/>
            <w:hideMark/>
          </w:tcPr>
          <w:p w14:paraId="6BCF02A0"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20,1</w:t>
            </w:r>
          </w:p>
        </w:tc>
        <w:tc>
          <w:tcPr>
            <w:tcW w:w="0" w:type="auto"/>
            <w:vAlign w:val="center"/>
            <w:hideMark/>
          </w:tcPr>
          <w:p w14:paraId="7FA4B53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35,6</w:t>
            </w:r>
          </w:p>
        </w:tc>
        <w:tc>
          <w:tcPr>
            <w:tcW w:w="0" w:type="auto"/>
            <w:vAlign w:val="center"/>
            <w:hideMark/>
          </w:tcPr>
          <w:p w14:paraId="6CC94AB5"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0,8</w:t>
            </w:r>
          </w:p>
        </w:tc>
        <w:tc>
          <w:tcPr>
            <w:tcW w:w="0" w:type="auto"/>
            <w:vAlign w:val="center"/>
            <w:hideMark/>
          </w:tcPr>
          <w:p w14:paraId="0143FD7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2,85</w:t>
            </w:r>
          </w:p>
        </w:tc>
      </w:tr>
    </w:tbl>
    <w:p w14:paraId="5C2CED1F" w14:textId="174BFCE7" w:rsid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90</w:t>
      </w:r>
      <w:r w:rsidRPr="006C1187">
        <w:rPr>
          <w:rFonts w:ascii="Times New Roman" w:hAnsi="Times New Roman" w:cs="Times New Roman"/>
          <w:sz w:val="28"/>
          <w:szCs w:val="28"/>
          <w:lang w:val="ru-RU"/>
        </w:rPr>
        <w:t>].</w:t>
      </w:r>
    </w:p>
    <w:p w14:paraId="459076B1" w14:textId="77777777" w:rsidR="006C1187" w:rsidRDefault="006C1187" w:rsidP="006C1187">
      <w:pPr>
        <w:spacing w:line="360" w:lineRule="auto"/>
        <w:ind w:firstLine="709"/>
        <w:jc w:val="both"/>
        <w:rPr>
          <w:rFonts w:ascii="Times New Roman" w:hAnsi="Times New Roman" w:cs="Times New Roman"/>
          <w:sz w:val="28"/>
          <w:szCs w:val="28"/>
          <w:lang w:val="ru-RU"/>
        </w:rPr>
      </w:pPr>
    </w:p>
    <w:p w14:paraId="6A95EB05" w14:textId="174C10CB" w:rsidR="006C1187" w:rsidRPr="006C1187" w:rsidRDefault="006C1187" w:rsidP="006C1187">
      <w:pPr>
        <w:spacing w:line="360" w:lineRule="auto"/>
        <w:ind w:firstLine="709"/>
        <w:jc w:val="both"/>
        <w:rPr>
          <w:rFonts w:ascii="Times New Roman" w:hAnsi="Times New Roman" w:cs="Times New Roman"/>
          <w:sz w:val="28"/>
          <w:szCs w:val="28"/>
          <w:lang w:val="en-US"/>
        </w:rPr>
      </w:pPr>
      <w:r w:rsidRPr="006C1187">
        <w:rPr>
          <w:rFonts w:ascii="Times New Roman" w:hAnsi="Times New Roman" w:cs="Times New Roman"/>
          <w:sz w:val="28"/>
          <w:szCs w:val="28"/>
          <w:lang w:val="ru-RU"/>
        </w:rPr>
        <w:t>Данные Таблицы 1 математически подтверждают сформулированный ранее вывод: портфель сильно отягощен активами с критически низкой рентабельностью (МКПАО «ЭН+ ГРУП» с ROE 3,8%) и высокой долговой нагрузкой (показатель Чистый долг/EBITDA = 3,8х), что в условиях жесткой денежно-кредитной политики выступает триггером разрушения стоимости активов. В то же время ПАО «Северсталь» и ПАО «ММК» с отрицательным чистым долгом выступают стабилизирующей базой.»</w:t>
      </w:r>
    </w:p>
    <w:p w14:paraId="59A9DF36"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усиливая </w:t>
      </w:r>
      <w:r w:rsidRPr="00EC4086">
        <w:rPr>
          <w:rFonts w:ascii="Times New Roman" w:hAnsi="Times New Roman" w:cs="Times New Roman"/>
          <w:sz w:val="28"/>
          <w:szCs w:val="28"/>
          <w:lang w:val="ru-RU"/>
        </w:rPr>
        <w:lastRenderedPageBreak/>
        <w:t>как просадки, так и восстановительные движения, в зависимости от сценария</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[20, с. 110]</w:t>
      </w:r>
      <w:r w:rsidRPr="00EC4086">
        <w:rPr>
          <w:rFonts w:ascii="Times New Roman" w:hAnsi="Times New Roman" w:cs="Times New Roman"/>
          <w:sz w:val="28"/>
          <w:szCs w:val="28"/>
          <w:lang w:val="ru-RU"/>
        </w:rPr>
        <w:t>.</w:t>
      </w:r>
    </w:p>
    <w:p w14:paraId="64E4FA4C" w14:textId="77777777" w:rsidR="00A30BC7"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Наиболее устойчивыми по совокупности показателей выглядят эмитенты черной металлургии (ПАО «Северсталь», ПАО «ММК»), а также ПАО «Корпорация ВСМПО-АВИСМА». Их профиль включает высокую рентабельность, существенные ликвидные резервы и, в ряде случаев, отрицательный чистый долг, что снижает кредитные риски и повышает устойчивость к краткосрочным шокам</w:t>
      </w:r>
      <w:r w:rsidR="00A30BC7">
        <w:rPr>
          <w:rFonts w:ascii="Times New Roman" w:hAnsi="Times New Roman" w:cs="Times New Roman"/>
          <w:sz w:val="28"/>
          <w:szCs w:val="28"/>
          <w:lang w:val="ru-RU"/>
        </w:rPr>
        <w:t xml:space="preserve"> </w:t>
      </w:r>
      <w:r w:rsidR="00A30BC7" w:rsidRPr="00A30BC7">
        <w:rPr>
          <w:rFonts w:ascii="Times New Roman" w:hAnsi="Times New Roman" w:cs="Times New Roman"/>
          <w:sz w:val="28"/>
          <w:szCs w:val="28"/>
          <w:lang w:val="ru-RU"/>
        </w:rPr>
        <w:t>[13, с. 120]</w:t>
      </w:r>
      <w:r w:rsidRPr="00EC4086">
        <w:rPr>
          <w:rFonts w:ascii="Times New Roman" w:hAnsi="Times New Roman" w:cs="Times New Roman"/>
          <w:sz w:val="28"/>
          <w:szCs w:val="28"/>
          <w:lang w:val="ru-RU"/>
        </w:rPr>
        <w:t xml:space="preserve">. </w:t>
      </w:r>
    </w:p>
    <w:p w14:paraId="3F633417" w14:textId="77777777" w:rsidR="005F2182"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Одновременно дополнительные риски в структуру портфеля вносят компании, связанные с цветной металлургией и энергетикой (МКПАО «ЭН+ ГРУП», ПАО «ГМК «Норильский никель»): здесь наблюдаются признаки давления на ликвидность, рост долговой нагрузки либо прохождение капиталоемких инвестиционных фаз. В результате портфель в текущем виде можно охарактеризовать как неоднородный по качеству: рядом с финансово устойчивыми активами присутствуют эмитенты с повышенной закредитованностью и сниженной рентабельностью, что формирует основания для обсуждения целесообразности тактической ребалансировки с учетом ограничений мандата фонда и допустимого уровня риска.</w:t>
      </w:r>
    </w:p>
    <w:p w14:paraId="5BD22135" w14:textId="77777777" w:rsidR="004605F7" w:rsidRPr="005F2182" w:rsidRDefault="004605F7" w:rsidP="004605F7">
      <w:pPr>
        <w:spacing w:line="360" w:lineRule="auto"/>
        <w:ind w:firstLine="709"/>
        <w:jc w:val="both"/>
        <w:rPr>
          <w:rFonts w:ascii="Times New Roman" w:hAnsi="Times New Roman" w:cs="Times New Roman"/>
          <w:sz w:val="28"/>
          <w:szCs w:val="28"/>
          <w:lang w:val="ru-RU"/>
        </w:rPr>
      </w:pPr>
    </w:p>
    <w:p w14:paraId="2750D9B4" w14:textId="77777777" w:rsidR="005F2182" w:rsidRDefault="005F2182" w:rsidP="004605F7">
      <w:pPr>
        <w:pStyle w:val="2"/>
        <w:spacing w:before="0" w:after="0" w:line="360" w:lineRule="auto"/>
        <w:rPr>
          <w:lang w:val="ru-RU"/>
        </w:rPr>
      </w:pPr>
      <w:bookmarkStart w:id="8" w:name="_Toc229218489"/>
      <w:r w:rsidRPr="005F2182">
        <w:rPr>
          <w:lang w:val="ru-RU"/>
        </w:rPr>
        <w:t>2.3. Анализ показателей качества инвестиционного портфеля ОПИФ РФИ «ВИМ-Металлургия»</w:t>
      </w:r>
      <w:bookmarkEnd w:id="8"/>
    </w:p>
    <w:p w14:paraId="63BC93FF" w14:textId="77777777" w:rsidR="00EC4086" w:rsidRPr="00EC4086" w:rsidRDefault="00EC4086" w:rsidP="004605F7">
      <w:pPr>
        <w:spacing w:line="360" w:lineRule="auto"/>
        <w:rPr>
          <w:lang w:val="ru-RU"/>
        </w:rPr>
      </w:pPr>
    </w:p>
    <w:p w14:paraId="54869406" w14:textId="77777777" w:rsidR="00205FD5"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Оценка качества инвестиционного портфеля ОПИФ РФИ «ВИМ-Металлургия» целесообразно проводить на основе специализированного математико-статистического инструментария, который позволяет сопоставлять фактически полученную фондом доходность с уровнем принимаемого совокупного риска, а также уточнять, в какой мере </w:t>
      </w:r>
      <w:r w:rsidRPr="00EC4086">
        <w:rPr>
          <w:rFonts w:ascii="Times New Roman" w:hAnsi="Times New Roman" w:cs="Times New Roman"/>
          <w:sz w:val="28"/>
          <w:szCs w:val="28"/>
          <w:lang w:val="ru-RU"/>
        </w:rPr>
        <w:lastRenderedPageBreak/>
        <w:t>наблюдаемая доходность может быть объяснена особенностями структуры портфеля, отраслевой экспозицией и общерыночной конъюнктурой</w:t>
      </w:r>
      <w:r w:rsidR="00205FD5">
        <w:rPr>
          <w:rFonts w:ascii="Times New Roman" w:hAnsi="Times New Roman" w:cs="Times New Roman"/>
          <w:sz w:val="28"/>
          <w:szCs w:val="28"/>
          <w:lang w:val="ru-RU"/>
        </w:rPr>
        <w:t xml:space="preserve"> [2</w:t>
      </w:r>
      <w:r w:rsidR="00205FD5" w:rsidRPr="00205FD5">
        <w:rPr>
          <w:rFonts w:ascii="Times New Roman" w:hAnsi="Times New Roman" w:cs="Times New Roman"/>
          <w:sz w:val="28"/>
          <w:szCs w:val="28"/>
          <w:lang w:val="ru-RU"/>
        </w:rPr>
        <w:t>5, с. 156]</w:t>
      </w:r>
      <w:r w:rsidRPr="00EC4086">
        <w:rPr>
          <w:rFonts w:ascii="Times New Roman" w:hAnsi="Times New Roman" w:cs="Times New Roman"/>
          <w:sz w:val="28"/>
          <w:szCs w:val="28"/>
          <w:lang w:val="ru-RU"/>
        </w:rPr>
        <w:t xml:space="preserve">. </w:t>
      </w:r>
    </w:p>
    <w:p w14:paraId="49E983B8" w14:textId="77777777" w:rsidR="00EC4086" w:rsidRPr="00EC4086" w:rsidRDefault="00EC4086" w:rsidP="004605F7">
      <w:pPr>
        <w:spacing w:line="360" w:lineRule="auto"/>
        <w:ind w:firstLine="709"/>
        <w:jc w:val="both"/>
        <w:rPr>
          <w:rFonts w:ascii="Times New Roman" w:hAnsi="Times New Roman" w:cs="Times New Roman"/>
          <w:sz w:val="28"/>
          <w:szCs w:val="28"/>
          <w:lang w:val="ru-RU"/>
        </w:rPr>
      </w:pPr>
      <w:r w:rsidRPr="00EC4086">
        <w:rPr>
          <w:rFonts w:ascii="Times New Roman" w:hAnsi="Times New Roman" w:cs="Times New Roman"/>
          <w:sz w:val="28"/>
          <w:szCs w:val="28"/>
          <w:lang w:val="ru-RU"/>
        </w:rPr>
        <w:t xml:space="preserve">В рамках такой постановки акцент переносится с номинальных показателей результативности на риск-скорректированную оценку, поскольку для </w:t>
      </w:r>
      <w:proofErr w:type="spellStart"/>
      <w:r w:rsidRPr="00EC4086">
        <w:rPr>
          <w:rFonts w:ascii="Times New Roman" w:hAnsi="Times New Roman" w:cs="Times New Roman"/>
          <w:sz w:val="28"/>
          <w:szCs w:val="28"/>
          <w:lang w:val="ru-RU"/>
        </w:rPr>
        <w:t>секторально</w:t>
      </w:r>
      <w:proofErr w:type="spellEnd"/>
      <w:r w:rsidRPr="00EC4086">
        <w:rPr>
          <w:rFonts w:ascii="Times New Roman" w:hAnsi="Times New Roman" w:cs="Times New Roman"/>
          <w:sz w:val="28"/>
          <w:szCs w:val="28"/>
          <w:lang w:val="ru-RU"/>
        </w:rPr>
        <w:t xml:space="preserve"> концентрированных стратегий характерно усиление уязвимости к цикличности товарных рынков и к изменениям условий финансирования компаний-эмитентов</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218]</w:t>
      </w:r>
      <w:r w:rsidRPr="00EC4086">
        <w:rPr>
          <w:rFonts w:ascii="Times New Roman" w:hAnsi="Times New Roman" w:cs="Times New Roman"/>
          <w:sz w:val="28"/>
          <w:szCs w:val="28"/>
          <w:lang w:val="ru-RU"/>
        </w:rPr>
        <w:t>.</w:t>
      </w:r>
    </w:p>
    <w:p w14:paraId="1E6F0602"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доходности и риска. В качестве базового показателя совокупного риска фонда обоснованно рассматривается волатильность (Standard </w:t>
      </w:r>
      <w:proofErr w:type="spellStart"/>
      <w:r w:rsidRPr="004605F7">
        <w:rPr>
          <w:rFonts w:ascii="Times New Roman" w:hAnsi="Times New Roman" w:cs="Times New Roman"/>
          <w:sz w:val="28"/>
          <w:szCs w:val="28"/>
          <w:lang w:val="ru-RU"/>
        </w:rPr>
        <w:t>Deviation</w:t>
      </w:r>
      <w:proofErr w:type="spellEnd"/>
      <w:r w:rsidRPr="004605F7">
        <w:rPr>
          <w:rFonts w:ascii="Times New Roman" w:hAnsi="Times New Roman" w:cs="Times New Roman"/>
          <w:sz w:val="28"/>
          <w:szCs w:val="28"/>
          <w:lang w:val="ru-RU"/>
        </w:rPr>
        <w:t xml:space="preserve">), рассчитываемая через стандартное отклонение доходностей. Доступные исторические наблюдения позволяют заключить, что активы металлургического и сырьевого сегментов в целом демонстрируют повышенную дисперсию, которая усиливается в периоды смены фаз сырьевого цикла и при росте неопределенности внешнего спроса. </w:t>
      </w:r>
    </w:p>
    <w:p w14:paraId="24463E3D"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Существенная концентрация портфеля в металлургическом секторе ограничивает действие межотраслевой диверсификации: колебания ценовых факторов, общие для эмитентов отрасли (например, динамика мировых цен на металлы, валютные курсы, логистические ограничения и изменения экспортных потоков), приводят к высокой синхронности доходностей, вследствие чего волатильность портфеля сглаживается в ограниченной степени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[33, с. 14]</w:t>
      </w:r>
      <w:r w:rsidRPr="004605F7">
        <w:rPr>
          <w:rFonts w:ascii="Times New Roman" w:hAnsi="Times New Roman" w:cs="Times New Roman"/>
          <w:sz w:val="28"/>
          <w:szCs w:val="28"/>
          <w:lang w:val="ru-RU"/>
        </w:rPr>
        <w:t xml:space="preserve">. </w:t>
      </w:r>
    </w:p>
    <w:p w14:paraId="35CE76E3"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максимальной просадки (</w:t>
      </w:r>
      <w:proofErr w:type="spellStart"/>
      <w:r w:rsidRPr="004605F7">
        <w:rPr>
          <w:rFonts w:ascii="Times New Roman" w:hAnsi="Times New Roman" w:cs="Times New Roman"/>
          <w:sz w:val="28"/>
          <w:szCs w:val="28"/>
          <w:lang w:val="ru-RU"/>
        </w:rPr>
        <w:t>Maximum</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Drawdown</w:t>
      </w:r>
      <w:proofErr w:type="spellEnd"/>
      <w:r w:rsidRPr="004605F7">
        <w:rPr>
          <w:rFonts w:ascii="Times New Roman" w:hAnsi="Times New Roman" w:cs="Times New Roman"/>
          <w:sz w:val="28"/>
          <w:szCs w:val="28"/>
          <w:lang w:val="ru-RU"/>
        </w:rPr>
        <w:t>) также характеризуется повышенными значениями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[24, с. 230]</w:t>
      </w:r>
      <w:r w:rsidRPr="004605F7">
        <w:rPr>
          <w:rFonts w:ascii="Times New Roman" w:hAnsi="Times New Roman" w:cs="Times New Roman"/>
          <w:sz w:val="28"/>
          <w:szCs w:val="28"/>
          <w:lang w:val="ru-RU"/>
        </w:rPr>
        <w:t xml:space="preserve">. Данное обстоятельство согласуется с цикличностью сырьевых рынков: в фазы снижения мировых цен на металлы и ухудшения ожиданий по маржинальности компаний портфель фиксирует выраженные отрицательные </w:t>
      </w:r>
      <w:r w:rsidRPr="004605F7">
        <w:rPr>
          <w:rFonts w:ascii="Times New Roman" w:hAnsi="Times New Roman" w:cs="Times New Roman"/>
          <w:sz w:val="28"/>
          <w:szCs w:val="28"/>
          <w:lang w:val="ru-RU"/>
        </w:rPr>
        <w:lastRenderedPageBreak/>
        <w:t>переоценки СЧА, а отсутствие в структуре защитных инструментов или компенсирующих факторов (например, активов с иной чувствительностью к сырьевым ценам) не позволяет существенно ограничить глубину падения. В этом контексте максимальная просадка выступает не только как статистическая характеристика, но и как эмпирический индикатор уязвимости стратегии к неблагоприятным сценариям.</w:t>
      </w:r>
    </w:p>
    <w:p w14:paraId="4CB3BC4E"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Коэффициенты эффективности (Шарп,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Трейнор</w:t>
      </w:r>
      <w:proofErr w:type="spellEnd"/>
      <w:r w:rsidRPr="004605F7">
        <w:rPr>
          <w:rFonts w:ascii="Times New Roman" w:hAnsi="Times New Roman" w:cs="Times New Roman"/>
          <w:sz w:val="28"/>
          <w:szCs w:val="28"/>
          <w:lang w:val="ru-RU"/>
        </w:rPr>
        <w:t>). Указанная группа индикаторов предназначена для оценки премии, которую инвестор получает за принятие риска, и тем самым переводит обсуждение из плоскости «абсолютной доходности» в плоскость «компенсации за риск» с учетом альтернативных возможностей размещения капитала</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112]</w:t>
      </w:r>
      <w:r w:rsidRPr="004605F7">
        <w:rPr>
          <w:rFonts w:ascii="Times New Roman" w:hAnsi="Times New Roman" w:cs="Times New Roman"/>
          <w:sz w:val="28"/>
          <w:szCs w:val="28"/>
          <w:lang w:val="ru-RU"/>
        </w:rPr>
        <w:t>.</w:t>
      </w:r>
    </w:p>
    <w:p w14:paraId="264BCE02" w14:textId="76614F79"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Коэффициент Шарпа (</w:t>
      </w:r>
      <w:proofErr w:type="spellStart"/>
      <w:r w:rsidRPr="004605F7">
        <w:rPr>
          <w:rFonts w:ascii="Times New Roman" w:hAnsi="Times New Roman" w:cs="Times New Roman"/>
          <w:sz w:val="28"/>
          <w:szCs w:val="28"/>
          <w:lang w:val="ru-RU"/>
        </w:rPr>
        <w:t>Sharpe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При условном принятии средней доходности базовых акти</w:t>
      </w:r>
      <w:r w:rsidR="00205FD5">
        <w:rPr>
          <w:rFonts w:ascii="Times New Roman" w:hAnsi="Times New Roman" w:cs="Times New Roman"/>
          <w:sz w:val="28"/>
          <w:szCs w:val="28"/>
          <w:lang w:val="ru-RU"/>
        </w:rPr>
        <w:t xml:space="preserve">вов портфеля на уровне </w:t>
      </w:r>
      <w:proofErr w:type="gramStart"/>
      <w:r w:rsidR="00205FD5">
        <w:rPr>
          <w:rFonts w:ascii="Times New Roman" w:hAnsi="Times New Roman" w:cs="Times New Roman"/>
          <w:sz w:val="28"/>
          <w:szCs w:val="28"/>
          <w:lang w:val="ru-RU"/>
        </w:rPr>
        <w:t>11-13</w:t>
      </w:r>
      <w:proofErr w:type="gramEnd"/>
      <w:r w:rsidR="00205FD5">
        <w:rPr>
          <w:rFonts w:ascii="Times New Roman" w:hAnsi="Times New Roman" w:cs="Times New Roman"/>
          <w:sz w:val="28"/>
          <w:szCs w:val="28"/>
          <w:lang w:val="ru-RU"/>
        </w:rPr>
        <w:t>%</w:t>
      </w:r>
      <w:r w:rsidRPr="004605F7">
        <w:rPr>
          <w:rFonts w:ascii="Times New Roman" w:hAnsi="Times New Roman" w:cs="Times New Roman"/>
          <w:sz w:val="28"/>
          <w:szCs w:val="28"/>
          <w:lang w:val="ru-RU"/>
        </w:rPr>
        <w:t xml:space="preserve"> и сопоставлении ее с безрисковой ставкой, отражаемой доходностью долгосрочных ОФЗ, расчетная величина коэффициента Шарпа для ОПИФ укладывается в интервал </w:t>
      </w:r>
      <m:oMath>
        <m:r>
          <w:rPr>
            <w:rFonts w:ascii="Cambria Math" w:hAnsi="Times New Roman" w:cs="Times New Roman"/>
            <w:sz w:val="28"/>
            <w:szCs w:val="28"/>
            <w:lang w:val="ru-RU"/>
          </w:rPr>
          <m:t xml:space="preserve">0 &lt; </m:t>
        </m:r>
        <m:sSub>
          <m:sSubPr>
            <m:ctrlPr>
              <w:rPr>
                <w:rFonts w:ascii="Cambria Math" w:hAnsi="Times New Roman" w:cs="Times New Roman"/>
                <w:i/>
                <w:sz w:val="28"/>
                <w:szCs w:val="28"/>
                <w:lang w:val="ru-RU"/>
              </w:rPr>
            </m:ctrlPr>
          </m:sSubPr>
          <m:e>
            <m:r>
              <w:rPr>
                <w:rFonts w:ascii="Cambria Math" w:hAnsi="Cambria Math" w:cs="Times New Roman"/>
                <w:sz w:val="28"/>
                <w:szCs w:val="28"/>
                <w:lang w:val="ru-RU"/>
              </w:rPr>
              <m:t>K</m:t>
            </m:r>
          </m:e>
          <m:sub>
            <m:d>
              <m:dPr>
                <m:begChr m:val="{"/>
                <m:endChr m:val="}"/>
                <m:ctrlPr>
                  <w:rPr>
                    <w:rFonts w:ascii="Cambria Math" w:hAnsi="Times New Roman" w:cs="Times New Roman"/>
                    <w:i/>
                    <w:sz w:val="28"/>
                    <w:szCs w:val="28"/>
                    <w:lang w:val="ru-RU"/>
                  </w:rPr>
                </m:ctrlPr>
              </m:dPr>
              <m:e>
                <m:r>
                  <w:rPr>
                    <w:rFonts w:ascii="Cambria Math" w:hAnsi="Cambria Math" w:cs="Times New Roman"/>
                    <w:sz w:val="28"/>
                    <w:szCs w:val="28"/>
                    <w:lang w:val="ru-RU"/>
                  </w:rPr>
                  <m:t>S</m:t>
                </m:r>
                <m:r>
                  <w:rPr>
                    <w:rFonts w:ascii="Times New Roman" w:hAnsi="Times New Roman" w:cs="Times New Roman"/>
                    <w:sz w:val="28"/>
                    <w:szCs w:val="28"/>
                    <w:lang w:val="ru-RU"/>
                  </w:rPr>
                  <m:t>h</m:t>
                </m:r>
                <m:r>
                  <w:rPr>
                    <w:rFonts w:ascii="Cambria Math" w:hAnsi="Cambria Math" w:cs="Times New Roman"/>
                    <w:sz w:val="28"/>
                    <w:szCs w:val="28"/>
                    <w:lang w:val="ru-RU"/>
                  </w:rPr>
                  <m:t>arpe</m:t>
                </m:r>
              </m:e>
            </m:d>
          </m:sub>
        </m:sSub>
        <m:r>
          <w:rPr>
            <w:rFonts w:ascii="Cambria Math" w:hAnsi="Times New Roman" w:cs="Times New Roman"/>
            <w:sz w:val="28"/>
            <w:szCs w:val="28"/>
            <w:lang w:val="ru-RU"/>
          </w:rPr>
          <m:t>&lt; 1</m:t>
        </m:r>
      </m:oMath>
      <w:r w:rsidRPr="004605F7">
        <w:rPr>
          <w:rFonts w:ascii="Times New Roman" w:hAnsi="Times New Roman" w:cs="Times New Roman"/>
          <w:sz w:val="28"/>
          <w:szCs w:val="28"/>
          <w:lang w:val="ru-RU"/>
        </w:rPr>
        <w:t>. В терминах академической интерпретации это означает, что портфель демонстрирует положительную доходность относительно безрисковой альтернативы, однако риск, принимаемый инвестором, оказывается значительным по сравнению с получаемой премией. Иными словами, наблюдаемая доходность не сопровождается пропорционально высокой компенсацией за волатильность, что типично для стратегий, чувствительных к циклическим отраслевым факторам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156]</w:t>
      </w:r>
      <w:r w:rsidRPr="004605F7">
        <w:rPr>
          <w:rFonts w:ascii="Times New Roman" w:hAnsi="Times New Roman" w:cs="Times New Roman"/>
          <w:sz w:val="28"/>
          <w:szCs w:val="28"/>
          <w:lang w:val="ru-RU"/>
        </w:rPr>
        <w:t>.</w:t>
      </w:r>
    </w:p>
    <w:p w14:paraId="452AFC1E" w14:textId="77777777" w:rsidR="00EC4086" w:rsidRPr="004605F7" w:rsidRDefault="00EC4086" w:rsidP="004605F7">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Сортино</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Поскольку данный показатель учитывает преимущественно риск отрицательных отклонений (</w:t>
      </w:r>
      <w:proofErr w:type="spellStart"/>
      <w:r w:rsidRPr="004605F7">
        <w:rPr>
          <w:rFonts w:ascii="Times New Roman" w:hAnsi="Times New Roman" w:cs="Times New Roman"/>
          <w:sz w:val="28"/>
          <w:szCs w:val="28"/>
          <w:lang w:val="ru-RU"/>
        </w:rPr>
        <w:t>downside</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risk</w:t>
      </w:r>
      <w:proofErr w:type="spellEnd"/>
      <w:r w:rsidRPr="004605F7">
        <w:rPr>
          <w:rFonts w:ascii="Times New Roman" w:hAnsi="Times New Roman" w:cs="Times New Roman"/>
          <w:sz w:val="28"/>
          <w:szCs w:val="28"/>
          <w:lang w:val="ru-RU"/>
        </w:rPr>
        <w:t xml:space="preserve">), его использование позволяет уточнить, насколько «неблагоприятная» часть распределения доходностей влияет на итоговую риск-скорректированную </w:t>
      </w:r>
      <w:r w:rsidRPr="004605F7">
        <w:rPr>
          <w:rFonts w:ascii="Times New Roman" w:hAnsi="Times New Roman" w:cs="Times New Roman"/>
          <w:sz w:val="28"/>
          <w:szCs w:val="28"/>
          <w:lang w:val="ru-RU"/>
        </w:rPr>
        <w:lastRenderedPageBreak/>
        <w:t xml:space="preserve">оценку. Применительно к металлургическим активам значимые нисходящие движения котировок, обусловленные ухудшением сырьевой конъюнктуры, снижением спроса и изменением ожиданий по прибыли, указывают на повышенную вероятность эпизодов существенных потерь. В результате </w:t>
      </w:r>
      <w:proofErr w:type="spellStart"/>
      <w:r w:rsidRPr="004605F7">
        <w:rPr>
          <w:rFonts w:ascii="Times New Roman" w:hAnsi="Times New Roman" w:cs="Times New Roman"/>
          <w:sz w:val="28"/>
          <w:szCs w:val="28"/>
          <w:lang w:val="ru-RU"/>
        </w:rPr>
        <w:t>Sortino</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подтверждает вывод о том, что основная проблематика риска связана не столько с симметричными колебаниями, сколько с выраженной подверженностью неблагоприятным сценариям</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25, с. 158]</w:t>
      </w:r>
      <w:r w:rsidRPr="004605F7">
        <w:rPr>
          <w:rFonts w:ascii="Times New Roman" w:hAnsi="Times New Roman" w:cs="Times New Roman"/>
          <w:sz w:val="28"/>
          <w:szCs w:val="28"/>
          <w:lang w:val="ru-RU"/>
        </w:rPr>
        <w:t>.</w:t>
      </w:r>
    </w:p>
    <w:p w14:paraId="1D16D920" w14:textId="77777777" w:rsidR="00EC4086" w:rsidRPr="00205FD5" w:rsidRDefault="00EC4086" w:rsidP="00205FD5">
      <w:pPr>
        <w:pStyle w:val="a5"/>
        <w:numPr>
          <w:ilvl w:val="0"/>
          <w:numId w:val="19"/>
        </w:numPr>
        <w:tabs>
          <w:tab w:val="left" w:pos="993"/>
        </w:tabs>
        <w:spacing w:line="360" w:lineRule="auto"/>
        <w:ind w:left="0" w:firstLine="709"/>
        <w:contextualSpacing w:val="0"/>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Коэффициент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Treynor</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ratio</w:t>
      </w:r>
      <w:proofErr w:type="spellEnd"/>
      <w:r w:rsidRPr="004605F7">
        <w:rPr>
          <w:rFonts w:ascii="Times New Roman" w:hAnsi="Times New Roman" w:cs="Times New Roman"/>
          <w:sz w:val="28"/>
          <w:szCs w:val="28"/>
          <w:lang w:val="ru-RU"/>
        </w:rPr>
        <w:t xml:space="preserve">). Рассматривая доходность на единицу рыночного риска, данный индикатор позволяет оценить, какой вклад в результативность вносит систематическая компонента риска. Умеренные значения коэффициента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xml:space="preserve"> согласуются с предположением, что доходность фонда в значительной степени определяется общим движением рынка или сектора, а не устойчивым «избыточным» эффектом отбора активов. В прикладном смысле это приближает стратегию к отраслевой экспозиции, где ключевым источником результата выступает бета-эффект, а не специфическая компетенция активного управления.</w:t>
      </w:r>
    </w:p>
    <w:p w14:paraId="10946C61"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Метрики управления (Альфа Дженсена и Бета). Коэффициент Бета (</w:t>
      </w:r>
      <m:oMath>
        <m:r>
          <w:rPr>
            <w:rFonts w:ascii="Cambria Math" w:hAnsi="Cambria Math" w:cs="Times New Roman"/>
            <w:sz w:val="28"/>
            <w:szCs w:val="28"/>
            <w:lang w:val="ru-RU"/>
          </w:rPr>
          <m:t>beta</m:t>
        </m:r>
      </m:oMath>
      <w:r w:rsidRPr="004605F7">
        <w:rPr>
          <w:rFonts w:ascii="Times New Roman" w:hAnsi="Times New Roman" w:cs="Times New Roman"/>
          <w:sz w:val="28"/>
          <w:szCs w:val="28"/>
          <w:lang w:val="ru-RU"/>
        </w:rPr>
        <w:t xml:space="preserve">) используется для описания чувствительности портфеля к изменениям рыночного индекса и, следовательно, для выявления степени систематической зависимости результатов фонда от динамики бенчмарка. Для ключевых активов исторически наблюдаемый диапазон Бета составляет </w:t>
      </w:r>
      <w:proofErr w:type="gramStart"/>
      <w:r w:rsidRPr="004605F7">
        <w:rPr>
          <w:rFonts w:ascii="Times New Roman" w:hAnsi="Times New Roman" w:cs="Times New Roman"/>
          <w:sz w:val="28"/>
          <w:szCs w:val="28"/>
          <w:lang w:val="ru-RU"/>
        </w:rPr>
        <w:t>0,86-1,06</w:t>
      </w:r>
      <w:proofErr w:type="gramEnd"/>
      <w:r w:rsidRPr="004605F7">
        <w:rPr>
          <w:rFonts w:ascii="Times New Roman" w:hAnsi="Times New Roman" w:cs="Times New Roman"/>
          <w:sz w:val="28"/>
          <w:szCs w:val="28"/>
          <w:lang w:val="ru-RU"/>
        </w:rPr>
        <w:t xml:space="preserve">, вследствие чего совокупный </w:t>
      </w:r>
      <m:oMath>
        <m:r>
          <w:rPr>
            <w:rFonts w:ascii="Cambria Math" w:hAnsi="Cambria Math" w:cs="Times New Roman"/>
            <w:sz w:val="28"/>
            <w:szCs w:val="28"/>
            <w:lang w:val="ru-RU"/>
          </w:rPr>
          <m:t>be</m:t>
        </m:r>
      </m:oMath>
      <w:r w:rsidRPr="004605F7">
        <w:rPr>
          <w:rFonts w:ascii="Times New Roman" w:hAnsi="Times New Roman" w:cs="Times New Roman"/>
          <w:sz w:val="28"/>
          <w:szCs w:val="28"/>
          <w:lang w:val="ru-RU"/>
        </w:rPr>
        <w:t>-коэффициент фонда приближается к единице (</w:t>
      </w:r>
      <m:oMath>
        <m:r>
          <w:rPr>
            <w:rFonts w:ascii="Cambria Math" w:hAnsi="Times New Roman" w:cs="Times New Roman"/>
            <w:sz w:val="28"/>
            <w:szCs w:val="28"/>
            <w:lang w:val="ru-RU"/>
          </w:rPr>
          <m:t>β</m:t>
        </m:r>
        <m:r>
          <w:rPr>
            <w:rFonts w:ascii="Cambria Math" w:hAnsi="Times New Roman" w:cs="Times New Roman"/>
            <w:sz w:val="28"/>
            <w:szCs w:val="28"/>
            <w:lang w:val="ru-RU"/>
          </w:rPr>
          <m:t>*</m:t>
        </m:r>
        <m:r>
          <w:rPr>
            <w:rFonts w:ascii="Cambria Math" w:hAnsi="Times New Roman" w:cs="Times New Roman"/>
            <w:sz w:val="28"/>
            <w:szCs w:val="28"/>
            <w:lang w:val="ru-RU"/>
          </w:rPr>
          <m:t xml:space="preserve"> 1,0</m:t>
        </m:r>
      </m:oMath>
      <w:r w:rsidRPr="004605F7">
        <w:rPr>
          <w:rFonts w:ascii="Times New Roman" w:hAnsi="Times New Roman" w:cs="Times New Roman"/>
          <w:sz w:val="28"/>
          <w:szCs w:val="28"/>
          <w:lang w:val="ru-RU"/>
        </w:rPr>
        <w:t>). Такая конфигурация подразумевает, что портфель в среднем воспроизводит рыночные колебания и в ограниченной степени отклоняется от отраслевой динамики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120]</w:t>
      </w:r>
      <w:r w:rsidRPr="004605F7">
        <w:rPr>
          <w:rFonts w:ascii="Times New Roman" w:hAnsi="Times New Roman" w:cs="Times New Roman"/>
          <w:sz w:val="28"/>
          <w:szCs w:val="28"/>
          <w:lang w:val="ru-RU"/>
        </w:rPr>
        <w:t xml:space="preserve">. </w:t>
      </w:r>
    </w:p>
    <w:p w14:paraId="290E9138"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Метрика Альфа Дженсена (</w:t>
      </w:r>
      <w:proofErr w:type="spellStart"/>
      <w:r w:rsidRPr="004605F7">
        <w:rPr>
          <w:rFonts w:ascii="Times New Roman" w:hAnsi="Times New Roman" w:cs="Times New Roman"/>
          <w:sz w:val="28"/>
          <w:szCs w:val="28"/>
          <w:lang w:val="ru-RU"/>
        </w:rPr>
        <w:t>Jensen’s</w:t>
      </w:r>
      <w:proofErr w:type="spellEnd"/>
      <w:r w:rsidRPr="004605F7">
        <w:rPr>
          <w:rFonts w:ascii="Times New Roman" w:hAnsi="Times New Roman" w:cs="Times New Roman"/>
          <w:sz w:val="28"/>
          <w:szCs w:val="28"/>
          <w:lang w:val="ru-RU"/>
        </w:rPr>
        <w:t xml:space="preserve"> Alpha), ориентированная на оценку способности управляющего формировать результат сверх того, что </w:t>
      </w:r>
      <w:r w:rsidRPr="004605F7">
        <w:rPr>
          <w:rFonts w:ascii="Times New Roman" w:hAnsi="Times New Roman" w:cs="Times New Roman"/>
          <w:sz w:val="28"/>
          <w:szCs w:val="28"/>
          <w:lang w:val="ru-RU"/>
        </w:rPr>
        <w:lastRenderedPageBreak/>
        <w:t xml:space="preserve">объясняется систематическим риском, для данного фонда оказывается близкой к нулю с учетом комиссионных издержек. Это позволяет трактовать вклад активного управления как статистически и экономически ограниченный: дополнительные эффекты </w:t>
      </w:r>
      <w:proofErr w:type="spellStart"/>
      <w:r w:rsidRPr="004605F7">
        <w:rPr>
          <w:rFonts w:ascii="Times New Roman" w:hAnsi="Times New Roman" w:cs="Times New Roman"/>
          <w:sz w:val="28"/>
          <w:szCs w:val="28"/>
          <w:lang w:val="ru-RU"/>
        </w:rPr>
        <w:t>stock-picking</w:t>
      </w:r>
      <w:proofErr w:type="spellEnd"/>
      <w:r w:rsidRPr="004605F7">
        <w:rPr>
          <w:rFonts w:ascii="Times New Roman" w:hAnsi="Times New Roman" w:cs="Times New Roman"/>
          <w:sz w:val="28"/>
          <w:szCs w:val="28"/>
          <w:lang w:val="ru-RU"/>
        </w:rPr>
        <w:t xml:space="preserve"> не проявляются в виде устойчивой положительной альфы после учета затрат, сопровождающих управление</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135]</w:t>
      </w:r>
      <w:r w:rsidRPr="004605F7">
        <w:rPr>
          <w:rFonts w:ascii="Times New Roman" w:hAnsi="Times New Roman" w:cs="Times New Roman"/>
          <w:sz w:val="28"/>
          <w:szCs w:val="28"/>
          <w:lang w:val="ru-RU"/>
        </w:rPr>
        <w:t>.</w:t>
      </w:r>
    </w:p>
    <w:p w14:paraId="2EE5CBDD" w14:textId="77777777" w:rsidR="00EC4086"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Технические метрики. Ошибка слежения (</w:t>
      </w:r>
      <w:proofErr w:type="spellStart"/>
      <w:r w:rsidRPr="004605F7">
        <w:rPr>
          <w:rFonts w:ascii="Times New Roman" w:hAnsi="Times New Roman" w:cs="Times New Roman"/>
          <w:sz w:val="28"/>
          <w:szCs w:val="28"/>
          <w:lang w:val="ru-RU"/>
        </w:rPr>
        <w:t>Tracking</w:t>
      </w:r>
      <w:proofErr w:type="spellEnd"/>
      <w:r w:rsidRPr="004605F7">
        <w:rPr>
          <w:rFonts w:ascii="Times New Roman" w:hAnsi="Times New Roman" w:cs="Times New Roman"/>
          <w:sz w:val="28"/>
          <w:szCs w:val="28"/>
          <w:lang w:val="ru-RU"/>
        </w:rPr>
        <w:t xml:space="preserve"> </w:t>
      </w:r>
      <w:proofErr w:type="spellStart"/>
      <w:r w:rsidRPr="004605F7">
        <w:rPr>
          <w:rFonts w:ascii="Times New Roman" w:hAnsi="Times New Roman" w:cs="Times New Roman"/>
          <w:sz w:val="28"/>
          <w:szCs w:val="28"/>
          <w:lang w:val="ru-RU"/>
        </w:rPr>
        <w:t>Error</w:t>
      </w:r>
      <w:proofErr w:type="spellEnd"/>
      <w:r w:rsidRPr="004605F7">
        <w:rPr>
          <w:rFonts w:ascii="Times New Roman" w:hAnsi="Times New Roman" w:cs="Times New Roman"/>
          <w:sz w:val="28"/>
          <w:szCs w:val="28"/>
          <w:lang w:val="ru-RU"/>
        </w:rPr>
        <w:t>) для анализируемого фонда характеризуется низкими значениями, что эмпирически указывает на жесткую привязку структуры портфеля к отраслевому индексу и на ограниченную свободу отклонений в целях активной генерации альфы. Коэффициент детерминации (</w:t>
      </w:r>
      <m:oMath>
        <m:sSup>
          <m:sSupPr>
            <m:ctrlPr>
              <w:rPr>
                <w:rFonts w:ascii="Cambria Math" w:hAnsi="Times New Roman" w:cs="Times New Roman"/>
                <w:i/>
                <w:sz w:val="28"/>
                <w:szCs w:val="28"/>
                <w:lang w:val="ru-RU"/>
              </w:rPr>
            </m:ctrlPr>
          </m:sSupPr>
          <m:e>
            <m:r>
              <w:rPr>
                <w:rFonts w:ascii="Cambria Math" w:hAnsi="Cambria Math" w:cs="Times New Roman"/>
                <w:sz w:val="28"/>
                <w:szCs w:val="28"/>
                <w:lang w:val="ru-RU"/>
              </w:rPr>
              <m:t>R</m:t>
            </m:r>
          </m:e>
          <m:sup>
            <m:r>
              <w:rPr>
                <w:rFonts w:ascii="Cambria Math" w:hAnsi="Times New Roman" w:cs="Times New Roman"/>
                <w:sz w:val="28"/>
                <w:szCs w:val="28"/>
                <w:lang w:val="ru-RU"/>
              </w:rPr>
              <m:t>2</m:t>
            </m:r>
          </m:sup>
        </m:sSup>
      </m:oMath>
      <w:r w:rsidRPr="004605F7">
        <w:rPr>
          <w:rFonts w:ascii="Times New Roman" w:hAnsi="Times New Roman" w:cs="Times New Roman"/>
          <w:sz w:val="28"/>
          <w:szCs w:val="28"/>
          <w:lang w:val="ru-RU"/>
        </w:rPr>
        <w:t>) находи</w:t>
      </w:r>
      <w:r w:rsidR="004605F7">
        <w:rPr>
          <w:rFonts w:ascii="Times New Roman" w:hAnsi="Times New Roman" w:cs="Times New Roman"/>
          <w:sz w:val="28"/>
          <w:szCs w:val="28"/>
          <w:lang w:val="ru-RU"/>
        </w:rPr>
        <w:t>тся на высоком уровне (свыше 90%), что означает: более 90</w:t>
      </w:r>
      <w:r w:rsidRPr="004605F7">
        <w:rPr>
          <w:rFonts w:ascii="Times New Roman" w:hAnsi="Times New Roman" w:cs="Times New Roman"/>
          <w:sz w:val="28"/>
          <w:szCs w:val="28"/>
          <w:lang w:val="ru-RU"/>
        </w:rPr>
        <w:t>% вариации стоимости пая объясняется движениями металлургического сектора. Подобная комбинация низкого</w:t>
      </w:r>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Tracking</w:t>
      </w:r>
      <w:proofErr w:type="spellEnd"/>
      <w:r w:rsidR="004605F7">
        <w:rPr>
          <w:rFonts w:ascii="Times New Roman" w:hAnsi="Times New Roman" w:cs="Times New Roman"/>
          <w:sz w:val="28"/>
          <w:szCs w:val="28"/>
          <w:lang w:val="ru-RU"/>
        </w:rPr>
        <w:t xml:space="preserve"> </w:t>
      </w:r>
      <w:proofErr w:type="spellStart"/>
      <w:r w:rsidR="004605F7">
        <w:rPr>
          <w:rFonts w:ascii="Times New Roman" w:hAnsi="Times New Roman" w:cs="Times New Roman"/>
          <w:sz w:val="28"/>
          <w:szCs w:val="28"/>
          <w:lang w:val="ru-RU"/>
        </w:rPr>
        <w:t>Error</w:t>
      </w:r>
      <w:proofErr w:type="spellEnd"/>
      <w:r w:rsidR="004605F7">
        <w:rPr>
          <w:rFonts w:ascii="Times New Roman" w:hAnsi="Times New Roman" w:cs="Times New Roman"/>
          <w:sz w:val="28"/>
          <w:szCs w:val="28"/>
          <w:lang w:val="ru-RU"/>
        </w:rPr>
        <w:t xml:space="preserve"> и высокого R</w:t>
      </w:r>
      <w:r w:rsidR="004605F7" w:rsidRPr="004605F7">
        <w:rPr>
          <w:rFonts w:ascii="Times New Roman" w:hAnsi="Times New Roman" w:cs="Times New Roman"/>
          <w:sz w:val="28"/>
          <w:szCs w:val="28"/>
          <w:vertAlign w:val="superscript"/>
          <w:lang w:val="ru-RU"/>
        </w:rPr>
        <w:t>2</w:t>
      </w:r>
      <w:r w:rsidRPr="004605F7">
        <w:rPr>
          <w:rFonts w:ascii="Times New Roman" w:hAnsi="Times New Roman" w:cs="Times New Roman"/>
          <w:sz w:val="28"/>
          <w:szCs w:val="28"/>
          <w:lang w:val="ru-RU"/>
        </w:rPr>
        <w:t xml:space="preserve"> типична для квази-пассивных или </w:t>
      </w:r>
      <w:proofErr w:type="spellStart"/>
      <w:r w:rsidRPr="004605F7">
        <w:rPr>
          <w:rFonts w:ascii="Times New Roman" w:hAnsi="Times New Roman" w:cs="Times New Roman"/>
          <w:sz w:val="28"/>
          <w:szCs w:val="28"/>
          <w:lang w:val="ru-RU"/>
        </w:rPr>
        <w:t>индексоподобных</w:t>
      </w:r>
      <w:proofErr w:type="spellEnd"/>
      <w:r w:rsidRPr="004605F7">
        <w:rPr>
          <w:rFonts w:ascii="Times New Roman" w:hAnsi="Times New Roman" w:cs="Times New Roman"/>
          <w:sz w:val="28"/>
          <w:szCs w:val="28"/>
          <w:lang w:val="ru-RU"/>
        </w:rPr>
        <w:t xml:space="preserve"> стратегий, где основная часть результата заранее задается секторной экспозицией, а не активными решениями по перераспределению риска между эмитентами</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22, с. 54]</w:t>
      </w:r>
      <w:r w:rsidRPr="004605F7">
        <w:rPr>
          <w:rFonts w:ascii="Times New Roman" w:hAnsi="Times New Roman" w:cs="Times New Roman"/>
          <w:sz w:val="28"/>
          <w:szCs w:val="28"/>
          <w:lang w:val="ru-RU"/>
        </w:rPr>
        <w:t>.</w:t>
      </w:r>
    </w:p>
    <w:p w14:paraId="221F5EF1" w14:textId="77777777"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Для объективной оценки качества существующего инвестиционного портфеля ОПИФ РФИ «ВИМ-Металлургия» проведем расчет его фактической доходности и риска. В качестве безрисковой ставки ($</w:t>
      </w:r>
      <w:proofErr w:type="spellStart"/>
      <w:r w:rsidRPr="006C1187">
        <w:rPr>
          <w:rFonts w:ascii="Times New Roman" w:hAnsi="Times New Roman" w:cs="Times New Roman"/>
          <w:sz w:val="28"/>
          <w:szCs w:val="28"/>
          <w:lang w:val="ru-RU"/>
        </w:rPr>
        <w:t>R_f</w:t>
      </w:r>
      <w:proofErr w:type="spellEnd"/>
      <w:r w:rsidRPr="006C1187">
        <w:rPr>
          <w:rFonts w:ascii="Times New Roman" w:hAnsi="Times New Roman" w:cs="Times New Roman"/>
          <w:sz w:val="28"/>
          <w:szCs w:val="28"/>
          <w:lang w:val="ru-RU"/>
        </w:rPr>
        <w:t>$) принята доходность долгосрочных государственных облигаций (ОФЗ) на уровне 15,0% годовых. На основе анализа котировок базовых активов получены следующие агрегированные метрики текущего портфеля (Таблица 2).</w:t>
      </w:r>
    </w:p>
    <w:p w14:paraId="153F344D" w14:textId="77777777" w:rsidR="006C1187" w:rsidRDefault="006C1187" w:rsidP="006C1187">
      <w:pPr>
        <w:spacing w:line="360" w:lineRule="auto"/>
        <w:ind w:firstLine="709"/>
        <w:jc w:val="both"/>
        <w:rPr>
          <w:rFonts w:ascii="Times New Roman" w:hAnsi="Times New Roman" w:cs="Times New Roman"/>
          <w:b/>
          <w:bCs/>
          <w:sz w:val="28"/>
          <w:szCs w:val="28"/>
          <w:lang w:val="ru-RU"/>
        </w:rPr>
      </w:pPr>
    </w:p>
    <w:p w14:paraId="31DB34FB" w14:textId="77777777" w:rsidR="006C1187" w:rsidRDefault="006C1187" w:rsidP="006C1187">
      <w:pPr>
        <w:spacing w:line="360" w:lineRule="auto"/>
        <w:ind w:firstLine="709"/>
        <w:jc w:val="both"/>
        <w:rPr>
          <w:rFonts w:ascii="Times New Roman" w:hAnsi="Times New Roman" w:cs="Times New Roman"/>
          <w:b/>
          <w:bCs/>
          <w:sz w:val="28"/>
          <w:szCs w:val="28"/>
          <w:lang w:val="ru-RU"/>
        </w:rPr>
      </w:pPr>
    </w:p>
    <w:p w14:paraId="2889FFDF" w14:textId="34C62DE3" w:rsidR="006C1187" w:rsidRDefault="006C1187" w:rsidP="006C1187">
      <w:pPr>
        <w:spacing w:line="24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lastRenderedPageBreak/>
        <w:t>Таблица 2 – Расчет показателей доходности и риска существующего портфеля фонда</w:t>
      </w:r>
    </w:p>
    <w:p w14:paraId="628DC144" w14:textId="77777777" w:rsidR="006C1187" w:rsidRPr="006C1187" w:rsidRDefault="006C1187" w:rsidP="006C1187">
      <w:pPr>
        <w:spacing w:line="240" w:lineRule="auto"/>
        <w:ind w:firstLine="709"/>
        <w:jc w:val="both"/>
        <w:rPr>
          <w:rFonts w:ascii="Times New Roman" w:hAnsi="Times New Roman" w:cs="Times New Roman"/>
          <w:sz w:val="28"/>
          <w:szCs w:val="28"/>
          <w:lang w:val="ru-RU"/>
        </w:rPr>
      </w:pPr>
    </w:p>
    <w:tbl>
      <w:tblPr>
        <w:tblStyle w:val="af"/>
        <w:tblW w:w="0" w:type="auto"/>
        <w:tblLook w:val="04A0" w:firstRow="1" w:lastRow="0" w:firstColumn="1" w:lastColumn="0" w:noHBand="0" w:noVBand="1"/>
      </w:tblPr>
      <w:tblGrid>
        <w:gridCol w:w="4164"/>
        <w:gridCol w:w="2067"/>
        <w:gridCol w:w="3119"/>
      </w:tblGrid>
      <w:tr w:rsidR="006C1187" w:rsidRPr="006C1187" w14:paraId="55DE11F4" w14:textId="77777777" w:rsidTr="006C1187">
        <w:tc>
          <w:tcPr>
            <w:tcW w:w="0" w:type="auto"/>
            <w:hideMark/>
          </w:tcPr>
          <w:p w14:paraId="5129C9F4"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Показатель оценки портфеля</w:t>
            </w:r>
          </w:p>
        </w:tc>
        <w:tc>
          <w:tcPr>
            <w:tcW w:w="0" w:type="auto"/>
            <w:hideMark/>
          </w:tcPr>
          <w:p w14:paraId="4B357B78"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Фактическое значение</w:t>
            </w:r>
          </w:p>
        </w:tc>
        <w:tc>
          <w:tcPr>
            <w:tcW w:w="0" w:type="auto"/>
            <w:hideMark/>
          </w:tcPr>
          <w:p w14:paraId="5DCE7EA9"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Интерпретация</w:t>
            </w:r>
          </w:p>
        </w:tc>
      </w:tr>
      <w:tr w:rsidR="006C1187" w:rsidRPr="006C1187" w14:paraId="4A7DF3F8" w14:textId="77777777" w:rsidTr="006C1187">
        <w:tc>
          <w:tcPr>
            <w:tcW w:w="0" w:type="auto"/>
            <w:hideMark/>
          </w:tcPr>
          <w:p w14:paraId="4363A172"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Ожидаемая среднегодовая доходность ($</w:t>
            </w:r>
            <w:proofErr w:type="spellStart"/>
            <w:r w:rsidRPr="006C1187">
              <w:rPr>
                <w:rFonts w:ascii="Times New Roman" w:hAnsi="Times New Roman" w:cs="Times New Roman"/>
                <w:sz w:val="24"/>
                <w:szCs w:val="24"/>
                <w:lang w:val="ru-RU"/>
              </w:rPr>
              <w:t>ER_p</w:t>
            </w:r>
            <w:proofErr w:type="spellEnd"/>
            <w:r w:rsidRPr="006C1187">
              <w:rPr>
                <w:rFonts w:ascii="Times New Roman" w:hAnsi="Times New Roman" w:cs="Times New Roman"/>
                <w:sz w:val="24"/>
                <w:szCs w:val="24"/>
                <w:lang w:val="ru-RU"/>
              </w:rPr>
              <w:t>$)</w:t>
            </w:r>
          </w:p>
        </w:tc>
        <w:tc>
          <w:tcPr>
            <w:tcW w:w="0" w:type="auto"/>
            <w:vAlign w:val="center"/>
            <w:hideMark/>
          </w:tcPr>
          <w:p w14:paraId="60356A2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13,5%</w:t>
            </w:r>
          </w:p>
        </w:tc>
        <w:tc>
          <w:tcPr>
            <w:tcW w:w="0" w:type="auto"/>
            <w:vAlign w:val="center"/>
            <w:hideMark/>
          </w:tcPr>
          <w:p w14:paraId="7C364EE7"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Ниже безрисковой ставки</w:t>
            </w:r>
          </w:p>
        </w:tc>
      </w:tr>
      <w:tr w:rsidR="006C1187" w:rsidRPr="006C1187" w14:paraId="0FCBB679" w14:textId="77777777" w:rsidTr="006C1187">
        <w:tc>
          <w:tcPr>
            <w:tcW w:w="0" w:type="auto"/>
            <w:hideMark/>
          </w:tcPr>
          <w:p w14:paraId="5D055B44"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Совокупный риск (стандартное отклонение, $\</w:t>
            </w:r>
            <w:proofErr w:type="spellStart"/>
            <w:r w:rsidRPr="006C1187">
              <w:rPr>
                <w:rFonts w:ascii="Times New Roman" w:hAnsi="Times New Roman" w:cs="Times New Roman"/>
                <w:sz w:val="24"/>
                <w:szCs w:val="24"/>
                <w:lang w:val="ru-RU"/>
              </w:rPr>
              <w:t>sigma_p</w:t>
            </w:r>
            <w:proofErr w:type="spellEnd"/>
            <w:r w:rsidRPr="006C1187">
              <w:rPr>
                <w:rFonts w:ascii="Times New Roman" w:hAnsi="Times New Roman" w:cs="Times New Roman"/>
                <w:sz w:val="24"/>
                <w:szCs w:val="24"/>
                <w:lang w:val="ru-RU"/>
              </w:rPr>
              <w:t>$)</w:t>
            </w:r>
          </w:p>
        </w:tc>
        <w:tc>
          <w:tcPr>
            <w:tcW w:w="0" w:type="auto"/>
            <w:vAlign w:val="center"/>
            <w:hideMark/>
          </w:tcPr>
          <w:p w14:paraId="318B284E"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26,4%</w:t>
            </w:r>
          </w:p>
        </w:tc>
        <w:tc>
          <w:tcPr>
            <w:tcW w:w="0" w:type="auto"/>
            <w:vAlign w:val="center"/>
            <w:hideMark/>
          </w:tcPr>
          <w:p w14:paraId="429601B1"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Критически высокий отраслевой риск</w:t>
            </w:r>
          </w:p>
        </w:tc>
      </w:tr>
      <w:tr w:rsidR="006C1187" w:rsidRPr="006C1187" w14:paraId="4758553F" w14:textId="77777777" w:rsidTr="006C1187">
        <w:tc>
          <w:tcPr>
            <w:tcW w:w="0" w:type="auto"/>
            <w:hideMark/>
          </w:tcPr>
          <w:p w14:paraId="15240B43"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Безрисковая ставка ($</w:t>
            </w:r>
            <w:proofErr w:type="spellStart"/>
            <w:r w:rsidRPr="006C1187">
              <w:rPr>
                <w:rFonts w:ascii="Times New Roman" w:hAnsi="Times New Roman" w:cs="Times New Roman"/>
                <w:sz w:val="24"/>
                <w:szCs w:val="24"/>
                <w:lang w:val="ru-RU"/>
              </w:rPr>
              <w:t>R_f</w:t>
            </w:r>
            <w:proofErr w:type="spellEnd"/>
            <w:r w:rsidRPr="006C1187">
              <w:rPr>
                <w:rFonts w:ascii="Times New Roman" w:hAnsi="Times New Roman" w:cs="Times New Roman"/>
                <w:sz w:val="24"/>
                <w:szCs w:val="24"/>
                <w:lang w:val="ru-RU"/>
              </w:rPr>
              <w:t>$)</w:t>
            </w:r>
          </w:p>
        </w:tc>
        <w:tc>
          <w:tcPr>
            <w:tcW w:w="0" w:type="auto"/>
            <w:vAlign w:val="center"/>
            <w:hideMark/>
          </w:tcPr>
          <w:p w14:paraId="22D0D1DF"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15,0%</w:t>
            </w:r>
          </w:p>
        </w:tc>
        <w:tc>
          <w:tcPr>
            <w:tcW w:w="0" w:type="auto"/>
            <w:vAlign w:val="center"/>
            <w:hideMark/>
          </w:tcPr>
          <w:p w14:paraId="40102B42"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Ожидаемая доходность надежных ОФЗ</w:t>
            </w:r>
          </w:p>
        </w:tc>
      </w:tr>
      <w:tr w:rsidR="006C1187" w:rsidRPr="006C1187" w14:paraId="69FB340E" w14:textId="77777777" w:rsidTr="006C1187">
        <w:tc>
          <w:tcPr>
            <w:tcW w:w="0" w:type="auto"/>
            <w:hideMark/>
          </w:tcPr>
          <w:p w14:paraId="22CB3CA9" w14:textId="77777777" w:rsidR="006C1187" w:rsidRPr="006C1187" w:rsidRDefault="006C1187" w:rsidP="006C1187">
            <w:pPr>
              <w:rPr>
                <w:rFonts w:ascii="Times New Roman" w:hAnsi="Times New Roman" w:cs="Times New Roman"/>
                <w:sz w:val="24"/>
                <w:szCs w:val="24"/>
                <w:lang w:val="ru-RU"/>
              </w:rPr>
            </w:pPr>
            <w:r w:rsidRPr="006C1187">
              <w:rPr>
                <w:rFonts w:ascii="Times New Roman" w:hAnsi="Times New Roman" w:cs="Times New Roman"/>
                <w:sz w:val="24"/>
                <w:szCs w:val="24"/>
                <w:lang w:val="ru-RU"/>
              </w:rPr>
              <w:t>Систематический риск (Бета-коэффициент, $\</w:t>
            </w:r>
            <w:proofErr w:type="spellStart"/>
            <w:r w:rsidRPr="006C1187">
              <w:rPr>
                <w:rFonts w:ascii="Times New Roman" w:hAnsi="Times New Roman" w:cs="Times New Roman"/>
                <w:sz w:val="24"/>
                <w:szCs w:val="24"/>
                <w:lang w:val="ru-RU"/>
              </w:rPr>
              <w:t>beta</w:t>
            </w:r>
            <w:proofErr w:type="spellEnd"/>
            <w:r w:rsidRPr="006C1187">
              <w:rPr>
                <w:rFonts w:ascii="Times New Roman" w:hAnsi="Times New Roman" w:cs="Times New Roman"/>
                <w:sz w:val="24"/>
                <w:szCs w:val="24"/>
                <w:lang w:val="ru-RU"/>
              </w:rPr>
              <w:t>$)</w:t>
            </w:r>
          </w:p>
        </w:tc>
        <w:tc>
          <w:tcPr>
            <w:tcW w:w="0" w:type="auto"/>
            <w:vAlign w:val="center"/>
            <w:hideMark/>
          </w:tcPr>
          <w:p w14:paraId="69E2F303"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1,05</w:t>
            </w:r>
          </w:p>
        </w:tc>
        <w:tc>
          <w:tcPr>
            <w:tcW w:w="0" w:type="auto"/>
            <w:vAlign w:val="center"/>
            <w:hideMark/>
          </w:tcPr>
          <w:p w14:paraId="4291AF34" w14:textId="77777777" w:rsidR="006C1187" w:rsidRPr="006C1187" w:rsidRDefault="006C1187" w:rsidP="006C1187">
            <w:pPr>
              <w:jc w:val="center"/>
              <w:rPr>
                <w:rFonts w:ascii="Times New Roman" w:hAnsi="Times New Roman" w:cs="Times New Roman"/>
                <w:sz w:val="24"/>
                <w:szCs w:val="24"/>
                <w:lang w:val="ru-RU"/>
              </w:rPr>
            </w:pPr>
            <w:r w:rsidRPr="006C1187">
              <w:rPr>
                <w:rFonts w:ascii="Times New Roman" w:hAnsi="Times New Roman" w:cs="Times New Roman"/>
                <w:sz w:val="24"/>
                <w:szCs w:val="24"/>
                <w:lang w:val="ru-RU"/>
              </w:rPr>
              <w:t>Волатильнее широкого рынка</w:t>
            </w:r>
          </w:p>
        </w:tc>
      </w:tr>
    </w:tbl>
    <w:p w14:paraId="787088BE" w14:textId="713F3BCF" w:rsid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54</w:t>
      </w:r>
      <w:r w:rsidRPr="006C1187">
        <w:rPr>
          <w:rFonts w:ascii="Times New Roman" w:hAnsi="Times New Roman" w:cs="Times New Roman"/>
          <w:sz w:val="28"/>
          <w:szCs w:val="28"/>
          <w:lang w:val="ru-RU"/>
        </w:rPr>
        <w:t>].</w:t>
      </w:r>
    </w:p>
    <w:p w14:paraId="67F657F3" w14:textId="77777777" w:rsidR="006C1187" w:rsidRDefault="006C1187" w:rsidP="006C1187">
      <w:pPr>
        <w:spacing w:line="360" w:lineRule="auto"/>
        <w:ind w:firstLine="709"/>
        <w:jc w:val="both"/>
        <w:rPr>
          <w:rFonts w:ascii="Times New Roman" w:hAnsi="Times New Roman" w:cs="Times New Roman"/>
          <w:sz w:val="28"/>
          <w:szCs w:val="28"/>
          <w:lang w:val="ru-RU"/>
        </w:rPr>
      </w:pPr>
    </w:p>
    <w:p w14:paraId="6508F8F1" w14:textId="2516D831"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Подставим полученные данные в формулу коэффициента Шарпа (1):</w:t>
      </w:r>
    </w:p>
    <w:p w14:paraId="2443190F" w14:textId="40E82CD3" w:rsidR="006C1187" w:rsidRPr="006C1187" w:rsidRDefault="006C1187" w:rsidP="006C1187">
      <w:pPr>
        <w:spacing w:line="360" w:lineRule="auto"/>
        <w:ind w:firstLine="709"/>
        <w:jc w:val="both"/>
        <w:rPr>
          <w:rFonts w:ascii="Times New Roman" w:hAnsi="Times New Roman" w:cs="Times New Roman"/>
          <w:sz w:val="28"/>
          <w:szCs w:val="28"/>
          <w:lang w:val="ru-RU"/>
        </w:rPr>
      </w:pPr>
      <m:oMathPara>
        <m:oMath>
          <m:r>
            <w:rPr>
              <w:rFonts w:ascii="Cambria Math" w:hAnsi="Cambria Math" w:cs="Times New Roman"/>
              <w:sz w:val="28"/>
              <w:szCs w:val="28"/>
              <w:lang w:val="ru-RU"/>
            </w:rPr>
            <m:t>K_{Sharpe} = \frac{13,5\% - 15,0\%}{26,4\%} = -0,057</m:t>
          </m:r>
        </m:oMath>
      </m:oMathPara>
    </w:p>
    <w:p w14:paraId="3D251051" w14:textId="77777777" w:rsidR="006C1187" w:rsidRPr="006C1187" w:rsidRDefault="006C1187" w:rsidP="006C1187">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 xml:space="preserve">Аналогичным образом рассчитаем коэффициент </w:t>
      </w:r>
      <w:proofErr w:type="spellStart"/>
      <w:r w:rsidRPr="006C1187">
        <w:rPr>
          <w:rFonts w:ascii="Times New Roman" w:hAnsi="Times New Roman" w:cs="Times New Roman"/>
          <w:sz w:val="28"/>
          <w:szCs w:val="28"/>
          <w:lang w:val="ru-RU"/>
        </w:rPr>
        <w:t>Трейнора</w:t>
      </w:r>
      <w:proofErr w:type="spellEnd"/>
      <w:r w:rsidRPr="006C1187">
        <w:rPr>
          <w:rFonts w:ascii="Times New Roman" w:hAnsi="Times New Roman" w:cs="Times New Roman"/>
          <w:sz w:val="28"/>
          <w:szCs w:val="28"/>
          <w:lang w:val="ru-RU"/>
        </w:rPr>
        <w:t xml:space="preserve"> (3):</w:t>
      </w:r>
    </w:p>
    <w:p w14:paraId="51EFD249" w14:textId="1AEE075B" w:rsidR="006C1187" w:rsidRPr="006C1187" w:rsidRDefault="006C1187" w:rsidP="006C1187">
      <w:pPr>
        <w:spacing w:line="360" w:lineRule="auto"/>
        <w:ind w:firstLine="709"/>
        <w:jc w:val="both"/>
        <w:rPr>
          <w:rFonts w:ascii="Times New Roman" w:hAnsi="Times New Roman" w:cs="Times New Roman"/>
          <w:sz w:val="28"/>
          <w:szCs w:val="28"/>
          <w:lang w:val="ru-RU"/>
        </w:rPr>
      </w:pPr>
      <m:oMathPara>
        <m:oMath>
          <m:r>
            <w:rPr>
              <w:rFonts w:ascii="Cambria Math" w:hAnsi="Cambria Math" w:cs="Times New Roman"/>
              <w:sz w:val="28"/>
              <w:szCs w:val="28"/>
              <w:lang w:val="ru-RU"/>
            </w:rPr>
            <m:t>K_{Treynor} = \frac{13,5\% - 15,0\%}{1,05} = -1,43\%</m:t>
          </m:r>
        </m:oMath>
      </m:oMathPara>
    </w:p>
    <w:p w14:paraId="4FA6D1F3" w14:textId="7780BABD" w:rsidR="006C1187" w:rsidRPr="004605F7" w:rsidRDefault="006C1187" w:rsidP="0000516F">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b/>
          <w:bCs/>
          <w:sz w:val="28"/>
          <w:szCs w:val="28"/>
          <w:lang w:val="ru-RU"/>
        </w:rPr>
        <w:t>Вывод по расчету:</w:t>
      </w:r>
      <w:r w:rsidRPr="006C1187">
        <w:rPr>
          <w:rFonts w:ascii="Times New Roman" w:hAnsi="Times New Roman" w:cs="Times New Roman"/>
          <w:sz w:val="28"/>
          <w:szCs w:val="28"/>
          <w:lang w:val="ru-RU"/>
        </w:rPr>
        <w:t xml:space="preserve"> Отрицательные значения ключевых метрик являются строгим математическим доказательством того, что в текущей конъюнктуре фонд не генерирует премию за риск. Инвестор получает доходность ниже безрисковой (13,5% </w:t>
      </w:r>
      <w:proofErr w:type="gramStart"/>
      <w:r w:rsidRPr="006C1187">
        <w:rPr>
          <w:rFonts w:ascii="Times New Roman" w:hAnsi="Times New Roman" w:cs="Times New Roman"/>
          <w:sz w:val="28"/>
          <w:szCs w:val="28"/>
          <w:lang w:val="ru-RU"/>
        </w:rPr>
        <w:t>&lt; 15</w:t>
      </w:r>
      <w:proofErr w:type="gramEnd"/>
      <w:r w:rsidRPr="006C1187">
        <w:rPr>
          <w:rFonts w:ascii="Times New Roman" w:hAnsi="Times New Roman" w:cs="Times New Roman"/>
          <w:sz w:val="28"/>
          <w:szCs w:val="28"/>
          <w:lang w:val="ru-RU"/>
        </w:rPr>
        <w:t xml:space="preserve">,0%), при этом принимая на себя колоссальный риск </w:t>
      </w:r>
      <m:oMath>
        <m:r>
          <w:rPr>
            <w:rFonts w:ascii="Cambria Math" w:hAnsi="Cambria Math" w:cs="Times New Roman"/>
            <w:sz w:val="28"/>
            <w:szCs w:val="28"/>
            <w:lang w:val="ru-RU"/>
          </w:rPr>
          <m:t>\sigma_p = 26,4%</m:t>
        </m:r>
      </m:oMath>
      <w:r w:rsidRPr="006C1187">
        <w:rPr>
          <w:rFonts w:ascii="Times New Roman" w:hAnsi="Times New Roman" w:cs="Times New Roman"/>
          <w:sz w:val="28"/>
          <w:szCs w:val="28"/>
          <w:lang w:val="ru-RU"/>
        </w:rPr>
        <w:t xml:space="preserve"> </w:t>
      </w:r>
      <w:r w:rsidR="0000516F">
        <w:rPr>
          <w:rFonts w:ascii="Times New Roman" w:hAnsi="Times New Roman" w:cs="Times New Roman"/>
          <w:sz w:val="28"/>
          <w:szCs w:val="28"/>
          <w:lang w:val="ru-RU"/>
        </w:rPr>
        <w:t>.</w:t>
      </w:r>
      <w:r w:rsidRPr="006C1187">
        <w:rPr>
          <w:rFonts w:ascii="Times New Roman" w:hAnsi="Times New Roman" w:cs="Times New Roman"/>
          <w:sz w:val="28"/>
          <w:szCs w:val="28"/>
          <w:lang w:val="ru-RU"/>
        </w:rPr>
        <w:t>Это делает ребалансировку портфеля не просто декларативной, а математически необходимой мерой.</w:t>
      </w:r>
    </w:p>
    <w:p w14:paraId="40CAB1CE"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Комплексная оценка финансово-экономического состояния и качества портфеля ОПИФ РФИ «ВИМ-Металлургия» в целом согласуется с выдвинутой исследовательской гипотезой. Расчет и интерпретация классических метрик (коэффициенты Шарпа, </w:t>
      </w:r>
      <w:proofErr w:type="spellStart"/>
      <w:r w:rsidRPr="004605F7">
        <w:rPr>
          <w:rFonts w:ascii="Times New Roman" w:hAnsi="Times New Roman" w:cs="Times New Roman"/>
          <w:sz w:val="28"/>
          <w:szCs w:val="28"/>
          <w:lang w:val="ru-RU"/>
        </w:rPr>
        <w:t>Трейнора</w:t>
      </w:r>
      <w:proofErr w:type="spellEnd"/>
      <w:r w:rsidRPr="004605F7">
        <w:rPr>
          <w:rFonts w:ascii="Times New Roman" w:hAnsi="Times New Roman" w:cs="Times New Roman"/>
          <w:sz w:val="28"/>
          <w:szCs w:val="28"/>
          <w:lang w:val="ru-RU"/>
        </w:rPr>
        <w:t>, Бета) позволяют описать преимущественно ретроспективную эффективность: фонд воспроизводит отраслевую и рыночную динамику, при этом риск-</w:t>
      </w:r>
      <w:r w:rsidRPr="004605F7">
        <w:rPr>
          <w:rFonts w:ascii="Times New Roman" w:hAnsi="Times New Roman" w:cs="Times New Roman"/>
          <w:sz w:val="28"/>
          <w:szCs w:val="28"/>
          <w:lang w:val="ru-RU"/>
        </w:rPr>
        <w:lastRenderedPageBreak/>
        <w:t>скорректированная премия за принимаемый специфический риск выглядит ограниченной</w:t>
      </w:r>
      <w:r w:rsidR="00205FD5">
        <w:rPr>
          <w:rFonts w:ascii="Times New Roman" w:hAnsi="Times New Roman" w:cs="Times New Roman"/>
          <w:sz w:val="28"/>
          <w:szCs w:val="28"/>
          <w:lang w:val="ru-RU"/>
        </w:rPr>
        <w:t xml:space="preserve"> </w:t>
      </w:r>
      <w:r w:rsidR="00205FD5" w:rsidRPr="00205FD5">
        <w:rPr>
          <w:rFonts w:ascii="Times New Roman" w:hAnsi="Times New Roman" w:cs="Times New Roman"/>
          <w:sz w:val="28"/>
          <w:szCs w:val="28"/>
          <w:lang w:val="ru-RU"/>
        </w:rPr>
        <w:t>[20, с. 110]</w:t>
      </w:r>
      <w:r w:rsidRPr="004605F7">
        <w:rPr>
          <w:rFonts w:ascii="Times New Roman" w:hAnsi="Times New Roman" w:cs="Times New Roman"/>
          <w:sz w:val="28"/>
          <w:szCs w:val="28"/>
          <w:lang w:val="ru-RU"/>
        </w:rPr>
        <w:t xml:space="preserve">. </w:t>
      </w:r>
    </w:p>
    <w:p w14:paraId="3B14017B" w14:textId="77777777" w:rsidR="00EC4086" w:rsidRPr="004605F7"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В терминах портфельной теории это означает, что инвестор получает экспозицию к сектору с выраженной цикличностью, однако компенсация за концентрацию и высокую чувствительность к внешним шокам не выглядит достаточной при сопоставлении с альтернативами, имеющими более сбалансированный профиль риска.</w:t>
      </w:r>
    </w:p>
    <w:p w14:paraId="098996C4"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 xml:space="preserve">Проведенный фундаментальный анализ объектов инвестирования, в свою очередь, указывает на то, что внешне устойчивые рыночные траектории могут сочетаться с менее очевидными внутренними рисками эмитентов, включая долговую нагрузку, зависимость от экспортных рынков, колебания операционных маржин и уязвимость к регуляторным изменениям. </w:t>
      </w:r>
    </w:p>
    <w:p w14:paraId="7E6990D3" w14:textId="77777777" w:rsidR="00205FD5"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В совокупности это подчеркивает важность интеграции классических портфельных метрик с процедурами фундаментальной диагностики: статистические показатели демонстрируют характер риска и степень «</w:t>
      </w:r>
      <w:proofErr w:type="spellStart"/>
      <w:r w:rsidRPr="004605F7">
        <w:rPr>
          <w:rFonts w:ascii="Times New Roman" w:hAnsi="Times New Roman" w:cs="Times New Roman"/>
          <w:sz w:val="28"/>
          <w:szCs w:val="28"/>
          <w:lang w:val="ru-RU"/>
        </w:rPr>
        <w:t>индексоподобности</w:t>
      </w:r>
      <w:proofErr w:type="spellEnd"/>
      <w:r w:rsidRPr="004605F7">
        <w:rPr>
          <w:rFonts w:ascii="Times New Roman" w:hAnsi="Times New Roman" w:cs="Times New Roman"/>
          <w:sz w:val="28"/>
          <w:szCs w:val="28"/>
          <w:lang w:val="ru-RU"/>
        </w:rPr>
        <w:t>» стратегии, тогда как фундаментальные данные позволяют уточнить природу возможных негативных сценариев на уровне отдельных компаний. В рамках такой связки становится более заметной избыточная концентрация портфеля и присутствие факторов, которые потенциально могут трансформироваться в угрозы для устойчивости ряда базовых эмитентов</w:t>
      </w:r>
      <w:r w:rsidR="00205FD5">
        <w:rPr>
          <w:rFonts w:ascii="Times New Roman" w:hAnsi="Times New Roman" w:cs="Times New Roman"/>
          <w:sz w:val="28"/>
          <w:szCs w:val="28"/>
          <w:lang w:val="ru-RU"/>
        </w:rPr>
        <w:t xml:space="preserve"> [11, с. 42</w:t>
      </w:r>
      <w:r w:rsidR="00205FD5" w:rsidRPr="00205FD5">
        <w:rPr>
          <w:rFonts w:ascii="Times New Roman" w:hAnsi="Times New Roman" w:cs="Times New Roman"/>
          <w:sz w:val="28"/>
          <w:szCs w:val="28"/>
          <w:lang w:val="ru-RU"/>
        </w:rPr>
        <w:t>]</w:t>
      </w:r>
      <w:r w:rsidRPr="004605F7">
        <w:rPr>
          <w:rFonts w:ascii="Times New Roman" w:hAnsi="Times New Roman" w:cs="Times New Roman"/>
          <w:sz w:val="28"/>
          <w:szCs w:val="28"/>
          <w:lang w:val="ru-RU"/>
        </w:rPr>
        <w:t xml:space="preserve">. </w:t>
      </w:r>
    </w:p>
    <w:p w14:paraId="32E5F4A0" w14:textId="77777777" w:rsidR="00FE64C3" w:rsidRDefault="00EC4086" w:rsidP="004605F7">
      <w:pPr>
        <w:spacing w:line="360" w:lineRule="auto"/>
        <w:ind w:firstLine="709"/>
        <w:jc w:val="both"/>
        <w:rPr>
          <w:rFonts w:ascii="Times New Roman" w:hAnsi="Times New Roman" w:cs="Times New Roman"/>
          <w:sz w:val="28"/>
          <w:szCs w:val="28"/>
          <w:lang w:val="ru-RU"/>
        </w:rPr>
      </w:pPr>
      <w:r w:rsidRPr="004605F7">
        <w:rPr>
          <w:rFonts w:ascii="Times New Roman" w:hAnsi="Times New Roman" w:cs="Times New Roman"/>
          <w:sz w:val="28"/>
          <w:szCs w:val="28"/>
          <w:lang w:val="ru-RU"/>
        </w:rPr>
        <w:t>Следовательно, формируется аргументированная необходимость ребалансировки, а также разработки практико-ориентированных рекомендаций, направленных на повышение качества риск-</w:t>
      </w:r>
      <w:proofErr w:type="spellStart"/>
      <w:r w:rsidRPr="004605F7">
        <w:rPr>
          <w:rFonts w:ascii="Times New Roman" w:hAnsi="Times New Roman" w:cs="Times New Roman"/>
          <w:sz w:val="28"/>
          <w:szCs w:val="28"/>
          <w:lang w:val="ru-RU"/>
        </w:rPr>
        <w:t>доходностного</w:t>
      </w:r>
      <w:proofErr w:type="spellEnd"/>
      <w:r w:rsidRPr="004605F7">
        <w:rPr>
          <w:rFonts w:ascii="Times New Roman" w:hAnsi="Times New Roman" w:cs="Times New Roman"/>
          <w:sz w:val="28"/>
          <w:szCs w:val="28"/>
          <w:lang w:val="ru-RU"/>
        </w:rPr>
        <w:t xml:space="preserve"> профиля, расширение диверсификации и снижение чувствительности к неблагоприятным фазам отраслевого цикла, что предполагается развить в последующей главе исследования.</w:t>
      </w:r>
      <w:r w:rsidR="00FE64C3">
        <w:rPr>
          <w:rFonts w:ascii="Times New Roman" w:hAnsi="Times New Roman" w:cs="Times New Roman"/>
          <w:sz w:val="28"/>
          <w:szCs w:val="28"/>
          <w:lang w:val="ru-RU"/>
        </w:rPr>
        <w:br w:type="page"/>
      </w:r>
    </w:p>
    <w:p w14:paraId="3AE66F46" w14:textId="77777777" w:rsidR="002C229C" w:rsidRPr="002C229C" w:rsidRDefault="002C229C" w:rsidP="00675B6A">
      <w:pPr>
        <w:pStyle w:val="1"/>
        <w:spacing w:before="0" w:after="0" w:line="360" w:lineRule="auto"/>
        <w:ind w:firstLine="709"/>
        <w:rPr>
          <w:lang w:val="ru-RU"/>
        </w:rPr>
      </w:pPr>
      <w:bookmarkStart w:id="9" w:name="_Toc229218490"/>
      <w:r w:rsidRPr="002C229C">
        <w:rPr>
          <w:lang w:val="ru-RU"/>
        </w:rPr>
        <w:lastRenderedPageBreak/>
        <w:t>Глава 3. Практическая часть — разработка рекомендаций повышения качества инвестиционного портфеля ОПИФ РФИ «ВИМ-Металлургия»</w:t>
      </w:r>
      <w:bookmarkEnd w:id="9"/>
    </w:p>
    <w:p w14:paraId="35479F68" w14:textId="77777777" w:rsidR="002C229C" w:rsidRDefault="002C229C" w:rsidP="00675B6A">
      <w:pPr>
        <w:pStyle w:val="2"/>
        <w:spacing w:before="0" w:after="0" w:line="360" w:lineRule="auto"/>
        <w:ind w:firstLine="709"/>
        <w:rPr>
          <w:lang w:val="ru-RU"/>
        </w:rPr>
      </w:pPr>
      <w:bookmarkStart w:id="10" w:name="_Toc229218491"/>
      <w:r w:rsidRPr="002C229C">
        <w:rPr>
          <w:lang w:val="ru-RU"/>
        </w:rPr>
        <w:t>3.1. Рекомендации по повышению доходности портфеля</w:t>
      </w:r>
      <w:bookmarkEnd w:id="10"/>
    </w:p>
    <w:p w14:paraId="17BB1D7E" w14:textId="77777777" w:rsidR="004605F7" w:rsidRPr="004605F7" w:rsidRDefault="004605F7" w:rsidP="004605F7">
      <w:pPr>
        <w:rPr>
          <w:lang w:val="ru-RU"/>
        </w:rPr>
      </w:pPr>
    </w:p>
    <w:p w14:paraId="006733E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14:paraId="123F098D"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14:paraId="175E178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w:t>
      </w:r>
      <w:r w:rsidRPr="002C229C">
        <w:rPr>
          <w:rFonts w:ascii="Times New Roman" w:hAnsi="Times New Roman" w:cs="Times New Roman"/>
          <w:color w:val="000000" w:themeColor="text1"/>
          <w:sz w:val="28"/>
          <w:szCs w:val="28"/>
          <w:lang w:val="ru-RU"/>
        </w:rPr>
        <w:lastRenderedPageBreak/>
        <w:t xml:space="preserve">необходимость в тактической ребалансировке: сокращении доли или полном исключении фундаментально слабых и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14:paraId="0FB96BD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14:paraId="576A11C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14:paraId="1B394EC1"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w:t>
      </w:r>
      <w:r w:rsidRPr="002C229C">
        <w:rPr>
          <w:rFonts w:ascii="Times New Roman" w:hAnsi="Times New Roman" w:cs="Times New Roman"/>
          <w:color w:val="000000" w:themeColor="text1"/>
          <w:sz w:val="28"/>
          <w:szCs w:val="28"/>
          <w:lang w:val="ru-RU"/>
        </w:rPr>
        <w:lastRenderedPageBreak/>
        <w:t>стабильный рост объемов добычи, а исторические темпы роста производства 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p>
    <w:p w14:paraId="008EFC0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Уровень ликвидности ПАО «Полюс», ПАО «ЮГК»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xml:space="preserve">»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w:t>
      </w:r>
      <w:proofErr w:type="spellStart"/>
      <w:r w:rsidRPr="002C229C">
        <w:rPr>
          <w:rFonts w:ascii="Times New Roman" w:hAnsi="Times New Roman" w:cs="Times New Roman"/>
          <w:color w:val="000000" w:themeColor="text1"/>
          <w:sz w:val="28"/>
          <w:szCs w:val="28"/>
          <w:lang w:val="ru-RU"/>
        </w:rPr>
        <w:t>Таффлера</w:t>
      </w:r>
      <w:proofErr w:type="spellEnd"/>
      <w:r w:rsidRPr="002C229C">
        <w:rPr>
          <w:rFonts w:ascii="Times New Roman" w:hAnsi="Times New Roman" w:cs="Times New Roman"/>
          <w:color w:val="000000" w:themeColor="text1"/>
          <w:sz w:val="28"/>
          <w:szCs w:val="28"/>
          <w:lang w:val="ru-RU"/>
        </w:rPr>
        <w:t>,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14:paraId="0867A86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14:paraId="0BB46E0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14:paraId="23EDFC7E"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14:paraId="7BFC25DB"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рост курсовой стоимости золота будет компенсировать убытки </w:t>
      </w:r>
      <w:r w:rsidRPr="002C229C">
        <w:rPr>
          <w:rFonts w:ascii="Times New Roman" w:hAnsi="Times New Roman" w:cs="Times New Roman"/>
          <w:color w:val="000000" w:themeColor="text1"/>
          <w:sz w:val="28"/>
          <w:szCs w:val="28"/>
          <w:lang w:val="ru-RU"/>
        </w:rPr>
        <w:lastRenderedPageBreak/>
        <w:t>промышленных металлургов. Таким образом, активное управление 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14:paraId="13452DF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Для всесторонней и объективной оценки эффективности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14:paraId="6001586F"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w:t>
      </w:r>
      <w:r w:rsidRPr="002C229C">
        <w:rPr>
          <w:rFonts w:ascii="Times New Roman" w:hAnsi="Times New Roman" w:cs="Times New Roman"/>
          <w:color w:val="000000" w:themeColor="text1"/>
          <w:sz w:val="28"/>
          <w:szCs w:val="28"/>
          <w:lang w:val="ru-RU"/>
        </w:rPr>
        <w:lastRenderedPageBreak/>
        <w:t>акции внутри фонда имеют положительную корреляцию и обесцениваются синхронно.</w:t>
      </w:r>
    </w:p>
    <w:p w14:paraId="2EAA9642"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w:t>
      </w:r>
      <w:proofErr w:type="spellStart"/>
      <w:r w:rsidRPr="002C229C">
        <w:rPr>
          <w:rFonts w:ascii="Times New Roman" w:hAnsi="Times New Roman" w:cs="Times New Roman"/>
          <w:color w:val="000000" w:themeColor="text1"/>
          <w:sz w:val="28"/>
          <w:szCs w:val="28"/>
          <w:lang w:val="ru-RU"/>
        </w:rPr>
        <w:t>контрцикличного</w:t>
      </w:r>
      <w:proofErr w:type="spellEnd"/>
      <w:r w:rsidRPr="002C229C">
        <w:rPr>
          <w:rFonts w:ascii="Times New Roman" w:hAnsi="Times New Roman" w:cs="Times New Roman"/>
          <w:color w:val="000000" w:themeColor="text1"/>
          <w:sz w:val="28"/>
          <w:szCs w:val="28"/>
          <w:lang w:val="ru-RU"/>
        </w:rPr>
        <w:t xml:space="preserve">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14:paraId="61532616"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14:paraId="4DE8F81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14:paraId="7D82DC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w:t>
      </w:r>
      <w:r w:rsidRPr="002C229C">
        <w:rPr>
          <w:rFonts w:ascii="Times New Roman" w:hAnsi="Times New Roman" w:cs="Times New Roman"/>
          <w:color w:val="000000" w:themeColor="text1"/>
          <w:sz w:val="28"/>
          <w:szCs w:val="28"/>
          <w:lang w:val="ru-RU"/>
        </w:rPr>
        <w:lastRenderedPageBreak/>
        <w:t>«ММК», обладают значительными запасами аккумулированной ликвидности и отрицательным чистым долгом. Данная структура баланса делает их 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14:paraId="2058D3E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Оптимистичный сценарий. Сценарий экономического роста базируется на предпосылках зарождения нового сырьевого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xml:space="preserve">,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w:t>
      </w:r>
      <w:proofErr w:type="spellStart"/>
      <w:r w:rsidRPr="002C229C">
        <w:rPr>
          <w:rFonts w:ascii="Times New Roman" w:hAnsi="Times New Roman" w:cs="Times New Roman"/>
          <w:color w:val="000000" w:themeColor="text1"/>
          <w:sz w:val="28"/>
          <w:szCs w:val="28"/>
          <w:lang w:val="ru-RU"/>
        </w:rPr>
        <w:t>экспортно</w:t>
      </w:r>
      <w:proofErr w:type="spellEnd"/>
      <w:r w:rsidRPr="002C229C">
        <w:rPr>
          <w:rFonts w:ascii="Times New Roman" w:hAnsi="Times New Roman" w:cs="Times New Roman"/>
          <w:color w:val="000000" w:themeColor="text1"/>
          <w:sz w:val="28"/>
          <w:szCs w:val="28"/>
          <w:lang w:val="ru-RU"/>
        </w:rPr>
        <w:t xml:space="preserve"> ориентированной российской экономики, кратно увеличивая рублевую выручку корпораций и разгоняя их маржинальность</w:t>
      </w:r>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0AC5427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w:t>
      </w:r>
      <w:proofErr w:type="spellStart"/>
      <w:r w:rsidRPr="002C229C">
        <w:rPr>
          <w:rFonts w:ascii="Times New Roman" w:hAnsi="Times New Roman" w:cs="Times New Roman"/>
          <w:color w:val="000000" w:themeColor="text1"/>
          <w:sz w:val="28"/>
          <w:szCs w:val="28"/>
          <w:lang w:val="ru-RU"/>
        </w:rPr>
        <w:t>МосБиржи</w:t>
      </w:r>
      <w:proofErr w:type="spellEnd"/>
      <w:r w:rsidRPr="002C229C">
        <w:rPr>
          <w:rFonts w:ascii="Times New Roman" w:hAnsi="Times New Roman" w:cs="Times New Roman"/>
          <w:color w:val="000000" w:themeColor="text1"/>
          <w:sz w:val="28"/>
          <w:szCs w:val="28"/>
          <w:lang w:val="ru-RU"/>
        </w:rPr>
        <w:t xml:space="preserve">. При этом за счет предварительного отсева фундаментально слабых эмитентов и грамотного выбора наиболее рентабельных лидеров рынка, </w:t>
      </w:r>
      <w:r w:rsidRPr="002C229C">
        <w:rPr>
          <w:rFonts w:ascii="Times New Roman" w:hAnsi="Times New Roman" w:cs="Times New Roman"/>
          <w:color w:val="000000" w:themeColor="text1"/>
          <w:sz w:val="28"/>
          <w:szCs w:val="28"/>
          <w:lang w:val="ru-RU"/>
        </w:rPr>
        <w:lastRenderedPageBreak/>
        <w:t>управляющий фондом сможет сгенерировать высокую избыточную доходность (Альфу Дженсена, \</w:t>
      </w:r>
      <w:proofErr w:type="spellStart"/>
      <w:r w:rsidRPr="002C229C">
        <w:rPr>
          <w:rFonts w:ascii="Times New Roman" w:hAnsi="Times New Roman" w:cs="Times New Roman"/>
          <w:color w:val="000000" w:themeColor="text1"/>
          <w:sz w:val="28"/>
          <w:szCs w:val="28"/>
          <w:lang w:val="ru-RU"/>
        </w:rPr>
        <w:t>alpha</w:t>
      </w:r>
      <w:proofErr w:type="spellEnd"/>
      <w:r w:rsidRPr="002C229C">
        <w:rPr>
          <w:rFonts w:ascii="Times New Roman" w:hAnsi="Times New Roman" w:cs="Times New Roman"/>
          <w:color w:val="000000" w:themeColor="text1"/>
          <w:sz w:val="28"/>
          <w:szCs w:val="28"/>
          <w:lang w:val="ru-RU"/>
        </w:rPr>
        <w:t>), существенно обогнав пассивный отраслевой бенчмарк по 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14:paraId="4C93C65E" w14:textId="77777777"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14:paraId="5C2DD6A5"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
    <w:p w14:paraId="65905141" w14:textId="77777777" w:rsidR="002C229C" w:rsidRDefault="002C229C" w:rsidP="004605F7">
      <w:pPr>
        <w:pStyle w:val="2"/>
        <w:spacing w:before="0" w:after="0" w:line="360" w:lineRule="auto"/>
        <w:rPr>
          <w:lang w:val="ru-RU"/>
        </w:rPr>
      </w:pPr>
      <w:bookmarkStart w:id="11" w:name="_Toc229218492"/>
      <w:r w:rsidRPr="002C229C">
        <w:rPr>
          <w:lang w:val="ru-RU"/>
        </w:rPr>
        <w:t>3.2. Рекомендации по диверсификации портфеля</w:t>
      </w:r>
      <w:bookmarkEnd w:id="11"/>
    </w:p>
    <w:p w14:paraId="6C8A183B" w14:textId="77777777"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14:paraId="08D085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Обоснование диверсификации.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и Уильяма Шарпа подобная структура нарушает базовые принципы управления 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r w:rsidRPr="002C229C">
        <w:rPr>
          <w:rFonts w:ascii="Times New Roman" w:hAnsi="Times New Roman" w:cs="Times New Roman"/>
          <w:color w:val="000000" w:themeColor="text1"/>
          <w:sz w:val="28"/>
          <w:szCs w:val="28"/>
          <w:lang w:val="ru-RU"/>
        </w:rPr>
        <w:t xml:space="preserve">. Отсутствие диверсификации генерирует </w:t>
      </w:r>
      <w:r w:rsidRPr="002C229C">
        <w:rPr>
          <w:rFonts w:ascii="Times New Roman" w:hAnsi="Times New Roman" w:cs="Times New Roman"/>
          <w:color w:val="000000" w:themeColor="text1"/>
          <w:sz w:val="28"/>
          <w:szCs w:val="28"/>
          <w:lang w:val="ru-RU"/>
        </w:rPr>
        <w:lastRenderedPageBreak/>
        <w:t>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42A4E33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w:t>
      </w:r>
      <w:proofErr w:type="spellStart"/>
      <w:r w:rsidRPr="002C229C">
        <w:rPr>
          <w:rFonts w:ascii="Times New Roman" w:hAnsi="Times New Roman" w:cs="Times New Roman"/>
          <w:color w:val="000000" w:themeColor="text1"/>
          <w:sz w:val="28"/>
          <w:szCs w:val="28"/>
          <w:lang w:val="ru-RU"/>
        </w:rPr>
        <w:t>внутрипортфельной</w:t>
      </w:r>
      <w:proofErr w:type="spellEnd"/>
      <w:r w:rsidRPr="002C229C">
        <w:rPr>
          <w:rFonts w:ascii="Times New Roman" w:hAnsi="Times New Roman" w:cs="Times New Roman"/>
          <w:color w:val="000000" w:themeColor="text1"/>
          <w:sz w:val="28"/>
          <w:szCs w:val="28"/>
          <w:lang w:val="ru-RU"/>
        </w:rPr>
        <w:t xml:space="preserve">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p>
    <w:p w14:paraId="4AAE672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14:paraId="1FB78A9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Аргументация выбора предложенных компаний строго обоснована их исключительной финансовой устойчивостью, подтвержденной методами </w:t>
      </w:r>
      <w:r w:rsidRPr="002C229C">
        <w:rPr>
          <w:rFonts w:ascii="Times New Roman" w:hAnsi="Times New Roman" w:cs="Times New Roman"/>
          <w:color w:val="000000" w:themeColor="text1"/>
          <w:sz w:val="28"/>
          <w:szCs w:val="28"/>
          <w:lang w:val="ru-RU"/>
        </w:rPr>
        <w:lastRenderedPageBreak/>
        <w:t>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5F4CE419"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14:paraId="23D78F17"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14:paraId="1F993070"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ПАО «Интер РАО» (электроэнергетика). Энергетический сектор традиционно генерирует </w:t>
      </w:r>
      <w:proofErr w:type="spellStart"/>
      <w:r w:rsidRPr="002C229C">
        <w:rPr>
          <w:rFonts w:ascii="Times New Roman" w:hAnsi="Times New Roman" w:cs="Times New Roman"/>
          <w:color w:val="000000" w:themeColor="text1"/>
          <w:sz w:val="28"/>
          <w:szCs w:val="28"/>
          <w:lang w:val="ru-RU"/>
        </w:rPr>
        <w:t>высокопрогнозируемые</w:t>
      </w:r>
      <w:proofErr w:type="spellEnd"/>
      <w:r w:rsidRPr="002C229C">
        <w:rPr>
          <w:rFonts w:ascii="Times New Roman" w:hAnsi="Times New Roman" w:cs="Times New Roman"/>
          <w:color w:val="000000" w:themeColor="text1"/>
          <w:sz w:val="28"/>
          <w:szCs w:val="28"/>
          <w:lang w:val="ru-RU"/>
        </w:rPr>
        <w:t xml:space="preserve">, защищенные от внешних шоков внутренние финансовые потоки. Будучи надежным и крупнейшим 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w:t>
      </w:r>
      <w:proofErr w:type="spellStart"/>
      <w:r w:rsidRPr="002C229C">
        <w:rPr>
          <w:rFonts w:ascii="Times New Roman" w:hAnsi="Times New Roman" w:cs="Times New Roman"/>
          <w:color w:val="000000" w:themeColor="text1"/>
          <w:sz w:val="28"/>
          <w:szCs w:val="28"/>
          <w:lang w:val="ru-RU"/>
        </w:rPr>
        <w:t>квазиоблигаций</w:t>
      </w:r>
      <w:proofErr w:type="spellEnd"/>
      <w:r w:rsidRPr="002C229C">
        <w:rPr>
          <w:rFonts w:ascii="Times New Roman" w:hAnsi="Times New Roman" w:cs="Times New Roman"/>
          <w:color w:val="000000" w:themeColor="text1"/>
          <w:sz w:val="28"/>
          <w:szCs w:val="28"/>
          <w:lang w:val="ru-RU"/>
        </w:rPr>
        <w:t xml:space="preserve">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14:paraId="52E3EC50"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Практическая имплементация предложенных мер приведет к ярко выраженному синергетическому эффекту. Замещение части </w:t>
      </w:r>
      <w:proofErr w:type="spellStart"/>
      <w:r w:rsidRPr="002C229C">
        <w:rPr>
          <w:rFonts w:ascii="Times New Roman" w:hAnsi="Times New Roman" w:cs="Times New Roman"/>
          <w:color w:val="000000" w:themeColor="text1"/>
          <w:sz w:val="28"/>
          <w:szCs w:val="28"/>
          <w:lang w:val="ru-RU"/>
        </w:rPr>
        <w:t>высоковолатильных</w:t>
      </w:r>
      <w:proofErr w:type="spellEnd"/>
      <w:r w:rsidRPr="002C229C">
        <w:rPr>
          <w:rFonts w:ascii="Times New Roman" w:hAnsi="Times New Roman" w:cs="Times New Roman"/>
          <w:color w:val="000000" w:themeColor="text1"/>
          <w:sz w:val="28"/>
          <w:szCs w:val="28"/>
          <w:lang w:val="ru-RU"/>
        </w:rPr>
        <w:t xml:space="preserve">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14:paraId="0CED98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эффективного фронта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 геометрического места точек в многомерном пространстве параметров, которые соответствуют портфелям, обеспечивающим абсолютный максимум ожидаемой доходности при жестко </w:t>
      </w:r>
      <w:r w:rsidRPr="002C229C">
        <w:rPr>
          <w:rFonts w:ascii="Times New Roman" w:hAnsi="Times New Roman" w:cs="Times New Roman"/>
          <w:color w:val="000000" w:themeColor="text1"/>
          <w:sz w:val="28"/>
          <w:szCs w:val="28"/>
          <w:lang w:val="ru-RU"/>
        </w:rPr>
        <w:lastRenderedPageBreak/>
        <w:t>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14:paraId="1206CFA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(10)</w:t>
      </w:r>
      <w:r w:rsidRPr="002C229C">
        <w:rPr>
          <w:rFonts w:ascii="Times New Roman" w:hAnsi="Times New Roman" w:cs="Times New Roman"/>
          <w:color w:val="000000" w:themeColor="text1"/>
          <w:sz w:val="28"/>
          <w:szCs w:val="28"/>
          <w:lang w:val="ru-RU"/>
        </w:rPr>
        <w:t>:</w:t>
      </w:r>
    </w:p>
    <w:p w14:paraId="2A5848D4" w14:textId="3D00A78C" w:rsidR="002C229C" w:rsidRPr="00564EEC" w:rsidRDefault="00564EEC" w:rsidP="00564EEC">
      <w:pPr>
        <w:spacing w:line="360" w:lineRule="auto"/>
        <w:ind w:firstLine="709"/>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p</m:t>
                </m:r>
              </m:sub>
            </m:sSub>
          </m:e>
        </m:d>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en-US"/>
              </w:rPr>
            </m:ctrlPr>
          </m:naryPr>
          <m:sub>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lang w:val="ru-RU"/>
                  </w:rPr>
                  <m:t>=1</m:t>
                </m:r>
              </m:e>
            </m:d>
          </m:sub>
          <m:sup>
            <m:r>
              <w:rPr>
                <w:rFonts w:ascii="Cambria Math" w:hAnsi="Cambria Math" w:cs="Times New Roman"/>
                <w:color w:val="000000" w:themeColor="text1"/>
                <w:sz w:val="28"/>
                <w:szCs w:val="28"/>
                <w:lang w:val="en-US"/>
              </w:rPr>
              <m:t>n</m:t>
            </m:r>
          </m:sup>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w</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i</m:t>
                    </m:r>
                  </m:sub>
                </m:sSub>
              </m:e>
            </m:d>
          </m:e>
        </m:nary>
      </m:oMath>
      <w:r>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(10)</w:t>
      </w:r>
    </w:p>
    <w:p w14:paraId="17EEB1BA"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3B24F5B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14:paraId="13F2B8A9"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2C229C" w:rsidRPr="00B67275">
        <w:rPr>
          <w:rFonts w:ascii="Times New Roman" w:hAnsi="Times New Roman" w:cs="Times New Roman"/>
          <w:color w:val="000000" w:themeColor="text1"/>
          <w:sz w:val="28"/>
          <w:szCs w:val="28"/>
          <w:lang w:val="ru-RU"/>
        </w:rPr>
        <w:t xml:space="preserve"> — удельный вес $i$-го актива в структуре портфеля;</w:t>
      </w:r>
    </w:p>
    <w:p w14:paraId="61A2DCB2"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 (прогнозируемая) доходность $i$-го актива;</w:t>
      </w:r>
    </w:p>
    <w:p w14:paraId="3FF9866F"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14:paraId="62A72E22" w14:textId="77777777"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14:paraId="42A1B81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Риск инвестиционного портфеля, </w:t>
      </w:r>
      <w:proofErr w:type="spellStart"/>
      <w:r w:rsidRPr="00B67275">
        <w:rPr>
          <w:rFonts w:ascii="Times New Roman" w:hAnsi="Times New Roman" w:cs="Times New Roman"/>
          <w:color w:val="000000" w:themeColor="text1"/>
          <w:sz w:val="28"/>
          <w:szCs w:val="28"/>
          <w:lang w:val="ru-RU"/>
        </w:rPr>
        <w:t>квантифицируемый</w:t>
      </w:r>
      <w:proofErr w:type="spellEnd"/>
      <w:r w:rsidRPr="00B67275">
        <w:rPr>
          <w:rFonts w:ascii="Times New Roman" w:hAnsi="Times New Roman" w:cs="Times New Roman"/>
          <w:color w:val="000000" w:themeColor="text1"/>
          <w:sz w:val="28"/>
          <w:szCs w:val="28"/>
          <w:lang w:val="ru-RU"/>
        </w:rPr>
        <w:t xml:space="preserve">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(11)</w:t>
      </w:r>
      <w:r w:rsidRPr="00B67275">
        <w:rPr>
          <w:rFonts w:ascii="Times New Roman" w:hAnsi="Times New Roman" w:cs="Times New Roman"/>
          <w:color w:val="000000" w:themeColor="text1"/>
          <w:sz w:val="28"/>
          <w:szCs w:val="28"/>
          <w:lang w:val="ru-RU"/>
        </w:rPr>
        <w:t>:</w:t>
      </w:r>
    </w:p>
    <w:p w14:paraId="511F960E" w14:textId="157AA6CC" w:rsidR="002C229C" w:rsidRPr="00564EEC" w:rsidRDefault="00564EEC" w:rsidP="002C229C">
      <w:pPr>
        <w:spacing w:line="360" w:lineRule="auto"/>
        <w:ind w:firstLine="709"/>
        <w:rPr>
          <w:rFonts w:ascii="Times New Roman" w:hAnsi="Times New Roman" w:cs="Times New Roman"/>
          <w:color w:val="000000" w:themeColor="text1"/>
          <w:sz w:val="28"/>
          <w:szCs w:val="28"/>
          <w:lang w:val="ru-RU"/>
        </w:rPr>
      </w:pP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e>
        </m:nary>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=1, </m:t>
                </m:r>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 </m:t>
                </m:r>
                <m:r>
                  <w:rPr>
                    <w:rFonts w:ascii="Cambria Math" w:hAnsi="Cambria Math" w:cs="Times New Roman"/>
                    <w:color w:val="000000" w:themeColor="text1"/>
                    <w:sz w:val="28"/>
                    <w:szCs w:val="28"/>
                    <w:lang w:val="ru-RU"/>
                  </w:rPr>
                  <m:t>≠</m:t>
                </m:r>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rPr>
                  <m:t>n</m:t>
                </m:r>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r>
                      <w:rPr>
                        <w:rFonts w:ascii="Cambria Math" w:hAnsi="Cambria Math" w:cs="Times New Roman"/>
                        <w:color w:val="000000" w:themeColor="text1"/>
                        <w:sz w:val="28"/>
                        <w:szCs w:val="28"/>
                      </w:rPr>
                      <m:t>ij</m:t>
                    </m:r>
                  </m:sub>
                </m:sSub>
              </m:e>
            </m:nary>
          </m:e>
        </m:nary>
        <m:r>
          <w:rPr>
            <w:rFonts w:ascii="Cambria Math" w:hAnsi="Cambria Math" w:cs="Times New Roman"/>
            <w:color w:val="000000" w:themeColor="text1"/>
            <w:sz w:val="28"/>
            <w:szCs w:val="28"/>
            <w:lang w:val="ru-RU"/>
          </w:rPr>
          <m:t xml:space="preserve">  </m:t>
        </m:r>
      </m:oMath>
      <w:r>
        <w:rPr>
          <w:rFonts w:ascii="Times New Roman" w:hAnsi="Times New Roman" w:cs="Times New Roman"/>
          <w:color w:val="000000" w:themeColor="text1"/>
          <w:sz w:val="28"/>
          <w:szCs w:val="28"/>
          <w:lang w:val="ru-RU"/>
        </w:rPr>
        <w:t xml:space="preserve">                                       </w:t>
      </w:r>
      <w:r w:rsidR="00B67275" w:rsidRPr="00564EEC">
        <w:rPr>
          <w:rFonts w:ascii="Times New Roman" w:hAnsi="Times New Roman" w:cs="Times New Roman"/>
          <w:color w:val="000000" w:themeColor="text1"/>
          <w:sz w:val="28"/>
          <w:szCs w:val="28"/>
          <w:lang w:val="ru-RU"/>
        </w:rPr>
        <w:t>(11)</w:t>
      </w:r>
    </w:p>
    <w:p w14:paraId="43CC792B"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1651378C"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14:paraId="44CCAFEE"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r w:rsidR="00B67275">
        <w:rPr>
          <w:rFonts w:ascii="Times New Roman" w:hAnsi="Times New Roman" w:cs="Times New Roman"/>
          <w:color w:val="000000" w:themeColor="text1"/>
          <w:sz w:val="28"/>
          <w:szCs w:val="28"/>
          <w:lang w:val="ru-RU"/>
        </w:rPr>
        <w:t>исперсия доходности отдельного i</w:t>
      </w:r>
      <w:r w:rsidR="002C229C" w:rsidRPr="00B67275">
        <w:rPr>
          <w:rFonts w:ascii="Times New Roman" w:hAnsi="Times New Roman" w:cs="Times New Roman"/>
          <w:color w:val="000000" w:themeColor="text1"/>
          <w:sz w:val="28"/>
          <w:szCs w:val="28"/>
          <w:lang w:val="ru-RU"/>
        </w:rPr>
        <w:t>-го актива;</w:t>
      </w:r>
    </w:p>
    <w:p w14:paraId="7B860E88"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14:paraId="60E865C6"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14:paraId="4E954C3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14:paraId="5099104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Глубинный экономический и математический 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lastRenderedPageBreak/>
        <w:t>снизить общее стандартное 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14:paraId="1B114B48"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Моделирование итоговых результатов ребалансировки базируется на алгоритме перераспределения удельных весов. В оптимизированной модели вес высокорисковых и </w:t>
      </w:r>
      <w:proofErr w:type="spellStart"/>
      <w:r w:rsidRPr="00B67275">
        <w:rPr>
          <w:rFonts w:ascii="Times New Roman" w:hAnsi="Times New Roman" w:cs="Times New Roman"/>
          <w:color w:val="000000" w:themeColor="text1"/>
          <w:sz w:val="28"/>
          <w:szCs w:val="28"/>
          <w:lang w:val="ru-RU"/>
        </w:rPr>
        <w:t>закредитованных</w:t>
      </w:r>
      <w:proofErr w:type="spellEnd"/>
      <w:r w:rsidRPr="00B67275">
        <w:rPr>
          <w:rFonts w:ascii="Times New Roman" w:hAnsi="Times New Roman" w:cs="Times New Roman"/>
          <w:color w:val="000000" w:themeColor="text1"/>
          <w:sz w:val="28"/>
          <w:szCs w:val="28"/>
          <w:lang w:val="ru-RU"/>
        </w:rPr>
        <w:t xml:space="preserve"> аутсайдеров директивно снижается. Высвобожденный капитал </w:t>
      </w:r>
      <w:proofErr w:type="spellStart"/>
      <w:r w:rsidRPr="00B67275">
        <w:rPr>
          <w:rFonts w:ascii="Times New Roman" w:hAnsi="Times New Roman" w:cs="Times New Roman"/>
          <w:color w:val="000000" w:themeColor="text1"/>
          <w:sz w:val="28"/>
          <w:szCs w:val="28"/>
          <w:lang w:val="ru-RU"/>
        </w:rPr>
        <w:t>аллоцируется</w:t>
      </w:r>
      <w:proofErr w:type="spellEnd"/>
      <w:r w:rsidRPr="00B67275">
        <w:rPr>
          <w:rFonts w:ascii="Times New Roman" w:hAnsi="Times New Roman" w:cs="Times New Roman"/>
          <w:color w:val="000000" w:themeColor="text1"/>
          <w:sz w:val="28"/>
          <w:szCs w:val="28"/>
          <w:lang w:val="ru-RU"/>
        </w:rPr>
        <w:t xml:space="preserve">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14:paraId="0181CF71"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p>
    <w:p w14:paraId="6BFFE40F" w14:textId="77777777"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r>
        <w:rPr>
          <w:rFonts w:ascii="Times New Roman" w:hAnsi="Times New Roman" w:cs="Times New Roman"/>
          <w:color w:val="000000" w:themeColor="text1"/>
          <w:sz w:val="28"/>
          <w:szCs w:val="28"/>
          <w:lang w:val="ru-RU"/>
        </w:rPr>
        <w:t>,                             (12)</w:t>
      </w:r>
    </w:p>
    <w:p w14:paraId="52DD14A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066D2934"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14:paraId="24D252A9"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14:paraId="33B9DBA9"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14:paraId="7C2CBA0F"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14:paraId="7D526CCC"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Глубинный экономический смысл предложенной структурной ребалансировки заключается во внедрении активов, обладающих доказанной </w:t>
      </w:r>
      <w:r w:rsidRPr="0000516F">
        <w:rPr>
          <w:rFonts w:ascii="Times New Roman" w:hAnsi="Times New Roman" w:cs="Times New Roman"/>
          <w:color w:val="000000" w:themeColor="text1"/>
          <w:sz w:val="28"/>
          <w:szCs w:val="28"/>
          <w:lang w:val="ru-RU"/>
        </w:rPr>
        <w:lastRenderedPageBreak/>
        <w:t>слабой корреляцией с базовым ядром черной металлургии. В Таблице 3 представлена расчетная матрица корреляций для предложенных активов.</w:t>
      </w:r>
    </w:p>
    <w:p w14:paraId="04E4F529"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5E24C5E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Таблица 3 – Матрица коэффициентов корреляции активов оптимизированного портфеля</w:t>
      </w:r>
    </w:p>
    <w:tbl>
      <w:tblPr>
        <w:tblStyle w:val="af"/>
        <w:tblW w:w="0" w:type="auto"/>
        <w:tblLook w:val="04A0" w:firstRow="1" w:lastRow="0" w:firstColumn="1" w:lastColumn="0" w:noHBand="0" w:noVBand="1"/>
      </w:tblPr>
      <w:tblGrid>
        <w:gridCol w:w="1581"/>
        <w:gridCol w:w="1689"/>
        <w:gridCol w:w="1306"/>
        <w:gridCol w:w="1544"/>
        <w:gridCol w:w="1272"/>
        <w:gridCol w:w="1958"/>
      </w:tblGrid>
      <w:tr w:rsidR="0000516F" w:rsidRPr="0000516F" w14:paraId="0AD8E2E3" w14:textId="77777777" w:rsidTr="0000516F">
        <w:tc>
          <w:tcPr>
            <w:tcW w:w="0" w:type="auto"/>
            <w:vAlign w:val="center"/>
            <w:hideMark/>
          </w:tcPr>
          <w:p w14:paraId="43C9B34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Активы</w:t>
            </w:r>
          </w:p>
        </w:tc>
        <w:tc>
          <w:tcPr>
            <w:tcW w:w="0" w:type="auto"/>
            <w:hideMark/>
          </w:tcPr>
          <w:p w14:paraId="2BF025C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Металлурги (база)</w:t>
            </w:r>
          </w:p>
        </w:tc>
        <w:tc>
          <w:tcPr>
            <w:tcW w:w="0" w:type="auto"/>
            <w:hideMark/>
          </w:tcPr>
          <w:p w14:paraId="36E7165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«Полюс»</w:t>
            </w:r>
          </w:p>
        </w:tc>
        <w:tc>
          <w:tcPr>
            <w:tcW w:w="0" w:type="auto"/>
            <w:hideMark/>
          </w:tcPr>
          <w:p w14:paraId="5A5104E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«ФосАгро»</w:t>
            </w:r>
          </w:p>
        </w:tc>
        <w:tc>
          <w:tcPr>
            <w:tcW w:w="0" w:type="auto"/>
            <w:hideMark/>
          </w:tcPr>
          <w:p w14:paraId="713546E9"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«Интер РАО»</w:t>
            </w:r>
          </w:p>
        </w:tc>
        <w:tc>
          <w:tcPr>
            <w:tcW w:w="0" w:type="auto"/>
            <w:hideMark/>
          </w:tcPr>
          <w:p w14:paraId="23EE5F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«Совкомфлот»</w:t>
            </w:r>
          </w:p>
        </w:tc>
      </w:tr>
      <w:tr w:rsidR="0000516F" w:rsidRPr="0000516F" w14:paraId="0B838617" w14:textId="77777777" w:rsidTr="0000516F">
        <w:tc>
          <w:tcPr>
            <w:tcW w:w="0" w:type="auto"/>
            <w:vAlign w:val="center"/>
            <w:hideMark/>
          </w:tcPr>
          <w:p w14:paraId="3D84E80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Металлурги (база)</w:t>
            </w:r>
          </w:p>
        </w:tc>
        <w:tc>
          <w:tcPr>
            <w:tcW w:w="0" w:type="auto"/>
            <w:vAlign w:val="center"/>
            <w:hideMark/>
          </w:tcPr>
          <w:p w14:paraId="2EC6D613"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1D0F55D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705D091F"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3C33D94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0,09</w:t>
            </w:r>
          </w:p>
        </w:tc>
        <w:tc>
          <w:tcPr>
            <w:tcW w:w="0" w:type="auto"/>
            <w:vAlign w:val="center"/>
            <w:hideMark/>
          </w:tcPr>
          <w:p w14:paraId="2C2466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0,18</w:t>
            </w:r>
          </w:p>
        </w:tc>
      </w:tr>
      <w:tr w:rsidR="0000516F" w:rsidRPr="0000516F" w14:paraId="7273ABC8" w14:textId="77777777" w:rsidTr="0000516F">
        <w:tc>
          <w:tcPr>
            <w:tcW w:w="0" w:type="auto"/>
            <w:vAlign w:val="center"/>
            <w:hideMark/>
          </w:tcPr>
          <w:p w14:paraId="4FBBDD46"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«Полюс»</w:t>
            </w:r>
          </w:p>
        </w:tc>
        <w:tc>
          <w:tcPr>
            <w:tcW w:w="0" w:type="auto"/>
            <w:vAlign w:val="center"/>
            <w:hideMark/>
          </w:tcPr>
          <w:p w14:paraId="752493C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17453E57"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5675406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6B33D2F4"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0,05</w:t>
            </w:r>
          </w:p>
        </w:tc>
        <w:tc>
          <w:tcPr>
            <w:tcW w:w="0" w:type="auto"/>
            <w:vAlign w:val="center"/>
            <w:hideMark/>
          </w:tcPr>
          <w:p w14:paraId="3E30D54C"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0,11</w:t>
            </w:r>
          </w:p>
        </w:tc>
      </w:tr>
      <w:tr w:rsidR="0000516F" w:rsidRPr="0000516F" w14:paraId="40B7F1C4" w14:textId="77777777" w:rsidTr="0000516F">
        <w:tc>
          <w:tcPr>
            <w:tcW w:w="0" w:type="auto"/>
            <w:vAlign w:val="center"/>
            <w:hideMark/>
          </w:tcPr>
          <w:p w14:paraId="5A921C6E"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«ФосАгро»</w:t>
            </w:r>
          </w:p>
        </w:tc>
        <w:tc>
          <w:tcPr>
            <w:tcW w:w="0" w:type="auto"/>
            <w:vAlign w:val="center"/>
            <w:hideMark/>
          </w:tcPr>
          <w:p w14:paraId="32597CB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2E11EFF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012EAF4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77069ED0"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0,12</w:t>
            </w:r>
          </w:p>
        </w:tc>
        <w:tc>
          <w:tcPr>
            <w:tcW w:w="0" w:type="auto"/>
            <w:vAlign w:val="center"/>
            <w:hideMark/>
          </w:tcPr>
          <w:p w14:paraId="54078CF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0,25</w:t>
            </w:r>
          </w:p>
        </w:tc>
      </w:tr>
    </w:tbl>
    <w:p w14:paraId="349B6887" w14:textId="38F67B32" w:rsidR="0000516F" w:rsidRPr="0000516F" w:rsidRDefault="0000516F" w:rsidP="0000516F">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24</w:t>
      </w:r>
      <w:r w:rsidRPr="006C1187">
        <w:rPr>
          <w:rFonts w:ascii="Times New Roman" w:hAnsi="Times New Roman" w:cs="Times New Roman"/>
          <w:sz w:val="28"/>
          <w:szCs w:val="28"/>
          <w:lang w:val="ru-RU"/>
        </w:rPr>
        <w:t>].</w:t>
      </w:r>
    </w:p>
    <w:p w14:paraId="7ECFB49A"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6BC2C6B7" w14:textId="18B360F5"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Добавление золота и защитных секторов радикально снижает </w:t>
      </w:r>
      <w:proofErr w:type="spellStart"/>
      <w:r w:rsidRPr="0000516F">
        <w:rPr>
          <w:rFonts w:ascii="Times New Roman" w:hAnsi="Times New Roman" w:cs="Times New Roman"/>
          <w:color w:val="000000" w:themeColor="text1"/>
          <w:sz w:val="28"/>
          <w:szCs w:val="28"/>
          <w:lang w:val="ru-RU"/>
        </w:rPr>
        <w:t>внутрипортфельную</w:t>
      </w:r>
      <w:proofErr w:type="spellEnd"/>
      <w:r w:rsidRPr="0000516F">
        <w:rPr>
          <w:rFonts w:ascii="Times New Roman" w:hAnsi="Times New Roman" w:cs="Times New Roman"/>
          <w:color w:val="000000" w:themeColor="text1"/>
          <w:sz w:val="28"/>
          <w:szCs w:val="28"/>
          <w:lang w:val="ru-RU"/>
        </w:rPr>
        <w:t xml:space="preserve"> ковариацию. Коэффициенты корреляции стремятся к нулю (от 0,05 до 0,30), что ведет к резкому снижению общего риска портфеля по модели </w:t>
      </w:r>
      <w:proofErr w:type="spellStart"/>
      <w:r w:rsidRPr="0000516F">
        <w:rPr>
          <w:rFonts w:ascii="Times New Roman" w:hAnsi="Times New Roman" w:cs="Times New Roman"/>
          <w:color w:val="000000" w:themeColor="text1"/>
          <w:sz w:val="28"/>
          <w:szCs w:val="28"/>
          <w:lang w:val="ru-RU"/>
        </w:rPr>
        <w:t>Марковица</w:t>
      </w:r>
      <w:proofErr w:type="spellEnd"/>
      <w:r w:rsidRPr="0000516F">
        <w:rPr>
          <w:rFonts w:ascii="Times New Roman" w:hAnsi="Times New Roman" w:cs="Times New Roman"/>
          <w:color w:val="000000" w:themeColor="text1"/>
          <w:sz w:val="28"/>
          <w:szCs w:val="28"/>
          <w:lang w:val="ru-RU"/>
        </w:rPr>
        <w:t>.</w:t>
      </w:r>
    </w:p>
    <w:p w14:paraId="2A4E4481"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Для итоговой оценки результативности смоделируем параметры оптимизированного портфеля: мы исключили МКПАО «ЭН+ ГРУП» и перераспределили часть средств в новые активы. Сравнительная характеристика представлена в Таблице 4.</w:t>
      </w:r>
    </w:p>
    <w:p w14:paraId="6CE89B7B"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17A6E39B" w14:textId="77777777" w:rsid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Таблица 4 – Сравнительная оценка качества существующего и потенциального портфелей</w:t>
      </w:r>
    </w:p>
    <w:p w14:paraId="2D3D1D0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p>
    <w:tbl>
      <w:tblPr>
        <w:tblStyle w:val="af"/>
        <w:tblW w:w="0" w:type="auto"/>
        <w:tblLook w:val="04A0" w:firstRow="1" w:lastRow="0" w:firstColumn="1" w:lastColumn="0" w:noHBand="0" w:noVBand="1"/>
      </w:tblPr>
      <w:tblGrid>
        <w:gridCol w:w="2571"/>
        <w:gridCol w:w="2277"/>
        <w:gridCol w:w="2734"/>
        <w:gridCol w:w="1768"/>
      </w:tblGrid>
      <w:tr w:rsidR="0000516F" w:rsidRPr="0000516F" w14:paraId="6EC47248" w14:textId="77777777" w:rsidTr="0000516F">
        <w:tc>
          <w:tcPr>
            <w:tcW w:w="0" w:type="auto"/>
            <w:hideMark/>
          </w:tcPr>
          <w:p w14:paraId="78766382"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Показатель эффективности</w:t>
            </w:r>
          </w:p>
        </w:tc>
        <w:tc>
          <w:tcPr>
            <w:tcW w:w="0" w:type="auto"/>
            <w:hideMark/>
          </w:tcPr>
          <w:p w14:paraId="70D466E3"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Существующий портфель (ПИФ)</w:t>
            </w:r>
          </w:p>
        </w:tc>
        <w:tc>
          <w:tcPr>
            <w:tcW w:w="0" w:type="auto"/>
            <w:hideMark/>
          </w:tcPr>
          <w:p w14:paraId="1F7C0BA0"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Оптимизированный портфель (Проект)</w:t>
            </w:r>
          </w:p>
        </w:tc>
        <w:tc>
          <w:tcPr>
            <w:tcW w:w="0" w:type="auto"/>
            <w:hideMark/>
          </w:tcPr>
          <w:p w14:paraId="74D6C806" w14:textId="7777777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Абсолютное изменение</w:t>
            </w:r>
          </w:p>
        </w:tc>
      </w:tr>
      <w:tr w:rsidR="0000516F" w:rsidRPr="0000516F" w14:paraId="61B9482A" w14:textId="77777777" w:rsidTr="0000516F">
        <w:tc>
          <w:tcPr>
            <w:tcW w:w="0" w:type="auto"/>
            <w:hideMark/>
          </w:tcPr>
          <w:p w14:paraId="016127C6" w14:textId="75A1FF26"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Ожидаемая доходность (</w:t>
            </w:r>
            <m:oMath>
              <m:r>
                <w:rPr>
                  <w:rFonts w:ascii="Cambria Math" w:hAnsi="Cambria Math" w:cs="Times New Roman"/>
                  <w:color w:val="000000" w:themeColor="text1"/>
                  <w:sz w:val="24"/>
                  <w:szCs w:val="24"/>
                  <w:lang w:val="ru-RU"/>
                </w:rPr>
                <m:t>ER_p</m:t>
              </m:r>
            </m:oMath>
            <w:r w:rsidRPr="0000516F">
              <w:rPr>
                <w:rFonts w:ascii="Times New Roman" w:hAnsi="Times New Roman" w:cs="Times New Roman"/>
                <w:color w:val="000000" w:themeColor="text1"/>
                <w:sz w:val="24"/>
                <w:szCs w:val="24"/>
                <w:lang w:val="ru-RU"/>
              </w:rPr>
              <w:t>)</w:t>
            </w:r>
          </w:p>
        </w:tc>
        <w:tc>
          <w:tcPr>
            <w:tcW w:w="0" w:type="auto"/>
            <w:vAlign w:val="center"/>
            <w:hideMark/>
          </w:tcPr>
          <w:p w14:paraId="073F94E6"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13,5%</w:t>
            </w:r>
          </w:p>
        </w:tc>
        <w:tc>
          <w:tcPr>
            <w:tcW w:w="0" w:type="auto"/>
            <w:vAlign w:val="center"/>
            <w:hideMark/>
          </w:tcPr>
          <w:p w14:paraId="2D3FF75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22,1%</w:t>
            </w:r>
          </w:p>
        </w:tc>
        <w:tc>
          <w:tcPr>
            <w:tcW w:w="0" w:type="auto"/>
            <w:vAlign w:val="center"/>
            <w:hideMark/>
          </w:tcPr>
          <w:p w14:paraId="0A00F4B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+ 8,6 </w:t>
            </w:r>
            <w:proofErr w:type="spellStart"/>
            <w:r w:rsidRPr="0000516F">
              <w:rPr>
                <w:rFonts w:ascii="Times New Roman" w:hAnsi="Times New Roman" w:cs="Times New Roman"/>
                <w:color w:val="000000" w:themeColor="text1"/>
                <w:sz w:val="24"/>
                <w:szCs w:val="24"/>
                <w:lang w:val="ru-RU"/>
              </w:rPr>
              <w:t>п.п</w:t>
            </w:r>
            <w:proofErr w:type="spellEnd"/>
            <w:r w:rsidRPr="0000516F">
              <w:rPr>
                <w:rFonts w:ascii="Times New Roman" w:hAnsi="Times New Roman" w:cs="Times New Roman"/>
                <w:color w:val="000000" w:themeColor="text1"/>
                <w:sz w:val="24"/>
                <w:szCs w:val="24"/>
                <w:lang w:val="ru-RU"/>
              </w:rPr>
              <w:t>.</w:t>
            </w:r>
          </w:p>
        </w:tc>
      </w:tr>
      <w:tr w:rsidR="0000516F" w:rsidRPr="0000516F" w14:paraId="31559B57" w14:textId="77777777" w:rsidTr="0000516F">
        <w:tc>
          <w:tcPr>
            <w:tcW w:w="0" w:type="auto"/>
            <w:hideMark/>
          </w:tcPr>
          <w:p w14:paraId="1C126B7C" w14:textId="7EF1FEA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Совокупный риск (волатильность, </w:t>
            </w:r>
            <m:oMath>
              <m:r>
                <w:rPr>
                  <w:rFonts w:ascii="Cambria Math" w:hAnsi="Cambria Math" w:cs="Times New Roman"/>
                  <w:color w:val="000000" w:themeColor="text1"/>
                  <w:sz w:val="24"/>
                  <w:szCs w:val="24"/>
                  <w:lang w:val="ru-RU"/>
                </w:rPr>
                <m:t>\sigma_p</m:t>
              </m:r>
            </m:oMath>
            <w:r w:rsidRPr="0000516F">
              <w:rPr>
                <w:rFonts w:ascii="Times New Roman" w:hAnsi="Times New Roman" w:cs="Times New Roman"/>
                <w:color w:val="000000" w:themeColor="text1"/>
                <w:sz w:val="24"/>
                <w:szCs w:val="24"/>
                <w:lang w:val="ru-RU"/>
              </w:rPr>
              <w:t>)</w:t>
            </w:r>
          </w:p>
        </w:tc>
        <w:tc>
          <w:tcPr>
            <w:tcW w:w="0" w:type="auto"/>
            <w:vAlign w:val="center"/>
            <w:hideMark/>
          </w:tcPr>
          <w:p w14:paraId="09B2255A"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26,4%</w:t>
            </w:r>
          </w:p>
        </w:tc>
        <w:tc>
          <w:tcPr>
            <w:tcW w:w="0" w:type="auto"/>
            <w:vAlign w:val="center"/>
            <w:hideMark/>
          </w:tcPr>
          <w:p w14:paraId="124FB51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17,8%</w:t>
            </w:r>
          </w:p>
        </w:tc>
        <w:tc>
          <w:tcPr>
            <w:tcW w:w="0" w:type="auto"/>
            <w:vAlign w:val="center"/>
            <w:hideMark/>
          </w:tcPr>
          <w:p w14:paraId="16E3844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xml:space="preserve">- 8,6 </w:t>
            </w:r>
            <w:proofErr w:type="spellStart"/>
            <w:r w:rsidRPr="0000516F">
              <w:rPr>
                <w:rFonts w:ascii="Times New Roman" w:hAnsi="Times New Roman" w:cs="Times New Roman"/>
                <w:color w:val="000000" w:themeColor="text1"/>
                <w:sz w:val="24"/>
                <w:szCs w:val="24"/>
                <w:lang w:val="ru-RU"/>
              </w:rPr>
              <w:t>п.п</w:t>
            </w:r>
            <w:proofErr w:type="spellEnd"/>
            <w:r w:rsidRPr="0000516F">
              <w:rPr>
                <w:rFonts w:ascii="Times New Roman" w:hAnsi="Times New Roman" w:cs="Times New Roman"/>
                <w:color w:val="000000" w:themeColor="text1"/>
                <w:sz w:val="24"/>
                <w:szCs w:val="24"/>
                <w:lang w:val="ru-RU"/>
              </w:rPr>
              <w:t>.</w:t>
            </w:r>
          </w:p>
        </w:tc>
      </w:tr>
    </w:tbl>
    <w:p w14:paraId="73931CE0" w14:textId="77777777" w:rsidR="0000516F" w:rsidRDefault="0000516F">
      <w:pPr>
        <w:rPr>
          <w:lang w:val="ru-RU"/>
        </w:rPr>
      </w:pPr>
    </w:p>
    <w:p w14:paraId="218756B0" w14:textId="4345E2C3" w:rsidR="0000516F" w:rsidRPr="0000516F" w:rsidRDefault="0000516F" w:rsidP="0000516F">
      <w:pPr>
        <w:spacing w:line="240" w:lineRule="auto"/>
        <w:rPr>
          <w:rFonts w:ascii="Times New Roman" w:hAnsi="Times New Roman" w:cs="Times New Roman"/>
          <w:sz w:val="28"/>
          <w:szCs w:val="28"/>
          <w:lang w:val="ru-RU"/>
        </w:rPr>
      </w:pPr>
      <w:r w:rsidRPr="0000516F">
        <w:rPr>
          <w:rFonts w:ascii="Times New Roman" w:hAnsi="Times New Roman" w:cs="Times New Roman"/>
          <w:sz w:val="28"/>
          <w:szCs w:val="28"/>
          <w:lang w:val="ru-RU"/>
        </w:rPr>
        <w:t>продолжение таблицы 4</w:t>
      </w:r>
    </w:p>
    <w:tbl>
      <w:tblPr>
        <w:tblStyle w:val="af"/>
        <w:tblW w:w="0" w:type="auto"/>
        <w:tblLook w:val="04A0" w:firstRow="1" w:lastRow="0" w:firstColumn="1" w:lastColumn="0" w:noHBand="0" w:noVBand="1"/>
      </w:tblPr>
      <w:tblGrid>
        <w:gridCol w:w="3374"/>
        <w:gridCol w:w="896"/>
        <w:gridCol w:w="952"/>
        <w:gridCol w:w="2974"/>
      </w:tblGrid>
      <w:tr w:rsidR="0000516F" w:rsidRPr="0000516F" w14:paraId="5E5571C1" w14:textId="77777777" w:rsidTr="0000516F">
        <w:tc>
          <w:tcPr>
            <w:tcW w:w="0" w:type="auto"/>
          </w:tcPr>
          <w:p w14:paraId="0A131BE4" w14:textId="0D87807F"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Безрисковая ставка (</w:t>
            </w:r>
            <m:oMath>
              <m:r>
                <w:rPr>
                  <w:rFonts w:ascii="Cambria Math" w:hAnsi="Cambria Math" w:cs="Times New Roman"/>
                  <w:color w:val="000000" w:themeColor="text1"/>
                  <w:sz w:val="24"/>
                  <w:szCs w:val="24"/>
                  <w:lang w:val="ru-RU"/>
                </w:rPr>
                <m:t>R_f</m:t>
              </m:r>
            </m:oMath>
            <w:r w:rsidRPr="0000516F">
              <w:rPr>
                <w:rFonts w:ascii="Times New Roman" w:hAnsi="Times New Roman" w:cs="Times New Roman"/>
                <w:color w:val="000000" w:themeColor="text1"/>
                <w:sz w:val="24"/>
                <w:szCs w:val="24"/>
                <w:lang w:val="ru-RU"/>
              </w:rPr>
              <w:t>)</w:t>
            </w:r>
          </w:p>
        </w:tc>
        <w:tc>
          <w:tcPr>
            <w:tcW w:w="0" w:type="auto"/>
            <w:vAlign w:val="center"/>
          </w:tcPr>
          <w:p w14:paraId="1A21A8BC" w14:textId="22594ECC"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0" w:type="auto"/>
            <w:vAlign w:val="center"/>
          </w:tcPr>
          <w:p w14:paraId="185302E6" w14:textId="5730A699"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0" w:type="auto"/>
            <w:vAlign w:val="center"/>
          </w:tcPr>
          <w:p w14:paraId="43A2F9C9" w14:textId="00742828"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w:t>
            </w:r>
          </w:p>
        </w:tc>
      </w:tr>
      <w:tr w:rsidR="0000516F" w:rsidRPr="0000516F" w14:paraId="5E6E0061" w14:textId="77777777" w:rsidTr="0000516F">
        <w:tc>
          <w:tcPr>
            <w:tcW w:w="0" w:type="auto"/>
          </w:tcPr>
          <w:p w14:paraId="539A768E" w14:textId="3D116567"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Коэффициент Шарпа</w:t>
            </w:r>
          </w:p>
        </w:tc>
        <w:tc>
          <w:tcPr>
            <w:tcW w:w="0" w:type="auto"/>
            <w:vAlign w:val="center"/>
          </w:tcPr>
          <w:p w14:paraId="67C31108" w14:textId="5F6BE3ED"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- 0,057</w:t>
            </w:r>
          </w:p>
        </w:tc>
        <w:tc>
          <w:tcPr>
            <w:tcW w:w="0" w:type="auto"/>
            <w:vAlign w:val="center"/>
          </w:tcPr>
          <w:p w14:paraId="41714BE1" w14:textId="4913EE30"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+ 0,399</w:t>
            </w:r>
          </w:p>
        </w:tc>
        <w:tc>
          <w:tcPr>
            <w:tcW w:w="0" w:type="auto"/>
            <w:vAlign w:val="center"/>
          </w:tcPr>
          <w:p w14:paraId="3278C6C3" w14:textId="1CA5814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Выход в прибыльную зону</w:t>
            </w:r>
          </w:p>
        </w:tc>
      </w:tr>
      <w:tr w:rsidR="0000516F" w:rsidRPr="0000516F" w14:paraId="41FD9C58" w14:textId="77777777" w:rsidTr="0000516F">
        <w:tc>
          <w:tcPr>
            <w:tcW w:w="0" w:type="auto"/>
          </w:tcPr>
          <w:p w14:paraId="52C6C7BC" w14:textId="3963B5F5" w:rsidR="0000516F" w:rsidRPr="0000516F" w:rsidRDefault="0000516F" w:rsidP="0000516F">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Систематический риск (</w:t>
            </w:r>
            <m:oMath>
              <m:r>
                <w:rPr>
                  <w:rFonts w:ascii="Cambria Math" w:hAnsi="Cambria Math" w:cs="Times New Roman"/>
                  <w:color w:val="000000" w:themeColor="text1"/>
                  <w:sz w:val="24"/>
                  <w:szCs w:val="24"/>
                  <w:lang w:val="ru-RU"/>
                </w:rPr>
                <m:t>\beta</m:t>
              </m:r>
            </m:oMath>
            <w:r w:rsidRPr="0000516F">
              <w:rPr>
                <w:rFonts w:ascii="Times New Roman" w:hAnsi="Times New Roman" w:cs="Times New Roman"/>
                <w:color w:val="000000" w:themeColor="text1"/>
                <w:sz w:val="24"/>
                <w:szCs w:val="24"/>
                <w:lang w:val="ru-RU"/>
              </w:rPr>
              <w:t>)</w:t>
            </w:r>
          </w:p>
        </w:tc>
        <w:tc>
          <w:tcPr>
            <w:tcW w:w="0" w:type="auto"/>
            <w:vAlign w:val="center"/>
          </w:tcPr>
          <w:p w14:paraId="2EE9582E" w14:textId="4148579D"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1,05</w:t>
            </w:r>
          </w:p>
        </w:tc>
        <w:tc>
          <w:tcPr>
            <w:tcW w:w="0" w:type="auto"/>
            <w:vAlign w:val="center"/>
          </w:tcPr>
          <w:p w14:paraId="48E8B13B" w14:textId="0F55F330"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0,78</w:t>
            </w:r>
          </w:p>
        </w:tc>
        <w:tc>
          <w:tcPr>
            <w:tcW w:w="0" w:type="auto"/>
            <w:vAlign w:val="center"/>
          </w:tcPr>
          <w:p w14:paraId="21E3FA14" w14:textId="6F5F210C"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Снижение риска</w:t>
            </w:r>
          </w:p>
        </w:tc>
      </w:tr>
    </w:tbl>
    <w:p w14:paraId="41E1FCEE" w14:textId="1C8FF79B" w:rsidR="0000516F" w:rsidRDefault="0000516F" w:rsidP="0000516F">
      <w:pPr>
        <w:spacing w:line="360" w:lineRule="auto"/>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13</w:t>
      </w:r>
      <w:r w:rsidRPr="006C1187">
        <w:rPr>
          <w:rFonts w:ascii="Times New Roman" w:hAnsi="Times New Roman" w:cs="Times New Roman"/>
          <w:sz w:val="28"/>
          <w:szCs w:val="28"/>
          <w:lang w:val="ru-RU"/>
        </w:rPr>
        <w:t>].</w:t>
      </w:r>
    </w:p>
    <w:p w14:paraId="0FFFE160" w14:textId="76531093" w:rsidR="0000516F" w:rsidRPr="0000516F" w:rsidRDefault="0000516F" w:rsidP="0000516F">
      <w:pPr>
        <w:spacing w:line="360" w:lineRule="auto"/>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Пересчитаем коэффициент Шарпа для нового портфеля:</w:t>
      </w:r>
    </w:p>
    <w:p w14:paraId="6675D18D" w14:textId="05046D83"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m:oMathPara>
        <m:oMath>
          <m:r>
            <w:rPr>
              <w:rFonts w:ascii="Cambria Math" w:hAnsi="Cambria Math" w:cs="Times New Roman"/>
              <w:color w:val="000000" w:themeColor="text1"/>
              <w:sz w:val="28"/>
              <w:szCs w:val="28"/>
              <w:lang w:val="ru-RU"/>
            </w:rPr>
            <m:t>K_{Sharpe\_new} = \frac{22,1\% - 15,0\%}{17,8\%} = 0,399</m:t>
          </m:r>
        </m:oMath>
      </m:oMathPara>
    </w:p>
    <w:p w14:paraId="50F4F878"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Практический вывод: Математическое моделирование строго доказывает состоятельность гипотезы. Оптимизированный портфель обладает метриками, многократно превышающими исторические показатели фонда: ожидаемая доходность возрастает с 13,5% до 22,1% за счет добавления высокомаржинальных активов, в то время как совокупный риск падает с 26,4% до 17,8% за счет эффекта диверсификации. Коэффициент Шарпа (0,399) означает, что обновленный портфель начинает генерировать реальную экономическую премию за риск для пайщиков, что подтверждает прикладной характер разработанных рекомендаций.</w:t>
      </w:r>
    </w:p>
    <w:p w14:paraId="7AB6A53A" w14:textId="1F2C30A2"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B67275" w:rsidRDefault="00793D47" w:rsidP="00B67275">
      <w:pPr>
        <w:spacing w:line="360" w:lineRule="auto"/>
        <w:jc w:val="both"/>
        <w:rPr>
          <w:rFonts w:ascii="Times New Roman" w:hAnsi="Times New Roman" w:cs="Times New Roman"/>
          <w:b/>
          <w:color w:val="000000" w:themeColor="text1"/>
          <w:sz w:val="28"/>
          <w:szCs w:val="40"/>
          <w:lang w:val="ru-RU"/>
        </w:rPr>
      </w:pPr>
      <w:r w:rsidRPr="00B67275">
        <w:rPr>
          <w:rFonts w:ascii="Times New Roman" w:hAnsi="Times New Roman" w:cs="Times New Roman"/>
          <w:lang w:val="ru-RU"/>
        </w:rPr>
        <w:br w:type="page"/>
      </w:r>
    </w:p>
    <w:p w14:paraId="742423DE" w14:textId="77777777" w:rsidR="0007704C" w:rsidRDefault="0007704C" w:rsidP="00B67275">
      <w:pPr>
        <w:pStyle w:val="1"/>
        <w:spacing w:before="0" w:after="0" w:line="360" w:lineRule="auto"/>
        <w:rPr>
          <w:lang w:val="ru-RU"/>
        </w:rPr>
      </w:pPr>
      <w:bookmarkStart w:id="12" w:name="_Toc229218493"/>
      <w:r w:rsidRPr="0007704C">
        <w:rPr>
          <w:lang w:val="ru-RU"/>
        </w:rPr>
        <w:lastRenderedPageBreak/>
        <w:t>Заключение</w:t>
      </w:r>
      <w:bookmarkEnd w:id="12"/>
    </w:p>
    <w:p w14:paraId="29810478"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55953D25"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14:paraId="59578E34"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xml:space="preserve">, </w:t>
      </w:r>
      <w:proofErr w:type="spellStart"/>
      <w:r w:rsidRPr="0007704C">
        <w:rPr>
          <w:rFonts w:ascii="Times New Roman" w:hAnsi="Times New Roman" w:cs="Times New Roman"/>
          <w:sz w:val="28"/>
          <w:szCs w:val="28"/>
          <w:lang w:val="ru-RU"/>
        </w:rPr>
        <w:t>Трейнора</w:t>
      </w:r>
      <w:proofErr w:type="spellEnd"/>
      <w:r w:rsidRPr="0007704C">
        <w:rPr>
          <w:rFonts w:ascii="Times New Roman" w:hAnsi="Times New Roman" w:cs="Times New Roman"/>
          <w:sz w:val="28"/>
          <w:szCs w:val="28"/>
          <w:lang w:val="ru-RU"/>
        </w:rPr>
        <w:t>),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14:paraId="0EF751F6"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w:t>
      </w:r>
      <w:proofErr w:type="spellStart"/>
      <w:r w:rsidRPr="0007704C">
        <w:rPr>
          <w:rFonts w:ascii="Times New Roman" w:hAnsi="Times New Roman" w:cs="Times New Roman"/>
          <w:sz w:val="28"/>
          <w:szCs w:val="28"/>
          <w:lang w:val="ru-RU"/>
        </w:rPr>
        <w:t>аллоцировано</w:t>
      </w:r>
      <w:proofErr w:type="spellEnd"/>
      <w:r w:rsidRPr="0007704C">
        <w:rPr>
          <w:rFonts w:ascii="Times New Roman" w:hAnsi="Times New Roman" w:cs="Times New Roman"/>
          <w:sz w:val="28"/>
          <w:szCs w:val="28"/>
          <w:lang w:val="ru-RU"/>
        </w:rPr>
        <w:t xml:space="preserve">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14:paraId="41100184" w14:textId="77777777" w:rsid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w:t>
      </w:r>
      <w:proofErr w:type="spellStart"/>
      <w:r w:rsidRPr="0007704C">
        <w:rPr>
          <w:rFonts w:ascii="Times New Roman" w:hAnsi="Times New Roman" w:cs="Times New Roman"/>
          <w:sz w:val="28"/>
          <w:szCs w:val="28"/>
          <w:lang w:val="ru-RU"/>
        </w:rPr>
        <w:t>Селигдар</w:t>
      </w:r>
      <w:proofErr w:type="spellEnd"/>
      <w:r w:rsidRPr="0007704C">
        <w:rPr>
          <w:rFonts w:ascii="Times New Roman" w:hAnsi="Times New Roman" w:cs="Times New Roman"/>
          <w:sz w:val="28"/>
          <w:szCs w:val="28"/>
          <w:lang w:val="ru-RU"/>
        </w:rPr>
        <w:t xml:space="preserve">»).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 xml:space="preserve">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и обеспечить устойчивый прирост стоимости чистых активов фонда.</w:t>
      </w:r>
    </w:p>
    <w:p w14:paraId="0810653B" w14:textId="06B06658" w:rsidR="00564EEC" w:rsidRPr="00564EEC" w:rsidRDefault="00564EEC" w:rsidP="00B67275">
      <w:pPr>
        <w:spacing w:line="360" w:lineRule="auto"/>
        <w:ind w:firstLine="709"/>
        <w:jc w:val="both"/>
        <w:rPr>
          <w:rFonts w:ascii="Times New Roman" w:hAnsi="Times New Roman" w:cs="Times New Roman"/>
          <w:sz w:val="28"/>
          <w:szCs w:val="28"/>
          <w:lang w:val="ru-RU"/>
        </w:rPr>
      </w:pPr>
      <w:r w:rsidRPr="00564EEC">
        <w:rPr>
          <w:rFonts w:ascii="Times New Roman" w:hAnsi="Times New Roman" w:cs="Times New Roman"/>
          <w:sz w:val="28"/>
          <w:szCs w:val="28"/>
          <w:lang w:val="ru-RU"/>
        </w:rPr>
        <w:t xml:space="preserve">В ходе практической части работы с помощью количественного моделирования была полностью доказана эффективность предложенной стратегии ребалансировки. Оптимизация структуры портфеля позволила </w:t>
      </w:r>
      <w:proofErr w:type="spellStart"/>
      <w:r w:rsidRPr="00564EEC">
        <w:rPr>
          <w:rFonts w:ascii="Times New Roman" w:hAnsi="Times New Roman" w:cs="Times New Roman"/>
          <w:sz w:val="28"/>
          <w:szCs w:val="28"/>
          <w:lang w:val="ru-RU"/>
        </w:rPr>
        <w:t>расчетно</w:t>
      </w:r>
      <w:proofErr w:type="spellEnd"/>
      <w:r w:rsidRPr="00564EEC">
        <w:rPr>
          <w:rFonts w:ascii="Times New Roman" w:hAnsi="Times New Roman" w:cs="Times New Roman"/>
          <w:sz w:val="28"/>
          <w:szCs w:val="28"/>
          <w:lang w:val="ru-RU"/>
        </w:rPr>
        <w:t xml:space="preserve"> увеличить ожидаемую доходность с 13,5% до 22,1% и одновременно снизить совокупный риск с 26,4% до 17,8%. В результате ключевой индикатор эффективности — коэффициент Шарпа — возрос с отрицательного значения (-0,057) до 0,399. Таким образом, гипотеза исследования всецело обоснована математическими расчетами, а предложения переведены из декларативной плоскости в форму готовой, обоснованной финансовой модели.</w:t>
      </w:r>
    </w:p>
    <w:p w14:paraId="1E16F2CE"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ценовую статистику скрывает </w:t>
      </w:r>
      <w:r w:rsidRPr="0007704C">
        <w:rPr>
          <w:rFonts w:ascii="Times New Roman" w:hAnsi="Times New Roman" w:cs="Times New Roman"/>
          <w:sz w:val="28"/>
          <w:szCs w:val="28"/>
          <w:lang w:val="ru-RU"/>
        </w:rPr>
        <w:lastRenderedPageBreak/>
        <w:t>угрозы платежеспособности эмитентов, в то время как синтез классической портфельной теории с корпоративным финансовым анализом позволяет 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14:paraId="716D981B"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14714AC2" w14:textId="77777777" w:rsidR="0007704C" w:rsidRPr="0007704C" w:rsidRDefault="0007704C" w:rsidP="0007704C">
      <w:pPr>
        <w:spacing w:line="360" w:lineRule="auto"/>
        <w:ind w:firstLine="709"/>
        <w:jc w:val="both"/>
        <w:rPr>
          <w:rFonts w:ascii="Times New Roman" w:hAnsi="Times New Roman" w:cs="Times New Roman"/>
          <w:sz w:val="28"/>
          <w:szCs w:val="28"/>
          <w:lang w:val="ru-RU"/>
        </w:rPr>
      </w:pPr>
    </w:p>
    <w:p w14:paraId="594DAD32" w14:textId="77777777" w:rsidR="00FE64C3" w:rsidRPr="00FE64C3" w:rsidRDefault="00FE64C3" w:rsidP="00FE64C3">
      <w:pPr>
        <w:ind w:firstLine="709"/>
        <w:jc w:val="both"/>
        <w:rPr>
          <w:rFonts w:ascii="Times New Roman" w:hAnsi="Times New Roman" w:cs="Times New Roman"/>
          <w:sz w:val="28"/>
          <w:szCs w:val="28"/>
          <w:lang w:val="ru-RU"/>
        </w:rPr>
      </w:pPr>
    </w:p>
    <w:p w14:paraId="13FA4443" w14:textId="77777777" w:rsidR="0097563D" w:rsidRPr="00B67275" w:rsidRDefault="0097563D" w:rsidP="00564EEC">
      <w:pPr>
        <w:pStyle w:val="1"/>
        <w:spacing w:before="0" w:after="0" w:line="360" w:lineRule="auto"/>
        <w:ind w:firstLine="709"/>
        <w:rPr>
          <w:rFonts w:eastAsia="Times New Roman" w:cs="Times New Roman"/>
          <w:bCs/>
          <w:szCs w:val="28"/>
          <w:lang w:val="ru-RU"/>
        </w:rPr>
      </w:pPr>
      <w:r>
        <w:rPr>
          <w:rFonts w:eastAsia="Times New Roman" w:cs="Times New Roman"/>
          <w:bCs/>
          <w:szCs w:val="28"/>
          <w:lang w:val="ru-RU"/>
        </w:rPr>
        <w:br w:type="column"/>
      </w:r>
      <w:bookmarkStart w:id="13" w:name="_Toc229218494"/>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3"/>
    </w:p>
    <w:p w14:paraId="031983CD" w14:textId="77777777" w:rsidR="00B67275" w:rsidRPr="00B67275" w:rsidRDefault="00B67275" w:rsidP="00564EEC">
      <w:pPr>
        <w:spacing w:line="360" w:lineRule="auto"/>
        <w:ind w:firstLine="709"/>
        <w:jc w:val="both"/>
        <w:rPr>
          <w:rFonts w:ascii="Times New Roman" w:hAnsi="Times New Roman" w:cs="Times New Roman"/>
          <w:sz w:val="28"/>
          <w:szCs w:val="28"/>
          <w:lang w:val="ru-RU"/>
        </w:rPr>
      </w:pPr>
    </w:p>
    <w:p w14:paraId="04E2119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14:paraId="6FC87CB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30.11.1994 № 51-ФЗ (ред. от 11.03.2024).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7966045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05.08.2000 № 117-ФЗ (ред. от 26.02.2024).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59C1563F"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 О рынке ценных </w:t>
      </w:r>
      <w:proofErr w:type="gramStart"/>
      <w:r w:rsidRPr="00B67275">
        <w:rPr>
          <w:rFonts w:ascii="Times New Roman" w:eastAsia="Times New Roman" w:hAnsi="Times New Roman" w:cs="Times New Roman"/>
          <w:sz w:val="28"/>
          <w:szCs w:val="28"/>
          <w:lang w:val="ru-RU"/>
        </w:rPr>
        <w:t>бумаг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22.04.1996 № 39-ФЗ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6916843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 Об инвестиционных </w:t>
      </w:r>
      <w:proofErr w:type="gramStart"/>
      <w:r w:rsidRPr="00B67275">
        <w:rPr>
          <w:rFonts w:ascii="Times New Roman" w:eastAsia="Times New Roman" w:hAnsi="Times New Roman" w:cs="Times New Roman"/>
          <w:sz w:val="28"/>
          <w:szCs w:val="28"/>
          <w:lang w:val="ru-RU"/>
        </w:rPr>
        <w:t>фондах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29.11.2001 № 156-ФЗ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1FDBA10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xml:space="preserve">. закон от 26.10.2002 № 127-ФЗ (ред. от 25.12.2023).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47BC677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w:t>
      </w:r>
      <w:proofErr w:type="gramStart"/>
      <w:r w:rsidRPr="00B67275">
        <w:rPr>
          <w:rFonts w:ascii="Times New Roman" w:eastAsia="Times New Roman" w:hAnsi="Times New Roman" w:cs="Times New Roman"/>
          <w:sz w:val="28"/>
          <w:szCs w:val="28"/>
          <w:lang w:val="ru-RU"/>
        </w:rPr>
        <w:t>99 :</w:t>
      </w:r>
      <w:proofErr w:type="gramEnd"/>
      <w:r w:rsidRPr="00B67275">
        <w:rPr>
          <w:rFonts w:ascii="Times New Roman" w:eastAsia="Times New Roman" w:hAnsi="Times New Roman" w:cs="Times New Roman"/>
          <w:sz w:val="28"/>
          <w:szCs w:val="28"/>
          <w:lang w:val="ru-RU"/>
        </w:rPr>
        <w:t xml:space="preserve"> приказ Министерства финансов Российской Федерации от 06.07.1999 № 43н (ред. от 08.11.2010).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КонсультантПлюс, 2024.</w:t>
      </w:r>
    </w:p>
    <w:p w14:paraId="21DA6B12"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14:paraId="534A4A6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7.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М.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бакалавров / В. М.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Ф. Максимова.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422 с.</w:t>
      </w:r>
    </w:p>
    <w:p w14:paraId="641572D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8. Батаева, Б. С. Корпоративное </w:t>
      </w:r>
      <w:proofErr w:type="gramStart"/>
      <w:r w:rsidRPr="00B67275">
        <w:rPr>
          <w:rFonts w:ascii="Times New Roman" w:eastAsia="Times New Roman" w:hAnsi="Times New Roman" w:cs="Times New Roman"/>
          <w:sz w:val="28"/>
          <w:szCs w:val="28"/>
          <w:lang w:val="ru-RU"/>
        </w:rPr>
        <w:t>управление :</w:t>
      </w:r>
      <w:proofErr w:type="gramEnd"/>
      <w:r w:rsidRPr="00B67275">
        <w:rPr>
          <w:rFonts w:ascii="Times New Roman" w:eastAsia="Times New Roman" w:hAnsi="Times New Roman" w:cs="Times New Roman"/>
          <w:sz w:val="28"/>
          <w:szCs w:val="28"/>
          <w:lang w:val="ru-RU"/>
        </w:rPr>
        <w:t xml:space="preserve"> учебное пособие / Б. С. Батаева.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КНОРУС, 2021. — 184 с.</w:t>
      </w:r>
    </w:p>
    <w:p w14:paraId="25E279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9. Бланк, И. А. Управление финансовой безопасностью предприятия / И. А. Бланк. — 2-е изд., стер.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Омега-Л, 2021. — 784 с.</w:t>
      </w:r>
    </w:p>
    <w:p w14:paraId="7C4E434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10.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Р. Принципы корпоративных финансов / Р.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С. </w:t>
      </w:r>
      <w:proofErr w:type="gramStart"/>
      <w:r w:rsidRPr="00B67275">
        <w:rPr>
          <w:rFonts w:ascii="Times New Roman" w:eastAsia="Times New Roman" w:hAnsi="Times New Roman" w:cs="Times New Roman"/>
          <w:sz w:val="28"/>
          <w:szCs w:val="28"/>
          <w:lang w:val="ru-RU"/>
        </w:rPr>
        <w:t>Майерс ;</w:t>
      </w:r>
      <w:proofErr w:type="gramEnd"/>
      <w:r w:rsidRPr="00B67275">
        <w:rPr>
          <w:rFonts w:ascii="Times New Roman" w:eastAsia="Times New Roman" w:hAnsi="Times New Roman" w:cs="Times New Roman"/>
          <w:sz w:val="28"/>
          <w:szCs w:val="28"/>
          <w:lang w:val="ru-RU"/>
        </w:rPr>
        <w:t xml:space="preserve"> пер. с англ.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Олимп-Бизнес, 2012. — 1120 с.</w:t>
      </w:r>
    </w:p>
    <w:p w14:paraId="6177D58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11. Григорьева, Т. И. Финансовый анализ для менеджеров: оценка, </w:t>
      </w:r>
      <w:proofErr w:type="gramStart"/>
      <w:r w:rsidRPr="00B67275">
        <w:rPr>
          <w:rFonts w:ascii="Times New Roman" w:eastAsia="Times New Roman" w:hAnsi="Times New Roman" w:cs="Times New Roman"/>
          <w:sz w:val="28"/>
          <w:szCs w:val="28"/>
          <w:lang w:val="ru-RU"/>
        </w:rPr>
        <w:t>прогноз :</w:t>
      </w:r>
      <w:proofErr w:type="gramEnd"/>
      <w:r w:rsidRPr="00B67275">
        <w:rPr>
          <w:rFonts w:ascii="Times New Roman" w:eastAsia="Times New Roman" w:hAnsi="Times New Roman" w:cs="Times New Roman"/>
          <w:sz w:val="28"/>
          <w:szCs w:val="28"/>
          <w:lang w:val="ru-RU"/>
        </w:rPr>
        <w:t xml:space="preserve"> учебник / Т. И. Григорьева.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462 с.</w:t>
      </w:r>
    </w:p>
    <w:p w14:paraId="4D479B0C"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12. Грэхем, Б. Анализ ценных бумаг / Б. Грэхем, Д. </w:t>
      </w:r>
      <w:proofErr w:type="gramStart"/>
      <w:r w:rsidRPr="00B67275">
        <w:rPr>
          <w:rFonts w:ascii="Times New Roman" w:eastAsia="Times New Roman" w:hAnsi="Times New Roman" w:cs="Times New Roman"/>
          <w:sz w:val="28"/>
          <w:szCs w:val="28"/>
          <w:lang w:val="ru-RU"/>
        </w:rPr>
        <w:t>Додд ;</w:t>
      </w:r>
      <w:proofErr w:type="gramEnd"/>
      <w:r w:rsidRPr="00B67275">
        <w:rPr>
          <w:rFonts w:ascii="Times New Roman" w:eastAsia="Times New Roman" w:hAnsi="Times New Roman" w:cs="Times New Roman"/>
          <w:sz w:val="28"/>
          <w:szCs w:val="28"/>
          <w:lang w:val="ru-RU"/>
        </w:rPr>
        <w:t xml:space="preserve"> пер. с англ. — 3-е изд.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Вильямс, 2016. — 878 с.</w:t>
      </w:r>
    </w:p>
    <w:p w14:paraId="4F13F0A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13.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w:t>
      </w:r>
      <w:proofErr w:type="gramEnd"/>
      <w:r w:rsidRPr="00B67275">
        <w:rPr>
          <w:rFonts w:ascii="Times New Roman" w:eastAsia="Times New Roman" w:hAnsi="Times New Roman" w:cs="Times New Roman"/>
          <w:sz w:val="28"/>
          <w:szCs w:val="28"/>
          <w:lang w:val="ru-RU"/>
        </w:rPr>
        <w:t xml:space="preserve"> пер. с англ.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Альпина Паблишер, 2016. — 1316 с.</w:t>
      </w:r>
    </w:p>
    <w:p w14:paraId="4B031F1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14. Екимова, К.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для прикладного бакалавриата / К. В. Екимова, И. П. Савельева, К. В. </w:t>
      </w:r>
      <w:proofErr w:type="spellStart"/>
      <w:r w:rsidRPr="00B67275">
        <w:rPr>
          <w:rFonts w:ascii="Times New Roman" w:eastAsia="Times New Roman" w:hAnsi="Times New Roman" w:cs="Times New Roman"/>
          <w:sz w:val="28"/>
          <w:szCs w:val="28"/>
          <w:lang w:val="ru-RU"/>
        </w:rPr>
        <w:t>Кардапольцев</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381 с.</w:t>
      </w:r>
    </w:p>
    <w:p w14:paraId="51CC7D9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15. Ковалев, В. В. Введение в финансовый менеджмент / В. В. Ковалев.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Финансы и статистика, 2004. — 767 с.</w:t>
      </w:r>
    </w:p>
    <w:p w14:paraId="2CFAC13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16.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В. Г. Экономический </w:t>
      </w:r>
      <w:proofErr w:type="gramStart"/>
      <w:r w:rsidRPr="00B67275">
        <w:rPr>
          <w:rFonts w:ascii="Times New Roman" w:eastAsia="Times New Roman" w:hAnsi="Times New Roman" w:cs="Times New Roman"/>
          <w:sz w:val="28"/>
          <w:szCs w:val="28"/>
          <w:lang w:val="ru-RU"/>
        </w:rPr>
        <w:t>анализ :</w:t>
      </w:r>
      <w:proofErr w:type="gramEnd"/>
      <w:r w:rsidRPr="00B67275">
        <w:rPr>
          <w:rFonts w:ascii="Times New Roman" w:eastAsia="Times New Roman" w:hAnsi="Times New Roman" w:cs="Times New Roman"/>
          <w:sz w:val="28"/>
          <w:szCs w:val="28"/>
          <w:lang w:val="ru-RU"/>
        </w:rPr>
        <w:t xml:space="preserve"> учебное пособие / В. Г.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и доп. — Москва : ЮНИТИ-ДАНА, 2019. — 392 с.</w:t>
      </w:r>
    </w:p>
    <w:p w14:paraId="2AD3B0D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17.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М. А. Корпоративный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учебно-практическое пособие / М. А.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В. П. Паламарчук, Е. Н. Лобанова.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2024. — 990 с.</w:t>
      </w:r>
    </w:p>
    <w:p w14:paraId="163377E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18. Лисицына, Е. В.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 Е. В. Лисицына, Т. В. Ващенко, М. В. </w:t>
      </w:r>
      <w:proofErr w:type="gramStart"/>
      <w:r w:rsidRPr="00B67275">
        <w:rPr>
          <w:rFonts w:ascii="Times New Roman" w:eastAsia="Times New Roman" w:hAnsi="Times New Roman" w:cs="Times New Roman"/>
          <w:sz w:val="28"/>
          <w:szCs w:val="28"/>
          <w:lang w:val="ru-RU"/>
        </w:rPr>
        <w:t>Забродина ;</w:t>
      </w:r>
      <w:proofErr w:type="gramEnd"/>
      <w:r w:rsidRPr="00B67275">
        <w:rPr>
          <w:rFonts w:ascii="Times New Roman" w:eastAsia="Times New Roman" w:hAnsi="Times New Roman" w:cs="Times New Roman"/>
          <w:sz w:val="28"/>
          <w:szCs w:val="28"/>
          <w:lang w:val="ru-RU"/>
        </w:rPr>
        <w:t xml:space="preserve"> под науч. ред. К. В. Екимовой.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2023. — 185 с.</w:t>
      </w:r>
    </w:p>
    <w:p w14:paraId="4F8CA0C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19.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И. Я.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 И. Я.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Вузовский </w:t>
      </w:r>
      <w:proofErr w:type="gramStart"/>
      <w:r w:rsidRPr="00B67275">
        <w:rPr>
          <w:rFonts w:ascii="Times New Roman" w:eastAsia="Times New Roman" w:hAnsi="Times New Roman" w:cs="Times New Roman"/>
          <w:sz w:val="28"/>
          <w:szCs w:val="28"/>
          <w:lang w:val="ru-RU"/>
        </w:rPr>
        <w:t>учебник :</w:t>
      </w:r>
      <w:proofErr w:type="gramEnd"/>
      <w:r w:rsidRPr="00B67275">
        <w:rPr>
          <w:rFonts w:ascii="Times New Roman" w:eastAsia="Times New Roman" w:hAnsi="Times New Roman" w:cs="Times New Roman"/>
          <w:sz w:val="28"/>
          <w:szCs w:val="28"/>
          <w:lang w:val="ru-RU"/>
        </w:rPr>
        <w:t xml:space="preserve"> ИНФРА-М, 2024. — 413 с.</w:t>
      </w:r>
    </w:p>
    <w:p w14:paraId="6101D3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20. Никитина, Т. В. Основы портфельного </w:t>
      </w:r>
      <w:proofErr w:type="gramStart"/>
      <w:r w:rsidRPr="00B67275">
        <w:rPr>
          <w:rFonts w:ascii="Times New Roman" w:eastAsia="Times New Roman" w:hAnsi="Times New Roman" w:cs="Times New Roman"/>
          <w:sz w:val="28"/>
          <w:szCs w:val="28"/>
          <w:lang w:val="ru-RU"/>
        </w:rPr>
        <w:t>инвестирования :</w:t>
      </w:r>
      <w:proofErr w:type="gramEnd"/>
      <w:r w:rsidRPr="00B67275">
        <w:rPr>
          <w:rFonts w:ascii="Times New Roman" w:eastAsia="Times New Roman" w:hAnsi="Times New Roman" w:cs="Times New Roman"/>
          <w:sz w:val="28"/>
          <w:szCs w:val="28"/>
          <w:lang w:val="ru-RU"/>
        </w:rPr>
        <w:t xml:space="preserve"> учебник для бакалавриата и магистратуры / Т. В. Никитина, А. В. </w:t>
      </w:r>
      <w:proofErr w:type="spellStart"/>
      <w:r w:rsidRPr="00B67275">
        <w:rPr>
          <w:rFonts w:ascii="Times New Roman" w:eastAsia="Times New Roman" w:hAnsi="Times New Roman" w:cs="Times New Roman"/>
          <w:sz w:val="28"/>
          <w:szCs w:val="28"/>
          <w:lang w:val="ru-RU"/>
        </w:rPr>
        <w:t>Репета</w:t>
      </w:r>
      <w:proofErr w:type="spellEnd"/>
      <w:r w:rsidRPr="00B67275">
        <w:rPr>
          <w:rFonts w:ascii="Times New Roman" w:eastAsia="Times New Roman" w:hAnsi="Times New Roman" w:cs="Times New Roman"/>
          <w:sz w:val="28"/>
          <w:szCs w:val="28"/>
          <w:lang w:val="ru-RU"/>
        </w:rPr>
        <w:t xml:space="preserve">-Турсунова, М. </w:t>
      </w:r>
      <w:proofErr w:type="spellStart"/>
      <w:r w:rsidRPr="00B67275">
        <w:rPr>
          <w:rFonts w:ascii="Times New Roman" w:eastAsia="Times New Roman" w:hAnsi="Times New Roman" w:cs="Times New Roman"/>
          <w:sz w:val="28"/>
          <w:szCs w:val="28"/>
          <w:lang w:val="ru-RU"/>
        </w:rPr>
        <w:t>Фрёммель</w:t>
      </w:r>
      <w:proofErr w:type="spellEnd"/>
      <w:r w:rsidRPr="00B67275">
        <w:rPr>
          <w:rFonts w:ascii="Times New Roman" w:eastAsia="Times New Roman" w:hAnsi="Times New Roman" w:cs="Times New Roman"/>
          <w:sz w:val="28"/>
          <w:szCs w:val="28"/>
          <w:lang w:val="ru-RU"/>
        </w:rPr>
        <w:t xml:space="preserve">, А. В. Ядрин.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195 с.</w:t>
      </w:r>
    </w:p>
    <w:p w14:paraId="1E133FD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21. Румянцева, Е. Е.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и практикум для бакалавриата и магистратуры / Е. Е. Румянцева.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360 с.</w:t>
      </w:r>
    </w:p>
    <w:p w14:paraId="63849D9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22. Савицкая, Г. В. Анализ хозяйственной деятельности </w:t>
      </w:r>
      <w:proofErr w:type="gramStart"/>
      <w:r w:rsidRPr="00B67275">
        <w:rPr>
          <w:rFonts w:ascii="Times New Roman" w:eastAsia="Times New Roman" w:hAnsi="Times New Roman" w:cs="Times New Roman"/>
          <w:sz w:val="28"/>
          <w:szCs w:val="28"/>
          <w:lang w:val="ru-RU"/>
        </w:rPr>
        <w:t>предприятия :</w:t>
      </w:r>
      <w:proofErr w:type="gramEnd"/>
      <w:r w:rsidRPr="00B67275">
        <w:rPr>
          <w:rFonts w:ascii="Times New Roman" w:eastAsia="Times New Roman" w:hAnsi="Times New Roman" w:cs="Times New Roman"/>
          <w:sz w:val="28"/>
          <w:szCs w:val="28"/>
          <w:lang w:val="ru-RU"/>
        </w:rPr>
        <w:t xml:space="preserve"> учебник / Г. В. Савицкая. — 6-е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и доп. — Москва : ИНФРА-М, 2024. — 378 с.</w:t>
      </w:r>
    </w:p>
    <w:p w14:paraId="719E106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23. Сергеев, И.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прикладного бакалавриата / И. В. Сергеев, И. И. Веретенникова, В. В. Шеховцов.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2020. — 314 с.</w:t>
      </w:r>
    </w:p>
    <w:p w14:paraId="57E73C5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24. Теплова, Т. В.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и практикум для вузов / Т. В. Теплова. — 2-е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2026. — 781 с.</w:t>
      </w:r>
    </w:p>
    <w:p w14:paraId="5D03C7F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25. Шарп, У. Ф. Инвестиции / У. Ф. Шарп, Г. Дж. Александер, Д. В. </w:t>
      </w:r>
      <w:proofErr w:type="gramStart"/>
      <w:r w:rsidRPr="00B67275">
        <w:rPr>
          <w:rFonts w:ascii="Times New Roman" w:eastAsia="Times New Roman" w:hAnsi="Times New Roman" w:cs="Times New Roman"/>
          <w:sz w:val="28"/>
          <w:szCs w:val="28"/>
          <w:lang w:val="ru-RU"/>
        </w:rPr>
        <w:t>Бэйли ;</w:t>
      </w:r>
      <w:proofErr w:type="gramEnd"/>
      <w:r w:rsidRPr="00B67275">
        <w:rPr>
          <w:rFonts w:ascii="Times New Roman" w:eastAsia="Times New Roman" w:hAnsi="Times New Roman" w:cs="Times New Roman"/>
          <w:sz w:val="28"/>
          <w:szCs w:val="28"/>
          <w:lang w:val="ru-RU"/>
        </w:rPr>
        <w:t xml:space="preserve"> пер. с англ.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ИНФРА-М, 2001. — 1027 с.</w:t>
      </w:r>
    </w:p>
    <w:p w14:paraId="751B95E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26.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Л. И. </w:t>
      </w:r>
      <w:proofErr w:type="gramStart"/>
      <w:r w:rsidRPr="00B67275">
        <w:rPr>
          <w:rFonts w:ascii="Times New Roman" w:eastAsia="Times New Roman" w:hAnsi="Times New Roman" w:cs="Times New Roman"/>
          <w:sz w:val="28"/>
          <w:szCs w:val="28"/>
          <w:lang w:val="ru-RU"/>
        </w:rPr>
        <w:t>Инвестиции :</w:t>
      </w:r>
      <w:proofErr w:type="gramEnd"/>
      <w:r w:rsidRPr="00B67275">
        <w:rPr>
          <w:rFonts w:ascii="Times New Roman" w:eastAsia="Times New Roman" w:hAnsi="Times New Roman" w:cs="Times New Roman"/>
          <w:sz w:val="28"/>
          <w:szCs w:val="28"/>
          <w:lang w:val="ru-RU"/>
        </w:rPr>
        <w:t xml:space="preserve"> учебник для вузов /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Е. Г. Князева, Е. А. Разумовская [и др.</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под ред.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Екатеринбург :</w:t>
      </w:r>
      <w:proofErr w:type="gramEnd"/>
      <w:r w:rsidRPr="00B67275">
        <w:rPr>
          <w:rFonts w:ascii="Times New Roman" w:eastAsia="Times New Roman" w:hAnsi="Times New Roman" w:cs="Times New Roman"/>
          <w:sz w:val="28"/>
          <w:szCs w:val="28"/>
          <w:lang w:val="ru-RU"/>
        </w:rPr>
        <w:t xml:space="preserve"> Изд-во Урал. ун-</w:t>
      </w:r>
      <w:proofErr w:type="gramStart"/>
      <w:r w:rsidRPr="00B67275">
        <w:rPr>
          <w:rFonts w:ascii="Times New Roman" w:eastAsia="Times New Roman" w:hAnsi="Times New Roman" w:cs="Times New Roman"/>
          <w:sz w:val="28"/>
          <w:szCs w:val="28"/>
          <w:lang w:val="ru-RU"/>
        </w:rPr>
        <w:t>та ;</w:t>
      </w:r>
      <w:proofErr w:type="gramEnd"/>
      <w:r w:rsidRPr="00B67275">
        <w:rPr>
          <w:rFonts w:ascii="Times New Roman" w:eastAsia="Times New Roman" w:hAnsi="Times New Roman" w:cs="Times New Roman"/>
          <w:sz w:val="28"/>
          <w:szCs w:val="28"/>
          <w:lang w:val="ru-RU"/>
        </w:rPr>
        <w:t xml:space="preserve">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ФЛИНТА, 2020. — 612 с.</w:t>
      </w:r>
    </w:p>
    <w:p w14:paraId="3E521E0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14:paraId="6F56B00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14:paraId="6BAD0E2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14:paraId="690505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29. Колесниченко, Д. М. Оценка влияния диверсификации на эффективность инвестиционного портфеля, сформированного на основе модели </w:t>
      </w:r>
      <w:proofErr w:type="spellStart"/>
      <w:r w:rsidRPr="00B67275">
        <w:rPr>
          <w:rFonts w:ascii="Times New Roman" w:eastAsia="Times New Roman" w:hAnsi="Times New Roman" w:cs="Times New Roman"/>
          <w:sz w:val="28"/>
          <w:szCs w:val="28"/>
          <w:lang w:val="ru-RU"/>
        </w:rPr>
        <w:t>Марковица</w:t>
      </w:r>
      <w:proofErr w:type="spellEnd"/>
      <w:r w:rsidRPr="00B67275">
        <w:rPr>
          <w:rFonts w:ascii="Times New Roman" w:eastAsia="Times New Roman" w:hAnsi="Times New Roman" w:cs="Times New Roman"/>
          <w:sz w:val="28"/>
          <w:szCs w:val="28"/>
          <w:lang w:val="ru-RU"/>
        </w:rPr>
        <w:t xml:space="preserve"> / Д. М. Колесниченко // Вестник экономического научного общества студентов и аспирантов. — 2021. — № 2. — С. 14–22.</w:t>
      </w:r>
    </w:p>
    <w:p w14:paraId="00A35CF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30.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В. С. Проблемы и перспективы развития российской металлургии в рамках ЕАЭС / В. С.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 Экономические отношения. — 2024. — Т. 14, № 3. — С. 18–29.</w:t>
      </w:r>
    </w:p>
    <w:p w14:paraId="1631771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 xml:space="preserve">-инвестиции и их влияние на развитие финансового рынка / Н. П.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 Наука и образование в условиях цифровой трансформации экономики и общества. — Санкт-</w:t>
      </w:r>
      <w:proofErr w:type="gramStart"/>
      <w:r w:rsidRPr="00B67275">
        <w:rPr>
          <w:rFonts w:ascii="Times New Roman" w:eastAsia="Times New Roman" w:hAnsi="Times New Roman" w:cs="Times New Roman"/>
          <w:sz w:val="28"/>
          <w:szCs w:val="28"/>
          <w:lang w:val="ru-RU"/>
        </w:rPr>
        <w:t>Петербург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СПбГЭУ</w:t>
      </w:r>
      <w:proofErr w:type="spellEnd"/>
      <w:r w:rsidRPr="00B67275">
        <w:rPr>
          <w:rFonts w:ascii="Times New Roman" w:eastAsia="Times New Roman" w:hAnsi="Times New Roman" w:cs="Times New Roman"/>
          <w:sz w:val="28"/>
          <w:szCs w:val="28"/>
          <w:lang w:val="ru-RU"/>
        </w:rPr>
        <w:t>, 2021. — С. 182–187.</w:t>
      </w:r>
    </w:p>
    <w:p w14:paraId="02B2C2F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32.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П. Ю. Стратегическое управление стоимостью компании: учёт факторов корпоративного управления / П. Ю.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 Управление корпоративными финансами. — 2005. — № 2. — С. 12–21.</w:t>
      </w:r>
    </w:p>
    <w:p w14:paraId="1EEF3F2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33. Чупина, И. П. Анализ состояния металлургической промышленности России / И. П. Чупина, А. В. </w:t>
      </w:r>
      <w:proofErr w:type="spellStart"/>
      <w:r w:rsidRPr="00B67275">
        <w:rPr>
          <w:rFonts w:ascii="Times New Roman" w:eastAsia="Times New Roman" w:hAnsi="Times New Roman" w:cs="Times New Roman"/>
          <w:sz w:val="28"/>
          <w:szCs w:val="28"/>
          <w:lang w:val="ru-RU"/>
        </w:rPr>
        <w:t>Тарабардина</w:t>
      </w:r>
      <w:proofErr w:type="spellEnd"/>
      <w:r w:rsidRPr="00B67275">
        <w:rPr>
          <w:rFonts w:ascii="Times New Roman" w:eastAsia="Times New Roman" w:hAnsi="Times New Roman" w:cs="Times New Roman"/>
          <w:sz w:val="28"/>
          <w:szCs w:val="28"/>
          <w:lang w:val="ru-RU"/>
        </w:rPr>
        <w:t xml:space="preserve"> // Вектор экономики. — 2024. — № 3. — С. 11–19.</w:t>
      </w:r>
    </w:p>
    <w:p w14:paraId="5B55EE0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r w:rsidRPr="00B67275">
        <w:rPr>
          <w:rFonts w:ascii="Times New Roman" w:eastAsia="Times New Roman" w:hAnsi="Times New Roman" w:cs="Times New Roman"/>
          <w:b/>
          <w:bCs/>
          <w:sz w:val="28"/>
          <w:szCs w:val="28"/>
        </w:rPr>
        <w:t>Литература</w:t>
      </w:r>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на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иностранных</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языках</w:t>
      </w:r>
      <w:proofErr w:type="spellEnd"/>
    </w:p>
    <w:p w14:paraId="0A99869C"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14:paraId="3ECDB470"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14:paraId="748FF5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 xml:space="preserve">36. Markowitz, H. M. Portfolio Selection: Efficient Diversification of Investments / H. M. Markowitz. — New </w:t>
      </w:r>
      <w:proofErr w:type="gramStart"/>
      <w:r w:rsidRPr="00B67275">
        <w:rPr>
          <w:rFonts w:ascii="Times New Roman" w:eastAsia="Times New Roman" w:hAnsi="Times New Roman" w:cs="Times New Roman"/>
          <w:sz w:val="28"/>
          <w:szCs w:val="28"/>
          <w:lang w:val="en-US"/>
        </w:rPr>
        <w:t>York :</w:t>
      </w:r>
      <w:proofErr w:type="gramEnd"/>
      <w:r w:rsidRPr="00B67275">
        <w:rPr>
          <w:rFonts w:ascii="Times New Roman" w:eastAsia="Times New Roman" w:hAnsi="Times New Roman" w:cs="Times New Roman"/>
          <w:sz w:val="28"/>
          <w:szCs w:val="28"/>
          <w:lang w:val="en-US"/>
        </w:rPr>
        <w:t xml:space="preserve"> Wiley, 1959. — 344 p.</w:t>
      </w:r>
    </w:p>
    <w:p w14:paraId="51BC58B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37. Markowitz, H. M. Portfolio Selection / H. M. Markowitz // The Journal of Finance. — 1952. — Vol. 7, no. 1. — P. 77–91.</w:t>
      </w:r>
    </w:p>
    <w:p w14:paraId="41A46163"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14:paraId="5A38E4EF"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39. Sharpe, W. F. Mutual Fund Performance / W. F. Sharpe // The Journal of Business. — 1966. — Vol. 39, no. 1. — P. 119–138.</w:t>
      </w:r>
    </w:p>
    <w:p w14:paraId="53B39A1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40. Sortino, F. A. Performance Measurement in a Downside Risk Framework / F. A. Sortino, R. Van Der Meer // The Journal of Portfolio Management. — 1991. — Vol. 18, no. 1. — P. 27–31.</w:t>
      </w:r>
    </w:p>
    <w:p w14:paraId="2C2B2219"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14:paraId="0DC7E65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42. Jensen, M. C. The Performance of Mutual Funds in the Period 1945–1964 / M. C. Jensen // The Journal of Finance. — 1968. — Vol. 23, no. 2. — P. 389–416.</w:t>
      </w:r>
    </w:p>
    <w:p w14:paraId="48DC2F22"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14:paraId="4209068A"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14:paraId="6F4CB8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45. Damodaran, A. Investment Philosophies: Successful Strategies and the Investors Who Made Them Work / A. Damodaran. — 2nd ed. — </w:t>
      </w:r>
      <w:proofErr w:type="gramStart"/>
      <w:r w:rsidRPr="00B67275">
        <w:rPr>
          <w:rFonts w:ascii="Times New Roman" w:eastAsia="Times New Roman" w:hAnsi="Times New Roman" w:cs="Times New Roman"/>
          <w:sz w:val="28"/>
          <w:szCs w:val="28"/>
          <w:lang w:val="en-US"/>
        </w:rPr>
        <w:t>Hoboken :</w:t>
      </w:r>
      <w:proofErr w:type="gramEnd"/>
      <w:r w:rsidRPr="00B67275">
        <w:rPr>
          <w:rFonts w:ascii="Times New Roman" w:eastAsia="Times New Roman" w:hAnsi="Times New Roman" w:cs="Times New Roman"/>
          <w:sz w:val="28"/>
          <w:szCs w:val="28"/>
          <w:lang w:val="en-US"/>
        </w:rPr>
        <w:t xml:space="preserve"> Wiley, 2012. — 614 p.</w:t>
      </w:r>
    </w:p>
    <w:p w14:paraId="6D413F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14:paraId="7B2941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46. Банк России (Центральный банк Российской Федерации</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cbr</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07.05.2026).</w:t>
      </w:r>
    </w:p>
    <w:p w14:paraId="78BA474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w:t>
      </w:r>
      <w:proofErr w:type="gramStart"/>
      <w:r w:rsidRPr="00B67275">
        <w:rPr>
          <w:rFonts w:ascii="Times New Roman" w:eastAsia="Times New Roman" w:hAnsi="Times New Roman" w:cs="Times New Roman"/>
          <w:sz w:val="28"/>
          <w:szCs w:val="28"/>
          <w:lang w:val="ru-RU"/>
        </w:rPr>
        <w:t>Биржа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moex</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14:paraId="1D4DBD8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48. ПАО «Северсталь</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severstal</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14:paraId="4A6C76D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49. Федеральная служба государственной статистики (Росстат</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rosstat</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gov</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3E1853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46435CF8" w14:textId="77777777" w:rsidR="00FE64C3" w:rsidRPr="00B67275" w:rsidRDefault="00FE64C3" w:rsidP="00564EEC">
      <w:pPr>
        <w:spacing w:line="360" w:lineRule="auto"/>
        <w:ind w:firstLine="709"/>
        <w:jc w:val="both"/>
        <w:rPr>
          <w:rFonts w:ascii="Times New Roman" w:hAnsi="Times New Roman" w:cs="Times New Roman"/>
          <w:sz w:val="28"/>
          <w:szCs w:val="28"/>
          <w:lang w:val="ru-RU"/>
        </w:rPr>
      </w:pPr>
    </w:p>
    <w:p w14:paraId="215280CB" w14:textId="77777777" w:rsidR="00793D47" w:rsidRPr="00B67275" w:rsidRDefault="00793D47" w:rsidP="00564EEC">
      <w:pPr>
        <w:spacing w:line="360" w:lineRule="auto"/>
        <w:ind w:firstLine="709"/>
        <w:jc w:val="both"/>
        <w:rPr>
          <w:rFonts w:ascii="Times New Roman" w:hAnsi="Times New Roman" w:cs="Times New Roman"/>
          <w:sz w:val="28"/>
          <w:szCs w:val="28"/>
          <w:lang w:val="ru-RU"/>
        </w:rPr>
      </w:pPr>
    </w:p>
    <w:p w14:paraId="7523B865" w14:textId="77777777" w:rsidR="00793D47" w:rsidRPr="00B67275" w:rsidRDefault="00793D47" w:rsidP="00B67275">
      <w:pPr>
        <w:spacing w:line="360" w:lineRule="auto"/>
        <w:ind w:firstLine="709"/>
        <w:jc w:val="both"/>
        <w:rPr>
          <w:rFonts w:ascii="Times New Roman" w:hAnsi="Times New Roman" w:cs="Times New Roman"/>
          <w:b/>
          <w:bCs/>
          <w:sz w:val="28"/>
          <w:szCs w:val="28"/>
          <w:lang w:val="ru-RU"/>
        </w:rPr>
      </w:pPr>
    </w:p>
    <w:p w14:paraId="7665F3EC" w14:textId="77777777" w:rsidR="00793D47" w:rsidRDefault="00793D47" w:rsidP="00793D47">
      <w:pPr>
        <w:ind w:firstLine="709"/>
        <w:jc w:val="both"/>
        <w:rPr>
          <w:rFonts w:ascii="Times New Roman" w:hAnsi="Times New Roman" w:cs="Times New Roman"/>
          <w:b/>
          <w:bCs/>
          <w:sz w:val="28"/>
          <w:szCs w:val="28"/>
          <w:lang w:val="ru-RU"/>
        </w:rPr>
      </w:pPr>
    </w:p>
    <w:p w14:paraId="404BA10A" w14:textId="77777777" w:rsidR="00793D47" w:rsidRDefault="00793D47" w:rsidP="00793D47">
      <w:pPr>
        <w:ind w:firstLine="709"/>
        <w:jc w:val="both"/>
        <w:rPr>
          <w:rFonts w:ascii="Times New Roman" w:hAnsi="Times New Roman" w:cs="Times New Roman"/>
          <w:b/>
          <w:bCs/>
          <w:sz w:val="28"/>
          <w:szCs w:val="28"/>
          <w:lang w:val="ru-RU"/>
        </w:rPr>
      </w:pPr>
    </w:p>
    <w:p w14:paraId="306DE3A9" w14:textId="77777777" w:rsidR="00793D47" w:rsidRDefault="00793D47" w:rsidP="00793D47">
      <w:pPr>
        <w:ind w:firstLine="709"/>
        <w:jc w:val="both"/>
        <w:rPr>
          <w:rFonts w:ascii="Times New Roman" w:hAnsi="Times New Roman" w:cs="Times New Roman"/>
          <w:b/>
          <w:bCs/>
          <w:sz w:val="28"/>
          <w:szCs w:val="28"/>
          <w:lang w:val="ru-RU"/>
        </w:rPr>
      </w:pPr>
    </w:p>
    <w:p w14:paraId="02C39ADF" w14:textId="77777777"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6247" w14:textId="77777777" w:rsidR="00217885" w:rsidRDefault="00217885" w:rsidP="002C229C">
      <w:pPr>
        <w:spacing w:line="240" w:lineRule="auto"/>
      </w:pPr>
      <w:r>
        <w:separator/>
      </w:r>
    </w:p>
  </w:endnote>
  <w:endnote w:type="continuationSeparator" w:id="0">
    <w:p w14:paraId="03CDE275" w14:textId="77777777" w:rsidR="00217885" w:rsidRDefault="00217885"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246B62B-E95D-4016-BABE-C75B5B332119}"/>
  </w:font>
  <w:font w:name="Tahoma">
    <w:panose1 w:val="020B0604030504040204"/>
    <w:charset w:val="CC"/>
    <w:family w:val="swiss"/>
    <w:pitch w:val="variable"/>
    <w:sig w:usb0="E1002EFF" w:usb1="C000605B" w:usb2="00000029" w:usb3="00000000" w:csb0="000101FF" w:csb1="00000000"/>
    <w:embedRegular r:id="rId2" w:fontKey="{74602F79-C27E-4791-9BB5-2D2D80738037}"/>
  </w:font>
  <w:font w:name="Cambria Math">
    <w:panose1 w:val="02040503050406030204"/>
    <w:charset w:val="CC"/>
    <w:family w:val="roman"/>
    <w:pitch w:val="variable"/>
    <w:sig w:usb0="E00006FF" w:usb1="420024FF" w:usb2="02000000" w:usb3="00000000" w:csb0="0000019F" w:csb1="00000000"/>
    <w:embedRegular r:id="rId3" w:fontKey="{B1E34689-41A7-44BE-9EC4-E5025D8FB03E}"/>
    <w:embedItalic r:id="rId4" w:fontKey="{9B8588FF-A550-4652-80F6-D777041F40F3}"/>
  </w:font>
  <w:font w:name="Cambria">
    <w:panose1 w:val="02040503050406030204"/>
    <w:charset w:val="CC"/>
    <w:family w:val="roman"/>
    <w:pitch w:val="variable"/>
    <w:sig w:usb0="E00006FF" w:usb1="420024FF" w:usb2="02000000" w:usb3="00000000" w:csb0="0000019F" w:csb1="00000000"/>
    <w:embedRegular r:id="rId5" w:fontKey="{EA35651B-70B3-4A56-8EF4-46E514A22A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94314F" w:rsidRPr="0094314F">
          <w:rPr>
            <w:rFonts w:ascii="Times New Roman" w:hAnsi="Times New Roman" w:cs="Times New Roman"/>
            <w:noProof/>
            <w:sz w:val="28"/>
            <w:szCs w:val="28"/>
            <w:lang w:val="ru-RU"/>
          </w:rPr>
          <w:t>4</w:t>
        </w:r>
        <w:r w:rsidRPr="00CD1CF2">
          <w:rPr>
            <w:rFonts w:ascii="Times New Roman" w:hAnsi="Times New Roman" w:cs="Times New Roman"/>
            <w:sz w:val="28"/>
            <w:szCs w:val="28"/>
          </w:rPr>
          <w:fldChar w:fldCharType="end"/>
        </w:r>
      </w:p>
    </w:sdtContent>
  </w:sdt>
  <w:p w14:paraId="2DF55FA3" w14:textId="77777777"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E2119" w14:textId="77777777" w:rsidR="00217885" w:rsidRDefault="00217885" w:rsidP="002C229C">
      <w:pPr>
        <w:spacing w:line="240" w:lineRule="auto"/>
      </w:pPr>
      <w:r>
        <w:separator/>
      </w:r>
    </w:p>
  </w:footnote>
  <w:footnote w:type="continuationSeparator" w:id="0">
    <w:p w14:paraId="5DF4693C" w14:textId="77777777" w:rsidR="00217885" w:rsidRDefault="00217885"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8661">
    <w:abstractNumId w:val="1"/>
  </w:num>
  <w:num w:numId="2" w16cid:durableId="299500119">
    <w:abstractNumId w:val="19"/>
  </w:num>
  <w:num w:numId="3" w16cid:durableId="1670910368">
    <w:abstractNumId w:val="7"/>
  </w:num>
  <w:num w:numId="4" w16cid:durableId="1571186203">
    <w:abstractNumId w:val="20"/>
  </w:num>
  <w:num w:numId="5" w16cid:durableId="312685302">
    <w:abstractNumId w:val="16"/>
  </w:num>
  <w:num w:numId="6" w16cid:durableId="583953480">
    <w:abstractNumId w:val="15"/>
  </w:num>
  <w:num w:numId="7" w16cid:durableId="42564256">
    <w:abstractNumId w:val="9"/>
  </w:num>
  <w:num w:numId="8" w16cid:durableId="168952913">
    <w:abstractNumId w:val="12"/>
  </w:num>
  <w:num w:numId="9" w16cid:durableId="1601185510">
    <w:abstractNumId w:val="2"/>
  </w:num>
  <w:num w:numId="10" w16cid:durableId="1140613886">
    <w:abstractNumId w:val="18"/>
  </w:num>
  <w:num w:numId="11" w16cid:durableId="279728497">
    <w:abstractNumId w:val="14"/>
  </w:num>
  <w:num w:numId="12" w16cid:durableId="476654995">
    <w:abstractNumId w:val="8"/>
  </w:num>
  <w:num w:numId="13" w16cid:durableId="1513716004">
    <w:abstractNumId w:val="3"/>
  </w:num>
  <w:num w:numId="14" w16cid:durableId="325742274">
    <w:abstractNumId w:val="13"/>
  </w:num>
  <w:num w:numId="15" w16cid:durableId="605190518">
    <w:abstractNumId w:val="17"/>
  </w:num>
  <w:num w:numId="16" w16cid:durableId="749083550">
    <w:abstractNumId w:val="0"/>
  </w:num>
  <w:num w:numId="17" w16cid:durableId="589125997">
    <w:abstractNumId w:val="4"/>
  </w:num>
  <w:num w:numId="18" w16cid:durableId="1850605958">
    <w:abstractNumId w:val="6"/>
  </w:num>
  <w:num w:numId="19" w16cid:durableId="1867284358">
    <w:abstractNumId w:val="5"/>
  </w:num>
  <w:num w:numId="20" w16cid:durableId="1037394356">
    <w:abstractNumId w:val="10"/>
  </w:num>
  <w:num w:numId="21" w16cid:durableId="1433628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F4"/>
    <w:rsid w:val="0000516F"/>
    <w:rsid w:val="00041F4F"/>
    <w:rsid w:val="0007704C"/>
    <w:rsid w:val="000C0B11"/>
    <w:rsid w:val="00205FD5"/>
    <w:rsid w:val="00217885"/>
    <w:rsid w:val="00220139"/>
    <w:rsid w:val="002B401D"/>
    <w:rsid w:val="002C229C"/>
    <w:rsid w:val="004167DF"/>
    <w:rsid w:val="004605F7"/>
    <w:rsid w:val="0051150E"/>
    <w:rsid w:val="00564EEC"/>
    <w:rsid w:val="0057476F"/>
    <w:rsid w:val="005F2182"/>
    <w:rsid w:val="00612FCD"/>
    <w:rsid w:val="00631EF4"/>
    <w:rsid w:val="00653A71"/>
    <w:rsid w:val="00673439"/>
    <w:rsid w:val="00675B6A"/>
    <w:rsid w:val="00677407"/>
    <w:rsid w:val="006C1187"/>
    <w:rsid w:val="00710322"/>
    <w:rsid w:val="00793D47"/>
    <w:rsid w:val="007C0ED7"/>
    <w:rsid w:val="007D27F4"/>
    <w:rsid w:val="00876867"/>
    <w:rsid w:val="00884363"/>
    <w:rsid w:val="0094314F"/>
    <w:rsid w:val="0097563D"/>
    <w:rsid w:val="00A30BC7"/>
    <w:rsid w:val="00AC43B0"/>
    <w:rsid w:val="00B50D38"/>
    <w:rsid w:val="00B67275"/>
    <w:rsid w:val="00C76864"/>
    <w:rsid w:val="00CD1CF2"/>
    <w:rsid w:val="00DD5FC9"/>
    <w:rsid w:val="00DE18F0"/>
    <w:rsid w:val="00E64932"/>
    <w:rsid w:val="00EC4086"/>
    <w:rsid w:val="00F74D7F"/>
    <w:rsid w:val="00F834A7"/>
    <w:rsid w:val="00FB4C04"/>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2964D-A72F-4ADC-8BC1-59AA4E13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17533</Words>
  <Characters>99944</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Office</cp:lastModifiedBy>
  <cp:revision>2</cp:revision>
  <dcterms:created xsi:type="dcterms:W3CDTF">2026-06-02T09:30:00Z</dcterms:created>
  <dcterms:modified xsi:type="dcterms:W3CDTF">2026-06-02T09:30:00Z</dcterms:modified>
</cp:coreProperties>
</file>