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07B85" w14:textId="77777777" w:rsidR="00086012" w:rsidRDefault="008940CC">
      <w:pPr>
        <w:spacing w:after="200"/>
        <w:jc w:val="center"/>
      </w:pPr>
      <w:r>
        <w:rPr>
          <w:b/>
          <w:bCs/>
          <w:sz w:val="30"/>
          <w:szCs w:val="30"/>
        </w:rPr>
        <w:t>CECS: A Composite Echo Chamber Score for Structural Detection of Ideological Isolation in Social Networks</w:t>
      </w:r>
    </w:p>
    <w:p w14:paraId="1A957E6A" w14:textId="77777777" w:rsidR="005E37F5" w:rsidRDefault="005E37F5">
      <w:pPr>
        <w:spacing w:after="160"/>
        <w:jc w:val="both"/>
        <w:rPr>
          <w:sz w:val="22"/>
          <w:szCs w:val="22"/>
          <w:rtl/>
        </w:rPr>
      </w:pPr>
    </w:p>
    <w:p w14:paraId="71974A09" w14:textId="77777777" w:rsidR="005E37F5" w:rsidRDefault="005E37F5">
      <w:pPr>
        <w:spacing w:after="160"/>
        <w:jc w:val="both"/>
        <w:rPr>
          <w:sz w:val="22"/>
          <w:szCs w:val="22"/>
          <w:rtl/>
        </w:rPr>
      </w:pPr>
    </w:p>
    <w:p w14:paraId="65CBDB26" w14:textId="741F589C" w:rsidR="00086012" w:rsidRDefault="008940CC">
      <w:pPr>
        <w:spacing w:after="160"/>
        <w:jc w:val="both"/>
      </w:pPr>
      <w:r>
        <w:rPr>
          <w:b/>
          <w:bCs/>
          <w:i/>
          <w:iCs/>
          <w:sz w:val="21"/>
          <w:szCs w:val="21"/>
        </w:rPr>
        <w:t>Abstract—</w:t>
      </w:r>
      <w:r>
        <w:rPr>
          <w:sz w:val="21"/>
          <w:szCs w:val="21"/>
        </w:rPr>
        <w:t>Echo chambers—clusters of users who predominantly interact with and amplify content that matches their pre-existing beliefs—have been repeatedly linked to the spread of misinformation, the polarization of political discourse, and the erosion of a shared public conversation. Prior purely structural approaches to echo chamber detection have relied either on a single boundary metric paired with heuristic community detection and link-analysis scoring, or on statistically validated null models that require auxiliary information such as verified-account status and shared URLs. Neither line of work offers a single, interpretable score that fuses the many structural and behavioral signals a retweet network can provide. This paper introduces the Composite Echo Chamber Score (CECS), a five-dimensional, content-agnostic metric that combines (</w:t>
      </w:r>
      <w:proofErr w:type="spellStart"/>
      <w:r>
        <w:rPr>
          <w:sz w:val="21"/>
          <w:szCs w:val="21"/>
        </w:rPr>
        <w:t>i</w:t>
      </w:r>
      <w:proofErr w:type="spellEnd"/>
      <w:r>
        <w:rPr>
          <w:sz w:val="21"/>
          <w:szCs w:val="21"/>
        </w:rPr>
        <w:t>) Isolation, the share of a community's interaction weight that stays internal; (ii) Modularity Contribution, which corrects for community-size bias by comparing observed internal cohesion to a random-mixing baseline; (iii) Internal Density, the average local clustering coefficient of community members; (iv) the Inverse Diplomat Effect ("Deafness"), which captures how little influence the few cross-community bridging users actually carry; and (v) Neighborhood Entropy ("Fixation"), which measures whether a community's external attention is spread out or obsessively concentrated on a single outside target. Using a pilot sample of ten macro-communities drawn from a retweet interaction graph, we first show that three commonly used boundary metrics — the Isolation Metric, the External–Internal (E/I) Index, and Conductance — are algebraically redundant, with pairwise correlations of 1.0000, which justifies retaining a single representative rather than triple-counting the same structural signal. We then combine the five non-redundant dimensions into one weighted, normalized formula, CECS = 0.30·Isolation + 0.20·Modularity + 0.20·Density + 0.20·Deafness + 0.10·Fixation, mapped to a 0–100 scale. Unlike content-based classifiers, CECS requires no natural-language processing and no ground-truth labels, making it directly reusable across languages and platforms.</w:t>
      </w:r>
    </w:p>
    <w:p w14:paraId="58A340C8" w14:textId="77777777" w:rsidR="00086012" w:rsidRDefault="008940CC">
      <w:pPr>
        <w:spacing w:after="300"/>
      </w:pPr>
      <w:r>
        <w:rPr>
          <w:b/>
          <w:bCs/>
          <w:i/>
          <w:iCs/>
          <w:sz w:val="21"/>
          <w:szCs w:val="21"/>
        </w:rPr>
        <w:t>Keywords—</w:t>
      </w:r>
      <w:r>
        <w:rPr>
          <w:i/>
          <w:iCs/>
          <w:sz w:val="21"/>
          <w:szCs w:val="21"/>
        </w:rPr>
        <w:t>echo chambers; social network analysis; community detection; modularity; clustering coefficient; entropy; Twitter/X; disinformation; polarization</w:t>
      </w:r>
    </w:p>
    <w:p w14:paraId="09F91BCA" w14:textId="77777777" w:rsidR="00086012" w:rsidRDefault="008940CC">
      <w:pPr>
        <w:spacing w:before="300" w:after="160"/>
      </w:pPr>
      <w:r>
        <w:rPr>
          <w:b/>
          <w:bCs/>
          <w:sz w:val="22"/>
          <w:szCs w:val="22"/>
        </w:rPr>
        <w:t>I. INTRODUCTION</w:t>
      </w:r>
    </w:p>
    <w:p w14:paraId="34ABD3C6" w14:textId="77777777" w:rsidR="00086012" w:rsidRDefault="008940CC">
      <w:pPr>
        <w:spacing w:after="160" w:line="276" w:lineRule="auto"/>
        <w:jc w:val="both"/>
      </w:pPr>
      <w:r>
        <w:rPr>
          <w:sz w:val="21"/>
          <w:szCs w:val="21"/>
        </w:rPr>
        <w:t>The tendency of people to seek out information that confirms what they already believe, and to interact preferentially with others who share their views, gives rise to echo chambers: bounded regions of a social network in which messages are amplified internally and rebuttal from the outside rarely penetrates [3], [4]. Because disinformation spreads especially effectively once it reaches such a chamber, and because echo chambers have been implicated in the dynamics of close and consequential political events, understanding and measuring them is a matter of practical importance for platform designers, regulators, and researchers alike [1], [5]–[7].</w:t>
      </w:r>
    </w:p>
    <w:p w14:paraId="3EE82008" w14:textId="77777777" w:rsidR="00086012" w:rsidRDefault="008940CC">
      <w:pPr>
        <w:spacing w:after="160" w:line="276" w:lineRule="auto"/>
        <w:jc w:val="both"/>
      </w:pPr>
      <w:r>
        <w:rPr>
          <w:sz w:val="21"/>
          <w:szCs w:val="21"/>
        </w:rPr>
        <w:t>Two broad families of methods have been used to detect echo chambers on Twitter/X without resorting to manual content coding. The first family is purely structural: a retweet graph is built, its largest connected component is partitioned into a small number of communities using an algorithm such as greedy modularity maximization, and the resulting partitions are then labeled using a link-analysis score — most notably the HITS hub/authority pair — to identify which side of the partition behaves like a closed information trap [1]. The second family is statistically rigorous but data-hungry: it validates co-occurrence networks against an entropy-maximizing null model (the Bipartite Configuration Model) to separate genuine discursive similarity and shared news consumption from random noise, and defines an echo chamber as the intersection of a discursive community, a news-engagement community, and a connected retweet component [2].</w:t>
      </w:r>
    </w:p>
    <w:p w14:paraId="6A21A939" w14:textId="77777777" w:rsidR="00086012" w:rsidRDefault="008940CC">
      <w:pPr>
        <w:spacing w:after="160" w:line="276" w:lineRule="auto"/>
        <w:jc w:val="both"/>
      </w:pPr>
      <w:r>
        <w:rPr>
          <w:sz w:val="21"/>
          <w:szCs w:val="21"/>
        </w:rPr>
        <w:lastRenderedPageBreak/>
        <w:t>Both families make important contributions, but each leaves a practical gap. The purely structural approach of [1] is inexpensive and requires no auxiliary metadata, but it collapses a community's behavior into a single link-analysis dimension (authority) and a binary red/blue label, discarding information about internal cohesion, the fate of cross-community bridging users, and the diversity of a community's external attention. The entropy-validated approach of [2] is more principled but depends on the availability of verified accounts and a sufficiently rich stream of shared URLs, which limits its portability to smaller or less URL-centric debates.</w:t>
      </w:r>
    </w:p>
    <w:p w14:paraId="2865D323" w14:textId="77777777" w:rsidR="00086012" w:rsidRDefault="008940CC">
      <w:pPr>
        <w:spacing w:after="160" w:line="276" w:lineRule="auto"/>
        <w:jc w:val="both"/>
      </w:pPr>
      <w:r>
        <w:rPr>
          <w:sz w:val="21"/>
          <w:szCs w:val="21"/>
        </w:rPr>
        <w:t>This paper proposes the Composite Echo Chamber Score (CECS), which is designed to close this gap. Rather than relying on one boundary metric, CECS decomposes the notion of an echo chamber into five complementary structural and behavioral dimensions, each computed directly from the weighted, directed retweet graph and each addressing a specific mechanism by which a community can become — or fail to become — an echo chamber: how sealed its boundary is, whether its cohesion exceeds what community size alone would predict, how tightly its members reinforce one another, how much real influence its few outward-facing "diplomats" carry, and how fixated its external attention is on a single target. We further show empirically that several boundary-style metrics proposed in the literature and in our own preliminary analysis are mathematically redundant, and we use this finding to keep the final formula compact and non-redundant.</w:t>
      </w:r>
    </w:p>
    <w:p w14:paraId="6561C0FA" w14:textId="77777777" w:rsidR="00086012" w:rsidRDefault="008940CC">
      <w:pPr>
        <w:spacing w:after="160" w:line="276" w:lineRule="auto"/>
        <w:jc w:val="both"/>
      </w:pPr>
      <w:r>
        <w:rPr>
          <w:sz w:val="21"/>
          <w:szCs w:val="21"/>
        </w:rPr>
        <w:t>The remainder of this paper is organized as follows. Section II reviews related work on echo chamber detection and the network-science building blocks used in this paper. Section III presents the CECS methodology, including the boundary-redundancy analysis and the five-dimensional weighted formula. Section IV describes the pilot validation performed on a sample of macro-communities. Section V discusses the resulting typology and its implications. Section VI concludes and outlines directions for future work.</w:t>
      </w:r>
    </w:p>
    <w:p w14:paraId="723519CC" w14:textId="77777777" w:rsidR="00086012" w:rsidRDefault="008940CC">
      <w:pPr>
        <w:spacing w:before="300" w:after="160"/>
      </w:pPr>
      <w:r>
        <w:rPr>
          <w:b/>
          <w:bCs/>
          <w:sz w:val="22"/>
          <w:szCs w:val="22"/>
        </w:rPr>
        <w:t>II. LITERATURE REVIEW</w:t>
      </w:r>
    </w:p>
    <w:p w14:paraId="7A2BA549" w14:textId="77777777" w:rsidR="00086012" w:rsidRDefault="008940CC">
      <w:pPr>
        <w:spacing w:before="200" w:after="120"/>
      </w:pPr>
      <w:r>
        <w:rPr>
          <w:b/>
          <w:bCs/>
          <w:i/>
          <w:iCs/>
          <w:sz w:val="21"/>
          <w:szCs w:val="21"/>
        </w:rPr>
        <w:t>A. The Echo Chamber Phenomenon</w:t>
      </w:r>
    </w:p>
    <w:p w14:paraId="7770DD39" w14:textId="77777777" w:rsidR="00086012" w:rsidRDefault="008940CC">
      <w:pPr>
        <w:spacing w:after="160" w:line="276" w:lineRule="auto"/>
        <w:jc w:val="both"/>
      </w:pPr>
      <w:r>
        <w:rPr>
          <w:sz w:val="21"/>
          <w:szCs w:val="21"/>
        </w:rPr>
        <w:t>The idea that online platforms can trap users inside self-reinforcing information bubbles has been studied from several angles. Garrett [4] examined selective exposure to politically congenial news and found that partisans do not so much avoid opposing views as they preferentially seek out congenial ones, a pattern consistent with, but weaker than, the strong isolation implied by the term "echo chamber." Del Vicario et al. [3] analyzed the diffusion of conspiracy-theory and science content on Facebook and showed that homogeneous clusters of like-minded users form around each type of content and that these clusters are bound together by friendship ties. Cinelli et al. [5] compared several platforms and found that the tendency toward homophilic, polarized interaction is present across networks, though its intensity depends on each platform's specific interaction and recommendation mechanics.</w:t>
      </w:r>
    </w:p>
    <w:p w14:paraId="3FE3CFB7" w14:textId="77777777" w:rsidR="00086012" w:rsidRDefault="008940CC">
      <w:pPr>
        <w:spacing w:after="160" w:line="276" w:lineRule="auto"/>
        <w:jc w:val="both"/>
      </w:pPr>
      <w:r>
        <w:rPr>
          <w:sz w:val="21"/>
          <w:szCs w:val="21"/>
        </w:rPr>
        <w:t xml:space="preserve">The role of coordinated, non-organic actors in reinforcing echo chambers has also received attention. </w:t>
      </w:r>
      <w:proofErr w:type="spellStart"/>
      <w:r>
        <w:rPr>
          <w:sz w:val="21"/>
          <w:szCs w:val="21"/>
        </w:rPr>
        <w:t>Zannettou</w:t>
      </w:r>
      <w:proofErr w:type="spellEnd"/>
      <w:r>
        <w:rPr>
          <w:sz w:val="21"/>
          <w:szCs w:val="21"/>
        </w:rPr>
        <w:t xml:space="preserve"> et al. [6] and </w:t>
      </w:r>
      <w:proofErr w:type="spellStart"/>
      <w:r>
        <w:rPr>
          <w:sz w:val="21"/>
          <w:szCs w:val="21"/>
        </w:rPr>
        <w:t>Badawy</w:t>
      </w:r>
      <w:proofErr w:type="spellEnd"/>
      <w:r>
        <w:rPr>
          <w:sz w:val="21"/>
          <w:szCs w:val="21"/>
        </w:rPr>
        <w:t xml:space="preserve"> et al. [7] documented how state-sponsored troll accounts, in particular Russia-linked operations, exploit polarized communities to amplify divisive narratives, a concern that directly motivates the structural approach in [1], which found a distinct, tightly-authority-concentrated community associated with anti-vaccination, right-wing populist, and pro-Russian narratives in the German-language Twitter stream.</w:t>
      </w:r>
    </w:p>
    <w:p w14:paraId="21A46AA3" w14:textId="77777777" w:rsidR="00086012" w:rsidRDefault="008940CC">
      <w:pPr>
        <w:spacing w:before="200" w:after="120"/>
      </w:pPr>
      <w:r>
        <w:rPr>
          <w:b/>
          <w:bCs/>
          <w:i/>
          <w:iCs/>
          <w:sz w:val="21"/>
          <w:szCs w:val="21"/>
        </w:rPr>
        <w:t>B. Structural Detection Methods</w:t>
      </w:r>
    </w:p>
    <w:p w14:paraId="3B9BA9CF" w14:textId="77777777" w:rsidR="00086012" w:rsidRDefault="008940CC">
      <w:pPr>
        <w:spacing w:after="160" w:line="276" w:lineRule="auto"/>
        <w:jc w:val="both"/>
      </w:pPr>
      <w:r>
        <w:rPr>
          <w:sz w:val="21"/>
          <w:szCs w:val="21"/>
        </w:rPr>
        <w:t xml:space="preserve">Community detection is the first step common to nearly all structural echo-chamber studies. </w:t>
      </w:r>
      <w:proofErr w:type="spellStart"/>
      <w:r>
        <w:rPr>
          <w:sz w:val="21"/>
          <w:szCs w:val="21"/>
        </w:rPr>
        <w:t>Clauset</w:t>
      </w:r>
      <w:proofErr w:type="spellEnd"/>
      <w:r>
        <w:rPr>
          <w:sz w:val="21"/>
          <w:szCs w:val="21"/>
        </w:rPr>
        <w:t>, Newman, and Moore [8] introduced the greedy modularity maximization algorithm used by [1] to bipartition retweet graphs, while Newman [9] formalized the modularity function that measures how much more internally connected a community is than a random graph with the same degree sequence would be — a quantity this paper reuses directly as the Modularity Contribution dimension of CECS. Once communities are identified, link-</w:t>
      </w:r>
      <w:r>
        <w:rPr>
          <w:sz w:val="21"/>
          <w:szCs w:val="21"/>
        </w:rPr>
        <w:lastRenderedPageBreak/>
        <w:t xml:space="preserve">analysis scores such as Kleinberg's HITS algorithm [10] have been used to characterize the resulting partitions: </w:t>
      </w:r>
      <w:proofErr w:type="spellStart"/>
      <w:r>
        <w:rPr>
          <w:sz w:val="21"/>
          <w:szCs w:val="21"/>
        </w:rPr>
        <w:t>Kratzke</w:t>
      </w:r>
      <w:proofErr w:type="spellEnd"/>
      <w:r>
        <w:rPr>
          <w:sz w:val="21"/>
          <w:szCs w:val="21"/>
        </w:rPr>
        <w:t xml:space="preserve"> [1] showed that HITS authority values discriminate cleanly between a heterogeneous "blue" community and a tightly authority-concentrated "red" echo chamber, whereas conventional centrality measures (PageRank, betweenness, closeness) largely overlap between the two groups.</w:t>
      </w:r>
    </w:p>
    <w:p w14:paraId="5DCE45AF" w14:textId="77777777" w:rsidR="00086012" w:rsidRDefault="008940CC">
      <w:pPr>
        <w:spacing w:after="160" w:line="276" w:lineRule="auto"/>
        <w:jc w:val="both"/>
      </w:pPr>
      <w:r>
        <w:rPr>
          <w:sz w:val="21"/>
          <w:szCs w:val="21"/>
        </w:rPr>
        <w:t xml:space="preserve">A statistically stricter alternative is offered by </w:t>
      </w:r>
      <w:proofErr w:type="spellStart"/>
      <w:r>
        <w:rPr>
          <w:sz w:val="21"/>
          <w:szCs w:val="21"/>
        </w:rPr>
        <w:t>Pratelli</w:t>
      </w:r>
      <w:proofErr w:type="spellEnd"/>
      <w:r>
        <w:rPr>
          <w:sz w:val="21"/>
          <w:szCs w:val="21"/>
        </w:rPr>
        <w:t xml:space="preserve">, </w:t>
      </w:r>
      <w:proofErr w:type="spellStart"/>
      <w:r>
        <w:rPr>
          <w:sz w:val="21"/>
          <w:szCs w:val="21"/>
        </w:rPr>
        <w:t>Saracco</w:t>
      </w:r>
      <w:proofErr w:type="spellEnd"/>
      <w:r>
        <w:rPr>
          <w:sz w:val="21"/>
          <w:szCs w:val="21"/>
        </w:rPr>
        <w:t xml:space="preserve">, and </w:t>
      </w:r>
      <w:proofErr w:type="spellStart"/>
      <w:r>
        <w:rPr>
          <w:sz w:val="21"/>
          <w:szCs w:val="21"/>
        </w:rPr>
        <w:t>Petrocchi</w:t>
      </w:r>
      <w:proofErr w:type="spellEnd"/>
      <w:r>
        <w:rPr>
          <w:sz w:val="21"/>
          <w:szCs w:val="21"/>
        </w:rPr>
        <w:t xml:space="preserve"> [2], who validate co-occurrence networks of verified users and of shared URLs against the Bipartite Configuration Model [14], an entropy-maximizing null model that discards any similarity explainable by chance alone. An echo chamber is then defined as the set of users who simultaneously belong to the same statistically validated discursive community, the same news-engagement community, and the same weakly connected retweet component. Applied to the Italian Covid-19 vaccination debate, this method found that echo chambers comprised well under one percent of all users yet accounted for close to a third of all retweets in their discursive community, and that echo-chamber members shared </w:t>
      </w:r>
      <w:proofErr w:type="spellStart"/>
      <w:r>
        <w:rPr>
          <w:sz w:val="21"/>
          <w:szCs w:val="21"/>
        </w:rPr>
        <w:t>disinformative</w:t>
      </w:r>
      <w:proofErr w:type="spellEnd"/>
      <w:r>
        <w:rPr>
          <w:sz w:val="21"/>
          <w:szCs w:val="21"/>
        </w:rPr>
        <w:t xml:space="preserve"> content at roughly three times the rate of other users.</w:t>
      </w:r>
    </w:p>
    <w:p w14:paraId="4D544276" w14:textId="77777777" w:rsidR="00086012" w:rsidRDefault="008940CC">
      <w:pPr>
        <w:spacing w:before="200" w:after="120"/>
      </w:pPr>
      <w:r>
        <w:rPr>
          <w:b/>
          <w:bCs/>
          <w:i/>
          <w:iCs/>
          <w:sz w:val="21"/>
          <w:szCs w:val="21"/>
        </w:rPr>
        <w:t>C. Network-Science Building Blocks Used in This Work</w:t>
      </w:r>
    </w:p>
    <w:p w14:paraId="34867452" w14:textId="77777777" w:rsidR="00086012" w:rsidRDefault="008940CC">
      <w:pPr>
        <w:spacing w:after="160" w:line="276" w:lineRule="auto"/>
        <w:jc w:val="both"/>
      </w:pPr>
      <w:r>
        <w:rPr>
          <w:sz w:val="21"/>
          <w:szCs w:val="21"/>
        </w:rPr>
        <w:t xml:space="preserve">Beyond modularity and HITS, the CECS formula draws on three additional, well-established network-science constructs. The local clustering coefficient of Watts and </w:t>
      </w:r>
      <w:proofErr w:type="spellStart"/>
      <w:r>
        <w:rPr>
          <w:sz w:val="21"/>
          <w:szCs w:val="21"/>
        </w:rPr>
        <w:t>Strogatz</w:t>
      </w:r>
      <w:proofErr w:type="spellEnd"/>
      <w:r>
        <w:rPr>
          <w:sz w:val="21"/>
          <w:szCs w:val="21"/>
        </w:rPr>
        <w:t xml:space="preserve"> [12] measures how interconnected a node's neighbors are and is used here to quantify a community's internal social fabric. The External–Internal (E/I) Index of </w:t>
      </w:r>
      <w:proofErr w:type="spellStart"/>
      <w:r>
        <w:rPr>
          <w:sz w:val="21"/>
          <w:szCs w:val="21"/>
        </w:rPr>
        <w:t>Krackhardt</w:t>
      </w:r>
      <w:proofErr w:type="spellEnd"/>
      <w:r>
        <w:rPr>
          <w:sz w:val="21"/>
          <w:szCs w:val="21"/>
        </w:rPr>
        <w:t xml:space="preserve"> and Stern [11], originally developed to study clique formation in organizational networks, offers one of the earliest formal definitions of group boundary permeability and is one of the three boundary metrics whose redundancy we test in Section III. Finally, Shannon entropy [13] is used to characterize how a community distributes its external attention, distinguishing communities with a diffuse information diet from those fixated on a single external target.</w:t>
      </w:r>
    </w:p>
    <w:p w14:paraId="25294442" w14:textId="77777777" w:rsidR="00086012" w:rsidRDefault="008940CC">
      <w:pPr>
        <w:spacing w:before="200" w:after="120"/>
      </w:pPr>
      <w:r>
        <w:rPr>
          <w:b/>
          <w:bCs/>
          <w:i/>
          <w:iCs/>
          <w:sz w:val="21"/>
          <w:szCs w:val="21"/>
        </w:rPr>
        <w:t>D. Recent Advances (2022–2025)</w:t>
      </w:r>
    </w:p>
    <w:p w14:paraId="3B2C62FB" w14:textId="77777777" w:rsidR="00086012" w:rsidRDefault="008940CC">
      <w:pPr>
        <w:spacing w:after="160" w:line="276" w:lineRule="auto"/>
        <w:jc w:val="both"/>
      </w:pPr>
      <w:r>
        <w:rPr>
          <w:sz w:val="21"/>
          <w:szCs w:val="21"/>
        </w:rPr>
        <w:t xml:space="preserve">Two recent surveys confirm that the field still lacks a single, widely accepted way to quantify an echo chamber. </w:t>
      </w:r>
      <w:proofErr w:type="spellStart"/>
      <w:r>
        <w:rPr>
          <w:sz w:val="21"/>
          <w:szCs w:val="21"/>
        </w:rPr>
        <w:t>Mahmoudi</w:t>
      </w:r>
      <w:proofErr w:type="spellEnd"/>
      <w:r>
        <w:rPr>
          <w:sz w:val="21"/>
          <w:szCs w:val="21"/>
        </w:rPr>
        <w:t xml:space="preserve">, </w:t>
      </w:r>
      <w:proofErr w:type="spellStart"/>
      <w:r>
        <w:rPr>
          <w:sz w:val="21"/>
          <w:szCs w:val="21"/>
        </w:rPr>
        <w:t>Jemielniak</w:t>
      </w:r>
      <w:proofErr w:type="spellEnd"/>
      <w:r>
        <w:rPr>
          <w:sz w:val="21"/>
          <w:szCs w:val="21"/>
        </w:rPr>
        <w:t xml:space="preserve">, and </w:t>
      </w:r>
      <w:proofErr w:type="spellStart"/>
      <w:r>
        <w:rPr>
          <w:sz w:val="21"/>
          <w:szCs w:val="21"/>
        </w:rPr>
        <w:t>Ciechanowski</w:t>
      </w:r>
      <w:proofErr w:type="spellEnd"/>
      <w:r>
        <w:rPr>
          <w:sz w:val="21"/>
          <w:szCs w:val="21"/>
        </w:rPr>
        <w:t xml:space="preserve"> [15] systematically reviewed a decade of echo-chamber research and organized it around attributes, mechanisms, modeling, detection, and mitigation, concluding that terminology and metrics remain fragmented across studies. Zhu, Cheng, Lakshmanan, Li, Ma, and Najafi [16] extend this synthesis with a taxonomy of detection methods (topology-based, content-based, and hybrid) and measurement metrics (network-segregation-based, opinion-homogeneity-based, and hybrid), explicitly noting that no single metric is treated as authoritative and that boundary-style measures such as conductance, coverage, and the E/I Index are routinely reported side by side without an established procedure for reconciling their overlap — precisely the redundancy problem that motivated the boundary-metric analysis in Section III-A of this paper.</w:t>
      </w:r>
    </w:p>
    <w:p w14:paraId="30DE0A35" w14:textId="77777777" w:rsidR="00086012" w:rsidRDefault="008940CC">
      <w:pPr>
        <w:spacing w:after="160" w:line="276" w:lineRule="auto"/>
        <w:jc w:val="both"/>
      </w:pPr>
      <w:r>
        <w:rPr>
          <w:sz w:val="21"/>
          <w:szCs w:val="21"/>
        </w:rPr>
        <w:t xml:space="preserve">Within the topology-based family, several works illustrate the same size-bias concern that motivates our Modularity Contribution dimension. Guerra, Meira, </w:t>
      </w:r>
      <w:proofErr w:type="spellStart"/>
      <w:r>
        <w:rPr>
          <w:sz w:val="21"/>
          <w:szCs w:val="21"/>
        </w:rPr>
        <w:t>Cardie</w:t>
      </w:r>
      <w:proofErr w:type="spellEnd"/>
      <w:r>
        <w:rPr>
          <w:sz w:val="21"/>
          <w:szCs w:val="21"/>
        </w:rPr>
        <w:t xml:space="preserve">, and Kleinberg [20] observed that non-polarized networks can still exhibit positive modularity, and proposed Boundary Connectivity as a correction that examines only the antagonism of boundary nodes rather than a community's overall cohesion. </w:t>
      </w:r>
      <w:proofErr w:type="spellStart"/>
      <w:r>
        <w:rPr>
          <w:sz w:val="21"/>
          <w:szCs w:val="21"/>
        </w:rPr>
        <w:t>Garimella</w:t>
      </w:r>
      <w:proofErr w:type="spellEnd"/>
      <w:r>
        <w:rPr>
          <w:sz w:val="21"/>
          <w:szCs w:val="21"/>
        </w:rPr>
        <w:t xml:space="preserve">, De </w:t>
      </w:r>
      <w:proofErr w:type="spellStart"/>
      <w:r>
        <w:rPr>
          <w:sz w:val="21"/>
          <w:szCs w:val="21"/>
        </w:rPr>
        <w:t>Francisci</w:t>
      </w:r>
      <w:proofErr w:type="spellEnd"/>
      <w:r>
        <w:rPr>
          <w:sz w:val="21"/>
          <w:szCs w:val="21"/>
        </w:rPr>
        <w:t xml:space="preserve"> Morales, </w:t>
      </w:r>
      <w:proofErr w:type="spellStart"/>
      <w:r>
        <w:rPr>
          <w:sz w:val="21"/>
          <w:szCs w:val="21"/>
        </w:rPr>
        <w:t>Gionis</w:t>
      </w:r>
      <w:proofErr w:type="spellEnd"/>
      <w:r>
        <w:rPr>
          <w:sz w:val="21"/>
          <w:szCs w:val="21"/>
        </w:rPr>
        <w:t xml:space="preserve">, and </w:t>
      </w:r>
      <w:proofErr w:type="spellStart"/>
      <w:r>
        <w:rPr>
          <w:sz w:val="21"/>
          <w:szCs w:val="21"/>
        </w:rPr>
        <w:t>Mathioudakis</w:t>
      </w:r>
      <w:proofErr w:type="spellEnd"/>
      <w:r>
        <w:rPr>
          <w:sz w:val="21"/>
          <w:szCs w:val="21"/>
        </w:rPr>
        <w:t xml:space="preserve"> [21] introduced the Random-Walk Controversy score, which estimates isolation through the probability that a random walk started inside a community remains there, an approach later reused in several structural echo-chamber studies. More recent structural pipelines continue this tradition on live datasets: </w:t>
      </w:r>
      <w:proofErr w:type="spellStart"/>
      <w:r>
        <w:rPr>
          <w:sz w:val="21"/>
          <w:szCs w:val="21"/>
        </w:rPr>
        <w:t>Kavargyris</w:t>
      </w:r>
      <w:proofErr w:type="spellEnd"/>
      <w:r>
        <w:rPr>
          <w:sz w:val="21"/>
          <w:szCs w:val="21"/>
        </w:rPr>
        <w:t xml:space="preserve">, Georgiou, and Angelis [23] combined social-network and content analysis in the </w:t>
      </w:r>
      <w:proofErr w:type="spellStart"/>
      <w:r>
        <w:rPr>
          <w:sz w:val="21"/>
          <w:szCs w:val="21"/>
        </w:rPr>
        <w:t>EchoSense</w:t>
      </w:r>
      <w:proofErr w:type="spellEnd"/>
      <w:r>
        <w:rPr>
          <w:sz w:val="21"/>
          <w:szCs w:val="21"/>
        </w:rPr>
        <w:t xml:space="preserve"> framework applied to the 2022 Qatar World Cup discourse, and </w:t>
      </w:r>
      <w:proofErr w:type="spellStart"/>
      <w:r>
        <w:rPr>
          <w:sz w:val="21"/>
          <w:szCs w:val="21"/>
        </w:rPr>
        <w:t>Pasquini</w:t>
      </w:r>
      <w:proofErr w:type="spellEnd"/>
      <w:r>
        <w:rPr>
          <w:sz w:val="21"/>
          <w:szCs w:val="21"/>
        </w:rPr>
        <w:t xml:space="preserve">, </w:t>
      </w:r>
      <w:proofErr w:type="spellStart"/>
      <w:r>
        <w:rPr>
          <w:sz w:val="21"/>
          <w:szCs w:val="21"/>
        </w:rPr>
        <w:t>Vocca</w:t>
      </w:r>
      <w:proofErr w:type="spellEnd"/>
      <w:r>
        <w:rPr>
          <w:sz w:val="21"/>
          <w:szCs w:val="21"/>
        </w:rPr>
        <w:t>, and Amati [22] proposed a hybrid graph-based framework for disinformation-network detection on the Italian Twitter/X sphere, closely mirroring the graph-construction and community-partitioning pipeline of [1].</w:t>
      </w:r>
    </w:p>
    <w:p w14:paraId="513A509F" w14:textId="77777777" w:rsidR="00086012" w:rsidRDefault="008940CC">
      <w:pPr>
        <w:spacing w:after="160" w:line="276" w:lineRule="auto"/>
        <w:jc w:val="both"/>
      </w:pPr>
      <w:r>
        <w:rPr>
          <w:sz w:val="21"/>
          <w:szCs w:val="21"/>
        </w:rPr>
        <w:lastRenderedPageBreak/>
        <w:t xml:space="preserve">A parallel, more recent line of work moves away from purely structural or count-based metrics toward learned representations. </w:t>
      </w:r>
      <w:proofErr w:type="spellStart"/>
      <w:r>
        <w:rPr>
          <w:sz w:val="21"/>
          <w:szCs w:val="21"/>
        </w:rPr>
        <w:t>Minici</w:t>
      </w:r>
      <w:proofErr w:type="spellEnd"/>
      <w:r>
        <w:rPr>
          <w:sz w:val="21"/>
          <w:szCs w:val="21"/>
        </w:rPr>
        <w:t xml:space="preserve">, </w:t>
      </w:r>
      <w:proofErr w:type="spellStart"/>
      <w:r>
        <w:rPr>
          <w:sz w:val="21"/>
          <w:szCs w:val="21"/>
        </w:rPr>
        <w:t>Cinus</w:t>
      </w:r>
      <w:proofErr w:type="spellEnd"/>
      <w:r>
        <w:rPr>
          <w:sz w:val="21"/>
          <w:szCs w:val="21"/>
        </w:rPr>
        <w:t xml:space="preserve">, Monti, </w:t>
      </w:r>
      <w:proofErr w:type="spellStart"/>
      <w:r>
        <w:rPr>
          <w:sz w:val="21"/>
          <w:szCs w:val="21"/>
        </w:rPr>
        <w:t>Bonchi</w:t>
      </w:r>
      <w:proofErr w:type="spellEnd"/>
      <w:r>
        <w:rPr>
          <w:sz w:val="21"/>
          <w:szCs w:val="21"/>
        </w:rPr>
        <w:t xml:space="preserve">, and Manco [17] proposed a cascade-based probabilistic generative model that jointly fits social connections and information-cascade data to identify latent echo-chamber communities. </w:t>
      </w:r>
      <w:proofErr w:type="spellStart"/>
      <w:r>
        <w:rPr>
          <w:sz w:val="21"/>
          <w:szCs w:val="21"/>
        </w:rPr>
        <w:t>Alatawi</w:t>
      </w:r>
      <w:proofErr w:type="spellEnd"/>
      <w:r>
        <w:rPr>
          <w:sz w:val="21"/>
          <w:szCs w:val="21"/>
        </w:rPr>
        <w:t xml:space="preserve">, </w:t>
      </w:r>
      <w:proofErr w:type="spellStart"/>
      <w:r>
        <w:rPr>
          <w:sz w:val="21"/>
          <w:szCs w:val="21"/>
        </w:rPr>
        <w:t>Sheth</w:t>
      </w:r>
      <w:proofErr w:type="spellEnd"/>
      <w:r>
        <w:rPr>
          <w:sz w:val="21"/>
          <w:szCs w:val="21"/>
        </w:rPr>
        <w:t xml:space="preserve">, and Liu [18] introduced an embedding-distance-based Echo Chamber Score (ECS) that first embeds users with a graph auto-encoder and then measures each community's cohesion against its separation from neighboring communities, in a construction reminiscent of the silhouette coefficient. </w:t>
      </w:r>
      <w:proofErr w:type="spellStart"/>
      <w:r>
        <w:rPr>
          <w:sz w:val="21"/>
          <w:szCs w:val="21"/>
        </w:rPr>
        <w:t>Ghafouri</w:t>
      </w:r>
      <w:proofErr w:type="spellEnd"/>
      <w:r>
        <w:rPr>
          <w:sz w:val="21"/>
          <w:szCs w:val="21"/>
        </w:rPr>
        <w:t xml:space="preserve">, </w:t>
      </w:r>
      <w:proofErr w:type="spellStart"/>
      <w:r>
        <w:rPr>
          <w:sz w:val="21"/>
          <w:szCs w:val="21"/>
        </w:rPr>
        <w:t>Alatawi</w:t>
      </w:r>
      <w:proofErr w:type="spellEnd"/>
      <w:r>
        <w:rPr>
          <w:sz w:val="21"/>
          <w:szCs w:val="21"/>
        </w:rPr>
        <w:t xml:space="preserve">, </w:t>
      </w:r>
      <w:proofErr w:type="spellStart"/>
      <w:r>
        <w:rPr>
          <w:sz w:val="21"/>
          <w:szCs w:val="21"/>
        </w:rPr>
        <w:t>Karami</w:t>
      </w:r>
      <w:proofErr w:type="spellEnd"/>
      <w:r>
        <w:rPr>
          <w:sz w:val="21"/>
          <w:szCs w:val="21"/>
        </w:rPr>
        <w:t>, Such, and Suarez-</w:t>
      </w:r>
      <w:proofErr w:type="spellStart"/>
      <w:r>
        <w:rPr>
          <w:sz w:val="21"/>
          <w:szCs w:val="21"/>
        </w:rPr>
        <w:t>Tangil</w:t>
      </w:r>
      <w:proofErr w:type="spellEnd"/>
      <w:r>
        <w:rPr>
          <w:sz w:val="21"/>
          <w:szCs w:val="21"/>
        </w:rPr>
        <w:t xml:space="preserve"> [19] went further and used Transformer-based language embeddings to quantify an echo chamber through the inverse of user diversity and the linear separability between chambers, explicitly arguing that purely network-based, "one-dimensional" measures ignore users' semantic behavior. These embedding-based scores are powerful but require training a representation-learning model and, in the case of [19], a full NLP pipeline; CECS deliberately trades that expressiveness for a fully interpretable, closed-form, language-independent formula whose five components can each be audited and re-weighted individually. Finally, at a larger, cross-platform scale, Falkenberg, </w:t>
      </w:r>
      <w:proofErr w:type="spellStart"/>
      <w:r>
        <w:rPr>
          <w:sz w:val="21"/>
          <w:szCs w:val="21"/>
        </w:rPr>
        <w:t>Zollo</w:t>
      </w:r>
      <w:proofErr w:type="spellEnd"/>
      <w:r>
        <w:rPr>
          <w:sz w:val="21"/>
          <w:szCs w:val="21"/>
        </w:rPr>
        <w:t xml:space="preserve">, </w:t>
      </w:r>
      <w:proofErr w:type="spellStart"/>
      <w:r>
        <w:rPr>
          <w:sz w:val="21"/>
          <w:szCs w:val="21"/>
        </w:rPr>
        <w:t>Quattrociocchi</w:t>
      </w:r>
      <w:proofErr w:type="spellEnd"/>
      <w:r>
        <w:rPr>
          <w:sz w:val="21"/>
          <w:szCs w:val="21"/>
        </w:rPr>
        <w:t xml:space="preserve">, Pfeffer, and </w:t>
      </w:r>
      <w:proofErr w:type="spellStart"/>
      <w:r>
        <w:rPr>
          <w:sz w:val="21"/>
          <w:szCs w:val="21"/>
        </w:rPr>
        <w:t>Baronchelli</w:t>
      </w:r>
      <w:proofErr w:type="spellEnd"/>
      <w:r>
        <w:rPr>
          <w:sz w:val="21"/>
          <w:szCs w:val="21"/>
        </w:rPr>
        <w:t xml:space="preserve"> [24] analyzed partisan toxicity and engagement patterns across several countries' online political communication and found common structural regularities, reinforcing that the phenomena CECS aims to score — sealed boundaries, disproportionate internal cohesion, and powerless outward bridges — recur across languages and platforms rather than being an artifact of any single dataset.</w:t>
      </w:r>
    </w:p>
    <w:p w14:paraId="4533B489" w14:textId="77777777" w:rsidR="00086012" w:rsidRDefault="008940CC">
      <w:pPr>
        <w:spacing w:before="200" w:after="120"/>
      </w:pPr>
      <w:r>
        <w:rPr>
          <w:b/>
          <w:bCs/>
          <w:i/>
          <w:iCs/>
          <w:sz w:val="21"/>
          <w:szCs w:val="21"/>
        </w:rPr>
        <w:t>E. Positioning of the Present Work</w:t>
      </w:r>
    </w:p>
    <w:p w14:paraId="6BA1BE43" w14:textId="77777777" w:rsidR="00086012" w:rsidRDefault="008940CC">
      <w:pPr>
        <w:spacing w:after="160" w:line="276" w:lineRule="auto"/>
        <w:jc w:val="both"/>
      </w:pPr>
      <w:r>
        <w:rPr>
          <w:sz w:val="21"/>
          <w:szCs w:val="21"/>
        </w:rPr>
        <w:t>Table-level comparison of [1] and [2] suggests a complementary gap: the former is inexpensive and content-agnostic but reduces community behavior to a single authority-based label, while the latter is statistically principled but requires verified-user metadata and URL-sharing volume that may not be available for every dataset or language. Set against the broader 2022–2025 landscape reviewed above, CECS is designed as a middle path: it remains entirely structural and content-agnostic, like [1], [22], and [23], but replaces a single link-analysis score with five deliberately non-redundant dimensions — one of which (Modularity Contribution) explicitly corrects for the size bias flagged by [20], while another (Deafness) targets the boundary-antagonism concern raised by [20] and [21] from the complementary angle of bridging-user influence rather than edge counts alone.</w:t>
      </w:r>
    </w:p>
    <w:p w14:paraId="370D1005" w14:textId="77777777" w:rsidR="00086012" w:rsidRDefault="008940CC">
      <w:pPr>
        <w:spacing w:before="300" w:after="160"/>
      </w:pPr>
      <w:r>
        <w:rPr>
          <w:b/>
          <w:bCs/>
          <w:sz w:val="22"/>
          <w:szCs w:val="22"/>
        </w:rPr>
        <w:t>III. METHODOLOGY</w:t>
      </w:r>
    </w:p>
    <w:p w14:paraId="0B2C5714" w14:textId="7BC6D7EE" w:rsidR="00086012" w:rsidRDefault="008940CC">
      <w:pPr>
        <w:spacing w:after="160" w:line="276" w:lineRule="auto"/>
        <w:jc w:val="both"/>
      </w:pPr>
      <w:r>
        <w:rPr>
          <w:sz w:val="21"/>
          <w:szCs w:val="21"/>
        </w:rPr>
        <w:t xml:space="preserve">CECS is computed per community on a weighted, directed retweet graph </w:t>
      </w:r>
      <m:oMath>
        <m:r>
          <w:rPr>
            <w:rFonts w:ascii="Cambria Math" w:hAnsi="Cambria Math"/>
            <w:sz w:val="21"/>
            <w:szCs w:val="21"/>
          </w:rPr>
          <m:t>G = (V, E, W)</m:t>
        </m:r>
      </m:oMath>
      <w:r>
        <w:rPr>
          <w:sz w:val="21"/>
          <w:szCs w:val="21"/>
        </w:rPr>
        <w:t xml:space="preserve">, where an edge </w:t>
      </w:r>
      <m:oMath>
        <m:r>
          <w:rPr>
            <w:rFonts w:ascii="Cambria Math" w:hAnsi="Cambria Math"/>
            <w:sz w:val="21"/>
            <w:szCs w:val="21"/>
          </w:rPr>
          <m:t>(u, v)</m:t>
        </m:r>
      </m:oMath>
      <w:r>
        <w:rPr>
          <w:sz w:val="21"/>
          <w:szCs w:val="21"/>
        </w:rPr>
        <w:t xml:space="preserve"> with weight </w:t>
      </w:r>
      <m:oMath>
        <m:r>
          <w:rPr>
            <w:rFonts w:ascii="Cambria Math" w:hAnsi="Cambria Math"/>
            <w:sz w:val="21"/>
            <w:szCs w:val="21"/>
          </w:rPr>
          <m:t>w(u, v)</m:t>
        </m:r>
      </m:oMath>
      <w:r>
        <w:rPr>
          <w:sz w:val="21"/>
          <w:szCs w:val="21"/>
        </w:rPr>
        <w:t xml:space="preserve"> denotes that user u retweeted user </w:t>
      </w:r>
      <m:oMath>
        <m:r>
          <w:rPr>
            <w:rFonts w:ascii="Cambria Math" w:hAnsi="Cambria Math"/>
            <w:sz w:val="21"/>
            <w:szCs w:val="21"/>
          </w:rPr>
          <m:t>v</m:t>
        </m:r>
      </m:oMath>
      <w:r>
        <w:rPr>
          <w:sz w:val="21"/>
          <w:szCs w:val="21"/>
        </w:rPr>
        <w:t xml:space="preserve"> </w:t>
      </w:r>
      <m:oMath>
        <m:r>
          <w:rPr>
            <w:rFonts w:ascii="Cambria Math" w:hAnsi="Cambria Math"/>
            <w:sz w:val="21"/>
            <w:szCs w:val="21"/>
          </w:rPr>
          <m:t>w(u, v)</m:t>
        </m:r>
      </m:oMath>
      <w:r>
        <w:rPr>
          <w:sz w:val="21"/>
          <w:szCs w:val="21"/>
        </w:rPr>
        <w:t xml:space="preserve"> times over the observation window. Communities are first extracted with a standard modularity-based partitioning algorithm [8], following the same graph-building and largest-connected-component procedure used in prior structural work [1]. For every resulting community c, we compute the internal edge weight </w:t>
      </w:r>
      <m:oMath>
        <m:r>
          <w:rPr>
            <w:rFonts w:ascii="Cambria Math" w:hAnsi="Cambria Math"/>
            <w:sz w:val="21"/>
            <w:szCs w:val="21"/>
          </w:rPr>
          <m:t>W</m:t>
        </m:r>
      </m:oMath>
    </w:p>
    <w:p w14:paraId="3F1543C7" w14:textId="77777777" w:rsidR="00086012" w:rsidRDefault="008940CC">
      <w:pPr>
        <w:spacing w:before="120" w:after="120"/>
        <w:jc w:val="center"/>
      </w:pPr>
      <w:r>
        <w:rPr>
          <w:sz w:val="21"/>
          <w:szCs w:val="21"/>
        </w:rPr>
        <w:t xml:space="preserve">int and the boundary (external) edge weight </w:t>
      </w:r>
    </w:p>
    <w:p w14:paraId="2DD5F4E6" w14:textId="77777777" w:rsidR="00086012" w:rsidRDefault="008940CC">
      <w:pPr>
        <w:spacing w:after="160" w:line="276" w:lineRule="auto"/>
        <w:jc w:val="both"/>
      </w:pPr>
      <w:r>
        <w:rPr>
          <w:sz w:val="21"/>
          <w:szCs w:val="21"/>
        </w:rPr>
        <w:t>Wₑₓₜ, defined respectively as the total weight of edges whose endpoints both lie in c, and the total weight of edges that connect a node in c to a node outside c. All five CECS dimensions below are derived from these two quantities together with the community's internal topology and its members' external connections.</w:t>
      </w:r>
    </w:p>
    <w:p w14:paraId="0420D999" w14:textId="77777777" w:rsidR="00086012" w:rsidRDefault="008940CC">
      <w:pPr>
        <w:spacing w:before="200" w:after="120"/>
      </w:pPr>
      <w:r>
        <w:rPr>
          <w:b/>
          <w:bCs/>
          <w:i/>
          <w:iCs/>
          <w:sz w:val="21"/>
          <w:szCs w:val="21"/>
        </w:rPr>
        <w:t>A. Redundancy of Boundary Metrics</w:t>
      </w:r>
    </w:p>
    <w:p w14:paraId="7B488557" w14:textId="77777777" w:rsidR="00086012" w:rsidRDefault="008940CC">
      <w:pPr>
        <w:spacing w:after="160" w:line="276" w:lineRule="auto"/>
        <w:jc w:val="both"/>
      </w:pPr>
      <w:r>
        <w:rPr>
          <w:sz w:val="21"/>
          <w:szCs w:val="21"/>
        </w:rPr>
        <w:t>Three metrics have been proposed in the literature to describe how sealed a community's boundary is:</w:t>
      </w:r>
    </w:p>
    <w:p w14:paraId="39E3D7D2" w14:textId="77777777" w:rsidR="00FE5D6F" w:rsidRPr="00FE5D6F" w:rsidRDefault="00FE5D6F" w:rsidP="00FE5D6F">
      <w:pPr>
        <w:spacing w:before="120" w:after="120" w:line="360" w:lineRule="auto"/>
        <w:jc w:val="center"/>
        <w:rPr>
          <w:sz w:val="24"/>
          <w:szCs w:val="24"/>
        </w:rPr>
      </w:pPr>
      <m:oMathPara>
        <m:oMath>
          <m:r>
            <w:rPr>
              <w:rFonts w:ascii="Cambria Math" w:hAnsi="Cambria Math"/>
              <w:sz w:val="24"/>
              <w:szCs w:val="24"/>
            </w:rPr>
            <m:t>IM=</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int</m:t>
                  </m:r>
                </m:sub>
              </m:sSub>
              <m:r>
                <w:rPr>
                  <w:rFonts w:ascii="Cambria Math" w:hAnsi="Cambria Math"/>
                  <w:sz w:val="24"/>
                  <w:szCs w:val="24"/>
                </w:rPr>
                <m:t>​</m:t>
              </m:r>
            </m:num>
            <m:den>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ext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 W</m:t>
                  </m:r>
                </m:e>
                <m:sub>
                  <m:r>
                    <w:rPr>
                      <w:rFonts w:ascii="Cambria Math" w:hAnsi="Cambria Math"/>
                      <w:sz w:val="24"/>
                      <w:szCs w:val="24"/>
                    </w:rPr>
                    <m:t>int​​</m:t>
                  </m:r>
                </m:sub>
              </m:sSub>
            </m:den>
          </m:f>
        </m:oMath>
      </m:oMathPara>
    </w:p>
    <w:p w14:paraId="612FB37F" w14:textId="5B4C62E9" w:rsidR="00086012" w:rsidRPr="00FE5D6F" w:rsidRDefault="00086012" w:rsidP="00FE5D6F">
      <w:pPr>
        <w:spacing w:before="120" w:after="120" w:line="360" w:lineRule="auto"/>
        <w:jc w:val="center"/>
        <w:rPr>
          <w:sz w:val="24"/>
          <w:szCs w:val="24"/>
        </w:rPr>
      </w:pPr>
    </w:p>
    <w:p w14:paraId="1C7B5B90" w14:textId="437471C3" w:rsidR="00FE5D6F" w:rsidRPr="00FE5D6F" w:rsidRDefault="00FE5D6F" w:rsidP="00FE5D6F">
      <w:pPr>
        <w:spacing w:before="120" w:after="120" w:line="360" w:lineRule="auto"/>
        <w:jc w:val="center"/>
        <w:rPr>
          <w:sz w:val="24"/>
          <w:szCs w:val="24"/>
        </w:rPr>
      </w:pPr>
      <m:oMathPara>
        <m:oMath>
          <m:r>
            <w:rPr>
              <w:rFonts w:ascii="Cambria Math" w:hAnsi="Cambria Math" w:cstheme="majorBidi"/>
              <w:sz w:val="24"/>
              <w:szCs w:val="24"/>
            </w:rPr>
            <m:t>E/I=</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ext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 W</m:t>
                  </m:r>
                </m:e>
                <m:sub>
                  <m:r>
                    <w:rPr>
                      <w:rFonts w:ascii="Cambria Math" w:hAnsi="Cambria Math" w:cstheme="majorBidi"/>
                      <w:sz w:val="24"/>
                      <w:szCs w:val="24"/>
                    </w:rPr>
                    <m:t>int​​</m:t>
                  </m:r>
                </m:sub>
              </m:sSub>
            </m:num>
            <m:den>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ext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 W</m:t>
                  </m:r>
                </m:e>
                <m:sub>
                  <m:r>
                    <w:rPr>
                      <w:rFonts w:ascii="Cambria Math" w:hAnsi="Cambria Math" w:cstheme="majorBidi"/>
                      <w:sz w:val="24"/>
                      <w:szCs w:val="24"/>
                    </w:rPr>
                    <m:t>int​​</m:t>
                  </m:r>
                </m:sub>
              </m:sSub>
            </m:den>
          </m:f>
        </m:oMath>
      </m:oMathPara>
    </w:p>
    <w:p w14:paraId="533F8361" w14:textId="4611F3D9" w:rsidR="00FE5D6F" w:rsidRPr="00FE5D6F" w:rsidRDefault="00FE5D6F" w:rsidP="00FE5D6F">
      <w:pPr>
        <w:spacing w:before="120" w:after="120" w:line="360" w:lineRule="auto"/>
        <w:jc w:val="center"/>
        <w:rPr>
          <w:sz w:val="24"/>
          <w:szCs w:val="24"/>
        </w:rPr>
      </w:pPr>
      <m:oMathPara>
        <m:oMath>
          <m:r>
            <w:rPr>
              <w:rFonts w:ascii="Cambria Math" w:hAnsi="Cambria Math" w:cstheme="majorBidi"/>
              <w:sz w:val="24"/>
              <w:szCs w:val="24"/>
            </w:rPr>
            <m:t>Φ=</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ext</m:t>
                  </m:r>
                </m:sub>
              </m:sSub>
              <m:r>
                <w:rPr>
                  <w:rFonts w:ascii="Cambria Math" w:hAnsi="Cambria Math" w:cstheme="majorBidi"/>
                  <w:sz w:val="24"/>
                  <w:szCs w:val="24"/>
                </w:rPr>
                <m:t>​</m:t>
              </m:r>
            </m:num>
            <m:den>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ext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 W</m:t>
                  </m:r>
                </m:e>
                <m:sub>
                  <m:r>
                    <w:rPr>
                      <w:rFonts w:ascii="Cambria Math" w:hAnsi="Cambria Math" w:cstheme="majorBidi"/>
                      <w:sz w:val="24"/>
                      <w:szCs w:val="24"/>
                    </w:rPr>
                    <m:t>int​​</m:t>
                  </m:r>
                </m:sub>
              </m:sSub>
            </m:den>
          </m:f>
        </m:oMath>
      </m:oMathPara>
    </w:p>
    <w:p w14:paraId="04016F28" w14:textId="77777777" w:rsidR="00FE5D6F" w:rsidRDefault="00FE5D6F">
      <w:pPr>
        <w:spacing w:before="120" w:after="120"/>
        <w:jc w:val="center"/>
      </w:pPr>
    </w:p>
    <w:p w14:paraId="44152D00" w14:textId="3EC7B5FD" w:rsidR="00086012" w:rsidRDefault="008940CC" w:rsidP="002F2AA2">
      <w:pPr>
        <w:spacing w:after="160" w:line="276" w:lineRule="auto"/>
        <w:jc w:val="both"/>
      </w:pPr>
      <w:r>
        <w:rPr>
          <w:sz w:val="21"/>
          <w:szCs w:val="21"/>
        </w:rPr>
        <w:t xml:space="preserve">Each of the three is normalized to a 0–100 scale so that higher values consistently indicate stronger isolation: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I</m:t>
            </m:r>
          </m:sub>
        </m:sSub>
        <m:r>
          <w:rPr>
            <w:rFonts w:ascii="Cambria Math" w:hAnsi="Cambria Math"/>
            <w:sz w:val="21"/>
            <w:szCs w:val="21"/>
          </w:rPr>
          <m:t xml:space="preserve"> = IM × 100</m:t>
        </m:r>
      </m:oMath>
      <w:r>
        <w:rPr>
          <w:sz w:val="21"/>
          <w:szCs w:val="21"/>
        </w:rPr>
        <w:t xml:space="preserve">,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E</m:t>
            </m:r>
          </m:sub>
        </m:sSub>
        <m:r>
          <w:rPr>
            <w:rFonts w:ascii="Cambria Math" w:hAnsi="Cambria Math"/>
            <w:sz w:val="21"/>
            <w:szCs w:val="21"/>
          </w:rPr>
          <m:t xml:space="preserve"> = [(1 - E/I) / 2] × 100</m:t>
        </m:r>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C</m:t>
            </m:r>
          </m:sub>
        </m:sSub>
        <m:r>
          <w:rPr>
            <w:rFonts w:ascii="Cambria Math" w:hAnsi="Cambria Math"/>
            <w:sz w:val="21"/>
            <w:szCs w:val="21"/>
          </w:rPr>
          <m:t xml:space="preserve"> = (1 - Φ) × 100</m:t>
        </m:r>
      </m:oMath>
      <w:r>
        <w:rPr>
          <w:sz w:val="21"/>
          <w:szCs w:val="21"/>
        </w:rPr>
        <w:t xml:space="preserve">. Because all three are algebraic rearrangements of the same underlying ratio of internal to external weight, they are, by construction, monotone transformations of one another. We verified this empirically on a pilot sample of ten macro-communities extracted from the retweet graph (Table I): the pairwise Pearson correlation between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I</m:t>
            </m:r>
          </m:sub>
        </m:sSub>
      </m:oMath>
      <w:r>
        <w:rPr>
          <w:sz w:val="21"/>
          <w:szCs w:val="21"/>
        </w:rPr>
        <w:t xml:space="preserve">,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E</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C</m:t>
            </m:r>
          </m:sub>
        </m:sSub>
      </m:oMath>
      <w:r>
        <w:rPr>
          <w:sz w:val="21"/>
          <w:szCs w:val="21"/>
        </w:rPr>
        <w:t xml:space="preserve"> was 1.00 in every case, confirming that the three metrics carry no independent information. To avoid triple-counting the same structural boundary signal inside a composite score, CECS retains only the Isolation Metric (IM) as its boundary representative.</w:t>
      </w:r>
    </w:p>
    <w:p w14:paraId="7B6C3648" w14:textId="77777777" w:rsidR="00086012" w:rsidRDefault="008940CC">
      <w:pPr>
        <w:spacing w:before="200" w:after="120"/>
      </w:pPr>
      <w:r>
        <w:rPr>
          <w:b/>
          <w:bCs/>
          <w:i/>
          <w:iCs/>
          <w:sz w:val="21"/>
          <w:szCs w:val="21"/>
        </w:rPr>
        <w:t>B. The Five Dimensions of CECS</w:t>
      </w:r>
    </w:p>
    <w:p w14:paraId="016B6DD5" w14:textId="77777777" w:rsidR="00086012" w:rsidRDefault="008940CC">
      <w:pPr>
        <w:spacing w:after="160" w:line="276" w:lineRule="auto"/>
        <w:jc w:val="both"/>
      </w:pPr>
      <w:r>
        <w:rPr>
          <w:sz w:val="21"/>
          <w:szCs w:val="21"/>
        </w:rPr>
        <w:t>Having eliminated redundant boundary metrics, we selected five dimensions that each capture a distinct, non-overlapping mechanism of echo-chamber formation.</w:t>
      </w:r>
    </w:p>
    <w:p w14:paraId="116139A8" w14:textId="396BD855" w:rsidR="00086012" w:rsidRDefault="008940CC">
      <w:pPr>
        <w:spacing w:after="160" w:line="276" w:lineRule="auto"/>
        <w:jc w:val="both"/>
      </w:pPr>
      <w:r>
        <w:rPr>
          <w:sz w:val="21"/>
          <w:szCs w:val="21"/>
        </w:rPr>
        <w:t xml:space="preserve">1) Isolation (30% weight) — the informational wall. Isolation reuses the Isolation Metric above, IM </w:t>
      </w:r>
      <w:r w:rsidR="002F2AA2">
        <w:rPr>
          <w:sz w:val="21"/>
          <w:szCs w:val="21"/>
        </w:rPr>
        <w:t xml:space="preserve">, </w:t>
      </w:r>
      <w:r>
        <w:rPr>
          <w:sz w:val="21"/>
          <w:szCs w:val="21"/>
        </w:rPr>
        <w:t xml:space="preserve">normalized as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vertAlign w:val="subscript"/>
              </w:rPr>
              <m:t>I</m:t>
            </m:r>
          </m:sub>
        </m:sSub>
        <m:r>
          <w:rPr>
            <w:rFonts w:ascii="Cambria Math" w:hAnsi="Cambria Math"/>
            <w:sz w:val="21"/>
            <w:szCs w:val="21"/>
          </w:rPr>
          <m:t xml:space="preserve"> = IM × 100</m:t>
        </m:r>
      </m:oMath>
      <w:r>
        <w:rPr>
          <w:sz w:val="21"/>
          <w:szCs w:val="21"/>
        </w:rPr>
        <w:t>. It quantifies the day-to-day informational entrapment experienced by a community's members: the fraction of all amplification (retweet) weight that never leaves the group. It receives the largest weight in the final formula because it is the most direct operationalization of the defining property of an echo chamber — that information flow remains strictly internal.</w:t>
      </w:r>
    </w:p>
    <w:p w14:paraId="59ED9B20" w14:textId="77777777" w:rsidR="00086012" w:rsidRDefault="008940CC">
      <w:pPr>
        <w:spacing w:after="160" w:line="276" w:lineRule="auto"/>
        <w:jc w:val="both"/>
      </w:pPr>
      <w:r>
        <w:rPr>
          <w:sz w:val="21"/>
          <w:szCs w:val="21"/>
        </w:rPr>
        <w:t>2) Modularity Contribution (20% weight) — correcting for size bias. A community can appear isolated simply because it is large; modularity contribution corrects for this by comparing the community's observed internal cohesion to what a random graph with the same degree sequence would produce [9]:</w:t>
      </w:r>
    </w:p>
    <w:p w14:paraId="22796779" w14:textId="77777777" w:rsidR="002F2AA2" w:rsidRPr="002F2AA2" w:rsidRDefault="0054222D" w:rsidP="002F2AA2">
      <w:pPr>
        <w:spacing w:after="160" w:line="276" w:lineRule="auto"/>
        <w:jc w:val="both"/>
        <w:rPr>
          <w:iCs/>
          <w:sz w:val="21"/>
          <w:szCs w:val="21"/>
        </w:rPr>
      </w:pPr>
      <m:oMathPara>
        <m:oMath>
          <m:sSub>
            <m:sSubPr>
              <m:ctrlPr>
                <w:rPr>
                  <w:rFonts w:ascii="Cambria Math" w:hAnsi="Cambria Math"/>
                  <w:i/>
                  <w:iCs/>
                  <w:sz w:val="21"/>
                  <w:szCs w:val="21"/>
                </w:rPr>
              </m:ctrlPr>
            </m:sSubPr>
            <m:e>
              <m:r>
                <w:rPr>
                  <w:rFonts w:ascii="Cambria Math" w:hAnsi="Cambria Math"/>
                  <w:sz w:val="21"/>
                  <w:szCs w:val="21"/>
                </w:rPr>
                <m:t>Q</m:t>
              </m:r>
            </m:e>
            <m:sub>
              <m:r>
                <w:rPr>
                  <w:rFonts w:ascii="Cambria Math" w:hAnsi="Cambria Math"/>
                  <w:sz w:val="21"/>
                  <w:szCs w:val="21"/>
                </w:rPr>
                <m:t>c</m:t>
              </m:r>
            </m:sub>
          </m:sSub>
          <m:r>
            <w:rPr>
              <w:rFonts w:ascii="Cambria Math" w:hAnsi="Cambria Math"/>
              <w:sz w:val="21"/>
              <w:szCs w:val="21"/>
            </w:rPr>
            <m:t>=</m:t>
          </m:r>
          <m:f>
            <m:fPr>
              <m:ctrlPr>
                <w:rPr>
                  <w:rFonts w:ascii="Cambria Math" w:hAnsi="Cambria Math"/>
                  <w:i/>
                  <w:iCs/>
                  <w:sz w:val="21"/>
                  <w:szCs w:val="21"/>
                </w:rPr>
              </m:ctrlPr>
            </m:fPr>
            <m:num>
              <m:sSub>
                <m:sSubPr>
                  <m:ctrlPr>
                    <w:rPr>
                      <w:rFonts w:ascii="Cambria Math" w:hAnsi="Cambria Math"/>
                      <w:i/>
                      <w:iCs/>
                      <w:sz w:val="21"/>
                      <w:szCs w:val="21"/>
                    </w:rPr>
                  </m:ctrlPr>
                </m:sSubPr>
                <m:e>
                  <m:r>
                    <w:rPr>
                      <w:rFonts w:ascii="Cambria Math" w:hAnsi="Cambria Math"/>
                      <w:sz w:val="21"/>
                      <w:szCs w:val="21"/>
                    </w:rPr>
                    <m:t>W</m:t>
                  </m:r>
                </m:e>
                <m:sub>
                  <m:r>
                    <w:rPr>
                      <w:rFonts w:ascii="Cambria Math" w:hAnsi="Cambria Math"/>
                      <w:sz w:val="21"/>
                      <w:szCs w:val="21"/>
                    </w:rPr>
                    <m:t>int</m:t>
                  </m:r>
                </m:sub>
              </m:sSub>
            </m:num>
            <m:den>
              <m:sSub>
                <m:sSubPr>
                  <m:ctrlPr>
                    <w:rPr>
                      <w:rFonts w:ascii="Cambria Math" w:hAnsi="Cambria Math"/>
                      <w:i/>
                      <w:iCs/>
                      <w:sz w:val="21"/>
                      <w:szCs w:val="21"/>
                    </w:rPr>
                  </m:ctrlPr>
                </m:sSubPr>
                <m:e>
                  <m:r>
                    <w:rPr>
                      <w:rFonts w:ascii="Cambria Math" w:hAnsi="Cambria Math"/>
                      <w:sz w:val="21"/>
                      <w:szCs w:val="21"/>
                    </w:rPr>
                    <m:t>W</m:t>
                  </m:r>
                </m:e>
                <m:sub>
                  <m:r>
                    <w:rPr>
                      <w:rFonts w:ascii="Cambria Math" w:hAnsi="Cambria Math"/>
                      <w:sz w:val="21"/>
                      <w:szCs w:val="21"/>
                    </w:rPr>
                    <m:t>global</m:t>
                  </m:r>
                </m:sub>
              </m:sSub>
            </m:den>
          </m:f>
          <m:r>
            <w:rPr>
              <w:rFonts w:ascii="Cambria Math" w:hAnsi="Cambria Math"/>
              <w:sz w:val="21"/>
              <w:szCs w:val="21"/>
            </w:rPr>
            <m:t>-</m:t>
          </m:r>
          <m:sSup>
            <m:sSupPr>
              <m:ctrlPr>
                <w:rPr>
                  <w:rFonts w:ascii="Cambria Math" w:hAnsi="Cambria Math"/>
                  <w:i/>
                  <w:iCs/>
                  <w:sz w:val="21"/>
                  <w:szCs w:val="21"/>
                </w:rPr>
              </m:ctrlPr>
            </m:sSupPr>
            <m:e>
              <m:d>
                <m:dPr>
                  <m:ctrlPr>
                    <w:rPr>
                      <w:rFonts w:ascii="Cambria Math" w:hAnsi="Cambria Math"/>
                      <w:i/>
                      <w:iCs/>
                      <w:sz w:val="21"/>
                      <w:szCs w:val="21"/>
                    </w:rPr>
                  </m:ctrlPr>
                </m:dPr>
                <m:e>
                  <m:f>
                    <m:fPr>
                      <m:ctrlPr>
                        <w:rPr>
                          <w:rFonts w:ascii="Cambria Math" w:hAnsi="Cambria Math"/>
                          <w:i/>
                          <w:iCs/>
                          <w:sz w:val="21"/>
                          <w:szCs w:val="21"/>
                        </w:rPr>
                      </m:ctrlPr>
                    </m:fPr>
                    <m:num>
                      <m:sSub>
                        <m:sSubPr>
                          <m:ctrlPr>
                            <w:rPr>
                              <w:rFonts w:ascii="Cambria Math" w:hAnsi="Cambria Math"/>
                              <w:i/>
                              <w:iCs/>
                              <w:sz w:val="21"/>
                              <w:szCs w:val="21"/>
                            </w:rPr>
                          </m:ctrlPr>
                        </m:sSubPr>
                        <m:e>
                          <m:r>
                            <w:rPr>
                              <w:rFonts w:ascii="Cambria Math" w:hAnsi="Cambria Math"/>
                              <w:sz w:val="21"/>
                              <w:szCs w:val="21"/>
                            </w:rPr>
                            <m:t>W</m:t>
                          </m:r>
                        </m:e>
                        <m:sub>
                          <m:r>
                            <w:rPr>
                              <w:rFonts w:ascii="Cambria Math" w:hAnsi="Cambria Math"/>
                              <w:sz w:val="21"/>
                              <w:szCs w:val="21"/>
                            </w:rPr>
                            <m:t>total</m:t>
                          </m:r>
                        </m:sub>
                      </m:sSub>
                    </m:num>
                    <m:den>
                      <m:sSub>
                        <m:sSubPr>
                          <m:ctrlPr>
                            <w:rPr>
                              <w:rFonts w:ascii="Cambria Math" w:hAnsi="Cambria Math"/>
                              <w:i/>
                              <w:iCs/>
                              <w:sz w:val="21"/>
                              <w:szCs w:val="21"/>
                            </w:rPr>
                          </m:ctrlPr>
                        </m:sSubPr>
                        <m:e>
                          <m:r>
                            <w:rPr>
                              <w:rFonts w:ascii="Cambria Math" w:hAnsi="Cambria Math"/>
                              <w:sz w:val="21"/>
                              <w:szCs w:val="21"/>
                            </w:rPr>
                            <m:t>2W</m:t>
                          </m:r>
                        </m:e>
                        <m:sub>
                          <m:r>
                            <w:rPr>
                              <w:rFonts w:ascii="Cambria Math" w:hAnsi="Cambria Math"/>
                              <w:sz w:val="21"/>
                              <w:szCs w:val="21"/>
                            </w:rPr>
                            <m:t>global</m:t>
                          </m:r>
                        </m:sub>
                      </m:sSub>
                    </m:den>
                  </m:f>
                </m:e>
              </m:d>
            </m:e>
            <m:sup>
              <m:r>
                <w:rPr>
                  <w:rFonts w:ascii="Cambria Math" w:hAnsi="Cambria Math"/>
                  <w:sz w:val="21"/>
                  <w:szCs w:val="21"/>
                </w:rPr>
                <m:t>2</m:t>
              </m:r>
            </m:sup>
          </m:sSup>
        </m:oMath>
      </m:oMathPara>
    </w:p>
    <w:p w14:paraId="3F182BEE" w14:textId="0DE4AF8A" w:rsidR="00086012" w:rsidRPr="002F2AA2" w:rsidRDefault="008940CC" w:rsidP="002F2AA2">
      <w:pPr>
        <w:spacing w:after="160" w:line="276" w:lineRule="auto"/>
        <w:jc w:val="both"/>
      </w:pPr>
      <w:r>
        <w:rPr>
          <w:sz w:val="21"/>
          <w:szCs w:val="21"/>
        </w:rPr>
        <w:t xml:space="preserve">where </w:t>
      </w:r>
      <w:proofErr w:type="spellStart"/>
      <w:r>
        <w:rPr>
          <w:sz w:val="21"/>
          <w:szCs w:val="21"/>
        </w:rPr>
        <w:t>W</w:t>
      </w:r>
      <w:r>
        <w:rPr>
          <w:sz w:val="21"/>
          <w:szCs w:val="21"/>
          <w:vertAlign w:val="subscript"/>
        </w:rPr>
        <w:t>c</w:t>
      </w:r>
      <w:proofErr w:type="spellEnd"/>
      <w:r>
        <w:rPr>
          <w:sz w:val="21"/>
          <w:szCs w:val="21"/>
        </w:rPr>
        <w:t xml:space="preserve"> is the community's total incident weight and </w:t>
      </w:r>
      <w:proofErr w:type="spellStart"/>
      <w:r>
        <w:rPr>
          <w:sz w:val="21"/>
          <w:szCs w:val="21"/>
        </w:rPr>
        <w:t>W</w:t>
      </w:r>
      <w:r>
        <w:rPr>
          <w:sz w:val="21"/>
          <w:szCs w:val="21"/>
          <w:vertAlign w:val="subscript"/>
        </w:rPr>
        <w:t>global</w:t>
      </w:r>
      <w:proofErr w:type="spellEnd"/>
      <w:r>
        <w:rPr>
          <w:sz w:val="21"/>
          <w:szCs w:val="21"/>
        </w:rPr>
        <w:t xml:space="preserve"> is the total weight of the whole network. Q</w:t>
      </w:r>
      <w:r>
        <w:rPr>
          <w:sz w:val="21"/>
          <w:szCs w:val="21"/>
          <w:vertAlign w:val="subscript"/>
        </w:rPr>
        <w:t>c</w:t>
      </w:r>
      <w:r>
        <w:rPr>
          <w:sz w:val="21"/>
          <w:szCs w:val="21"/>
        </w:rPr>
        <w:t xml:space="preserve"> is normalized against an empirically observed upper bound of 0.10: </w:t>
      </w:r>
      <w:r w:rsidR="002F2AA2" w:rsidRPr="002F2AA2">
        <w:rPr>
          <w:rFonts w:ascii="Cambria Math" w:eastAsia="Calibri" w:hAnsi="Cambria Math"/>
          <w:i/>
          <w:sz w:val="22"/>
          <w:szCs w:val="22"/>
          <w:lang w:bidi="fa-IR"/>
        </w:rPr>
        <w:br/>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Q</m:t>
            </m:r>
          </m:sub>
        </m:sSub>
        <m:r>
          <w:rPr>
            <w:rFonts w:ascii="Cambria Math" w:hAnsi="Cambria Math"/>
            <w:sz w:val="21"/>
            <w:szCs w:val="21"/>
          </w:rPr>
          <m:t>=(</m:t>
        </m:r>
        <m:f>
          <m:fPr>
            <m:ctrlPr>
              <w:rPr>
                <w:rFonts w:ascii="Cambria Math" w:hAnsi="Cambria Math"/>
                <w:i/>
                <w:iCs/>
                <w:sz w:val="21"/>
                <w:szCs w:val="21"/>
              </w:rPr>
            </m:ctrlPr>
          </m:fPr>
          <m:num>
            <m:sSub>
              <m:sSubPr>
                <m:ctrlPr>
                  <w:rPr>
                    <w:rFonts w:ascii="Cambria Math" w:hAnsi="Cambria Math"/>
                    <w:i/>
                    <w:iCs/>
                    <w:sz w:val="21"/>
                    <w:szCs w:val="21"/>
                  </w:rPr>
                </m:ctrlPr>
              </m:sSubPr>
              <m:e>
                <m:r>
                  <w:rPr>
                    <w:rFonts w:ascii="Cambria Math" w:hAnsi="Cambria Math"/>
                    <w:sz w:val="21"/>
                    <w:szCs w:val="21"/>
                  </w:rPr>
                  <m:t>Q</m:t>
                </m:r>
              </m:e>
              <m:sub>
                <m:r>
                  <w:rPr>
                    <w:rFonts w:ascii="Cambria Math" w:hAnsi="Cambria Math"/>
                    <w:sz w:val="21"/>
                    <w:szCs w:val="21"/>
                  </w:rPr>
                  <m:t>c</m:t>
                </m:r>
              </m:sub>
            </m:sSub>
          </m:num>
          <m:den>
            <m:r>
              <w:rPr>
                <w:rFonts w:ascii="Cambria Math" w:hAnsi="Cambria Math"/>
                <w:sz w:val="21"/>
                <w:szCs w:val="21"/>
              </w:rPr>
              <m:t>0.10</m:t>
            </m:r>
          </m:den>
        </m:f>
        <m:r>
          <w:rPr>
            <w:rFonts w:ascii="Cambria Math" w:hAnsi="Cambria Math"/>
            <w:sz w:val="21"/>
            <w:szCs w:val="21"/>
          </w:rPr>
          <m:t>)×100</m:t>
        </m:r>
      </m:oMath>
      <w:r>
        <w:rPr>
          <w:sz w:val="21"/>
          <w:szCs w:val="21"/>
        </w:rPr>
        <w:t>. A high value indicates that the community's cohesion is not merely an artifact of its size, but reflects intentional, disproportionate internal clustering — structural evidence of deliberate wall-building rather than incidental crowd size.</w:t>
      </w:r>
    </w:p>
    <w:p w14:paraId="1D5A2480" w14:textId="77777777" w:rsidR="00086012" w:rsidRDefault="008940CC">
      <w:pPr>
        <w:spacing w:after="160" w:line="276" w:lineRule="auto"/>
        <w:jc w:val="both"/>
      </w:pPr>
      <w:r>
        <w:rPr>
          <w:sz w:val="21"/>
          <w:szCs w:val="21"/>
        </w:rPr>
        <w:t xml:space="preserve">3) Internal Density (20% weight) — the social fabric. Internal density measures how tightly a community's members reinforce one another using the average local clustering coefficient [12]. For a node </w:t>
      </w:r>
      <w:proofErr w:type="spellStart"/>
      <w:r>
        <w:rPr>
          <w:sz w:val="21"/>
          <w:szCs w:val="21"/>
        </w:rPr>
        <w:t>i</w:t>
      </w:r>
      <w:proofErr w:type="spellEnd"/>
      <w:r>
        <w:rPr>
          <w:sz w:val="21"/>
          <w:szCs w:val="21"/>
        </w:rPr>
        <w:t xml:space="preserve"> with k</w:t>
      </w:r>
      <w:r>
        <w:rPr>
          <w:sz w:val="21"/>
          <w:szCs w:val="21"/>
          <w:vertAlign w:val="subscript"/>
        </w:rPr>
        <w:t>i</w:t>
      </w:r>
      <w:r>
        <w:rPr>
          <w:sz w:val="21"/>
          <w:szCs w:val="21"/>
        </w:rPr>
        <w:t xml:space="preserve"> neighbors and </w:t>
      </w:r>
      <w:proofErr w:type="spellStart"/>
      <w:r>
        <w:rPr>
          <w:sz w:val="21"/>
          <w:szCs w:val="21"/>
        </w:rPr>
        <w:t>e</w:t>
      </w:r>
      <w:r>
        <w:rPr>
          <w:sz w:val="21"/>
          <w:szCs w:val="21"/>
          <w:vertAlign w:val="subscript"/>
        </w:rPr>
        <w:t>i</w:t>
      </w:r>
      <w:proofErr w:type="spellEnd"/>
      <w:r>
        <w:rPr>
          <w:sz w:val="21"/>
          <w:szCs w:val="21"/>
        </w:rPr>
        <w:t xml:space="preserve"> edges actually present among those neighbors,</w:t>
      </w:r>
    </w:p>
    <w:p w14:paraId="4FEF797A" w14:textId="77777777" w:rsidR="002F2AA2" w:rsidRPr="002F2AA2" w:rsidRDefault="0054222D" w:rsidP="002F2AA2">
      <w:pPr>
        <w:spacing w:after="160" w:line="276" w:lineRule="auto"/>
        <w:jc w:val="both"/>
        <w:rPr>
          <w:sz w:val="21"/>
          <w:szCs w:val="21"/>
        </w:rPr>
      </w:pPr>
      <m:oMathPara>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2</m:t>
              </m:r>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i</m:t>
                  </m:r>
                </m:sub>
              </m:sSub>
            </m:num>
            <m:den>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i</m:t>
                  </m:r>
                </m:sub>
              </m:sSub>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i</m:t>
                      </m:r>
                    </m:sub>
                  </m:sSub>
                  <m:r>
                    <w:rPr>
                      <w:rFonts w:ascii="Cambria Math" w:hAnsi="Cambria Math"/>
                      <w:sz w:val="21"/>
                      <w:szCs w:val="21"/>
                    </w:rPr>
                    <m:t>-1</m:t>
                  </m:r>
                </m:e>
              </m:d>
            </m:den>
          </m:f>
          <m:r>
            <w:rPr>
              <w:rFonts w:ascii="Cambria Math" w:hAnsi="Cambria Math"/>
              <w:sz w:val="21"/>
              <w:szCs w:val="21"/>
            </w:rPr>
            <m:t>​​</m:t>
          </m:r>
        </m:oMath>
      </m:oMathPara>
    </w:p>
    <w:p w14:paraId="2983BB95" w14:textId="75B2302F" w:rsidR="00086012" w:rsidRPr="002F2AA2" w:rsidRDefault="008940CC" w:rsidP="002F2AA2">
      <w:pPr>
        <w:spacing w:after="160" w:line="276" w:lineRule="auto"/>
        <w:jc w:val="both"/>
      </w:pPr>
      <w:r>
        <w:rPr>
          <w:sz w:val="21"/>
          <w:szCs w:val="21"/>
        </w:rPr>
        <w:lastRenderedPageBreak/>
        <w:t>normalized against an empirical ceiling of 0.20: N</w:t>
      </w:r>
      <w:r>
        <w:rPr>
          <w:sz w:val="21"/>
          <w:szCs w:val="21"/>
          <w:vertAlign w:val="subscript"/>
        </w:rPr>
        <w:t>D</w:t>
      </w:r>
      <w:r>
        <w:rPr>
          <w:sz w:val="21"/>
          <w:szCs w:val="21"/>
        </w:rPr>
        <w:t xml:space="preserve"> = (C / 0.20) × 100. High internal density identifies communities whose peer-to-peer triadic reinforcement makes their shared beliefs structurally harder to disrupt, since dislodging one member requires overcoming resistance from many mutually connected peers rather than a single link.</w:t>
      </w:r>
    </w:p>
    <w:p w14:paraId="3DC01759" w14:textId="0835C968" w:rsidR="00086012" w:rsidRDefault="008940CC">
      <w:pPr>
        <w:spacing w:after="160" w:line="276" w:lineRule="auto"/>
        <w:jc w:val="both"/>
      </w:pPr>
      <w:r>
        <w:rPr>
          <w:sz w:val="21"/>
          <w:szCs w:val="21"/>
        </w:rPr>
        <w:t>4) Inverse Diplomat Effect / Deafness (20% weight) — powerless bridges. Some members of a community do reach outward: the Diplomat Index, measures how many members attempt cross-community dialogue. However, attempting to reach across a boundary is not the same as being heard. The Inverse Diplomat Effect measures how much real network influence these "diplomats" carry relative to the network at large:</w:t>
      </w:r>
    </w:p>
    <w:p w14:paraId="0D4C9178" w14:textId="22EB9DC2" w:rsidR="00086012" w:rsidRDefault="000550AC">
      <w:pPr>
        <w:spacing w:before="120" w:after="120"/>
        <w:jc w:val="center"/>
      </w:pPr>
      <m:oMathPara>
        <m:oMath>
          <m:r>
            <w:rPr>
              <w:rFonts w:ascii="Cambria Math" w:hAnsi="Cambria Math"/>
              <w:sz w:val="21"/>
              <w:szCs w:val="21"/>
            </w:rPr>
            <m:t>DE =</m:t>
          </m:r>
          <m:f>
            <m:fPr>
              <m:ctrlPr>
                <w:rPr>
                  <w:rFonts w:ascii="Cambria Math" w:hAnsi="Cambria Math"/>
                  <w:i/>
                  <w:sz w:val="21"/>
                  <w:szCs w:val="21"/>
                </w:rPr>
              </m:ctrlPr>
            </m:fPr>
            <m:num>
              <m:r>
                <w:rPr>
                  <w:rFonts w:ascii="Cambria Math" w:hAnsi="Cambria Math"/>
                  <w:sz w:val="21"/>
                  <w:szCs w:val="21"/>
                </w:rPr>
                <m:t>DegreeCentrality</m:t>
              </m:r>
              <m:d>
                <m:dPr>
                  <m:ctrlPr>
                    <w:rPr>
                      <w:rFonts w:ascii="Cambria Math" w:hAnsi="Cambria Math"/>
                      <w:i/>
                      <w:sz w:val="21"/>
                      <w:szCs w:val="21"/>
                    </w:rPr>
                  </m:ctrlPr>
                </m:dPr>
                <m:e>
                  <m:r>
                    <w:rPr>
                      <w:rFonts w:ascii="Cambria Math" w:hAnsi="Cambria Math"/>
                      <w:sz w:val="21"/>
                      <w:szCs w:val="21"/>
                    </w:rPr>
                    <m:t>diplomats</m:t>
                  </m:r>
                </m:e>
              </m:d>
            </m:num>
            <m:den>
              <m:r>
                <w:rPr>
                  <w:rFonts w:ascii="Cambria Math" w:hAnsi="Cambria Math"/>
                  <w:sz w:val="21"/>
                  <w:szCs w:val="21"/>
                </w:rPr>
                <m:t>DegreeCentrality</m:t>
              </m:r>
              <m:d>
                <m:dPr>
                  <m:ctrlPr>
                    <w:rPr>
                      <w:rFonts w:ascii="Cambria Math" w:hAnsi="Cambria Math"/>
                      <w:i/>
                      <w:sz w:val="21"/>
                      <w:szCs w:val="21"/>
                    </w:rPr>
                  </m:ctrlPr>
                </m:dPr>
                <m:e>
                  <m:r>
                    <w:rPr>
                      <w:rFonts w:ascii="Cambria Math" w:hAnsi="Cambria Math"/>
                      <w:sz w:val="21"/>
                      <w:szCs w:val="21"/>
                    </w:rPr>
                    <m:t>all users</m:t>
                  </m:r>
                </m:e>
              </m:d>
            </m:den>
          </m:f>
          <m:r>
            <w:rPr>
              <w:rFonts w:ascii="Cambria Math" w:hAnsi="Cambria Math"/>
              <w:sz w:val="21"/>
              <w:szCs w:val="21"/>
            </w:rPr>
            <m:t>,   Deafness = 1 - DE</m:t>
          </m:r>
        </m:oMath>
      </m:oMathPara>
    </w:p>
    <w:p w14:paraId="4D755DCB" w14:textId="6655A7C0" w:rsidR="00086012" w:rsidRDefault="008940CC">
      <w:pPr>
        <w:spacing w:after="160" w:line="276" w:lineRule="auto"/>
        <w:jc w:val="both"/>
      </w:pPr>
      <w:r>
        <w:rPr>
          <w:sz w:val="21"/>
          <w:szCs w:val="21"/>
        </w:rPr>
        <w:t xml:space="preserve">normalized as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vertAlign w:val="subscript"/>
              </w:rPr>
              <m:t>Deaf</m:t>
            </m:r>
          </m:sub>
        </m:sSub>
        <m:r>
          <w:rPr>
            <w:rFonts w:ascii="Cambria Math" w:hAnsi="Cambria Math"/>
            <w:sz w:val="21"/>
            <w:szCs w:val="21"/>
          </w:rPr>
          <m:t xml:space="preserve"> = Deafness × 100</m:t>
        </m:r>
      </m:oMath>
      <w:r>
        <w:rPr>
          <w:sz w:val="21"/>
          <w:szCs w:val="21"/>
        </w:rPr>
        <w:t>. A high Deafness score means the few users bridging the community outward are, on average, structurally marginal — their outreach exists but commands little audience — which indicates that cross-community dialogue is present in name only.</w:t>
      </w:r>
    </w:p>
    <w:p w14:paraId="2A9C0D3D" w14:textId="77777777" w:rsidR="00086012" w:rsidRDefault="008940CC">
      <w:pPr>
        <w:spacing w:after="160" w:line="276" w:lineRule="auto"/>
        <w:jc w:val="both"/>
      </w:pPr>
      <w:r>
        <w:rPr>
          <w:sz w:val="21"/>
          <w:szCs w:val="21"/>
        </w:rPr>
        <w:t>5) Neighborhood Entropy / Fixation (10% weight) — the information diet. Finally, we apply Shannon entropy [13] to the distribution of each member's external interactions across outside communities. Let p</w:t>
      </w:r>
      <w:r>
        <w:rPr>
          <w:sz w:val="21"/>
          <w:szCs w:val="21"/>
          <w:vertAlign w:val="subscript"/>
        </w:rPr>
        <w:t>ic</w:t>
      </w:r>
      <w:r>
        <w:rPr>
          <w:sz w:val="21"/>
          <w:szCs w:val="21"/>
        </w:rPr>
        <w:t xml:space="preserve"> be the fraction of node i's external interaction weight directed at outside community c; then</w:t>
      </w:r>
    </w:p>
    <w:p w14:paraId="3FB4A47E" w14:textId="499D053D" w:rsidR="00086012" w:rsidRDefault="0054222D" w:rsidP="000550AC">
      <w:pPr>
        <w:spacing w:before="120" w:after="120"/>
        <w:jc w:val="center"/>
      </w:pPr>
      <m:oMathPara>
        <m:oMath>
          <m:sSub>
            <m:sSubPr>
              <m:ctrlPr>
                <w:rPr>
                  <w:rFonts w:ascii="Cambria Math" w:hAnsi="Cambria Math"/>
                  <w:i/>
                  <w:iCs/>
                  <w:sz w:val="21"/>
                  <w:szCs w:val="21"/>
                </w:rPr>
              </m:ctrlPr>
            </m:sSubPr>
            <m:e>
              <m:r>
                <w:rPr>
                  <w:rFonts w:ascii="Cambria Math" w:hAnsi="Cambria Math"/>
                  <w:sz w:val="21"/>
                  <w:szCs w:val="21"/>
                </w:rPr>
                <m:t>H</m:t>
              </m:r>
            </m:e>
            <m:sub>
              <m:r>
                <w:rPr>
                  <w:rFonts w:ascii="Cambria Math" w:hAnsi="Cambria Math"/>
                  <w:sz w:val="21"/>
                  <w:szCs w:val="21"/>
                </w:rPr>
                <m:t>c</m:t>
              </m:r>
            </m:sub>
          </m:sSub>
          <m:r>
            <w:rPr>
              <w:rFonts w:ascii="Cambria Math" w:hAnsi="Cambria Math"/>
              <w:sz w:val="21"/>
              <w:szCs w:val="21"/>
            </w:rPr>
            <m:t>=</m:t>
          </m:r>
          <m:f>
            <m:fPr>
              <m:ctrlPr>
                <w:rPr>
                  <w:rFonts w:ascii="Cambria Math" w:hAnsi="Cambria Math"/>
                  <w:i/>
                  <w:iCs/>
                  <w:sz w:val="21"/>
                  <w:szCs w:val="21"/>
                </w:rPr>
              </m:ctrlPr>
            </m:fPr>
            <m:num>
              <m:r>
                <w:rPr>
                  <w:rFonts w:ascii="Cambria Math" w:hAnsi="Cambria Math"/>
                  <w:sz w:val="21"/>
                  <w:szCs w:val="21"/>
                </w:rPr>
                <m:t>1</m:t>
              </m:r>
            </m:num>
            <m:den>
              <m:r>
                <w:rPr>
                  <w:rFonts w:ascii="Cambria Math" w:hAnsi="Cambria Math"/>
                  <w:sz w:val="21"/>
                  <w:szCs w:val="21"/>
                </w:rPr>
                <m:t>N</m:t>
              </m:r>
            </m:den>
          </m:f>
          <m:nary>
            <m:naryPr>
              <m:chr m:val="∑"/>
              <m:limLoc m:val="undOvr"/>
              <m:supHide m:val="1"/>
              <m:ctrlPr>
                <w:rPr>
                  <w:rFonts w:ascii="Cambria Math" w:hAnsi="Cambria Math"/>
                  <w:i/>
                  <w:iCs/>
                  <w:sz w:val="21"/>
                  <w:szCs w:val="21"/>
                </w:rPr>
              </m:ctrlPr>
            </m:naryPr>
            <m:sub>
              <m:r>
                <w:rPr>
                  <w:rFonts w:ascii="Cambria Math" w:hAnsi="Cambria Math"/>
                  <w:sz w:val="21"/>
                  <w:szCs w:val="21"/>
                </w:rPr>
                <m:t>i∈c</m:t>
              </m:r>
            </m:sub>
            <m:sup/>
            <m:e>
              <m:r>
                <w:rPr>
                  <w:rFonts w:ascii="Cambria Math" w:hAnsi="Cambria Math"/>
                  <w:sz w:val="21"/>
                  <w:szCs w:val="21"/>
                </w:rPr>
                <m:t>(-</m:t>
              </m:r>
              <m:nary>
                <m:naryPr>
                  <m:chr m:val="∑"/>
                  <m:limLoc m:val="undOvr"/>
                  <m:subHide m:val="1"/>
                  <m:supHide m:val="1"/>
                  <m:ctrlPr>
                    <w:rPr>
                      <w:rFonts w:ascii="Cambria Math" w:hAnsi="Cambria Math"/>
                      <w:i/>
                      <w:iCs/>
                      <w:sz w:val="21"/>
                      <w:szCs w:val="21"/>
                    </w:rPr>
                  </m:ctrlPr>
                </m:naryPr>
                <m:sub/>
                <m:sup/>
                <m:e>
                  <m:sSub>
                    <m:sSubPr>
                      <m:ctrlPr>
                        <w:rPr>
                          <w:rFonts w:ascii="Cambria Math" w:hAnsi="Cambria Math"/>
                          <w:i/>
                          <w:iCs/>
                          <w:sz w:val="21"/>
                          <w:szCs w:val="21"/>
                        </w:rPr>
                      </m:ctrlPr>
                    </m:sSubPr>
                    <m:e>
                      <m:r>
                        <w:rPr>
                          <w:rFonts w:ascii="Cambria Math" w:hAnsi="Cambria Math"/>
                          <w:sz w:val="21"/>
                          <w:szCs w:val="21"/>
                        </w:rPr>
                        <m:t>p</m:t>
                      </m:r>
                    </m:e>
                    <m:sub>
                      <m:r>
                        <w:rPr>
                          <w:rFonts w:ascii="Cambria Math" w:hAnsi="Cambria Math"/>
                          <w:sz w:val="21"/>
                          <w:szCs w:val="21"/>
                        </w:rPr>
                        <m:t>ij</m:t>
                      </m:r>
                    </m:sub>
                  </m:sSub>
                  <m:func>
                    <m:funcPr>
                      <m:ctrlPr>
                        <w:rPr>
                          <w:rFonts w:ascii="Cambria Math" w:hAnsi="Cambria Math"/>
                          <w:i/>
                          <w:iCs/>
                          <w:sz w:val="21"/>
                          <w:szCs w:val="21"/>
                        </w:rPr>
                      </m:ctrlPr>
                    </m:funcPr>
                    <m:fName>
                      <m:sSub>
                        <m:sSubPr>
                          <m:ctrlPr>
                            <w:rPr>
                              <w:rFonts w:ascii="Cambria Math" w:hAnsi="Cambria Math"/>
                              <w:i/>
                              <w:iCs/>
                              <w:sz w:val="21"/>
                              <w:szCs w:val="21"/>
                            </w:rPr>
                          </m:ctrlPr>
                        </m:sSubPr>
                        <m:e>
                          <m:r>
                            <m:rPr>
                              <m:sty m:val="p"/>
                            </m:rPr>
                            <w:rPr>
                              <w:rFonts w:ascii="Cambria Math" w:hAnsi="Cambria Math"/>
                              <w:sz w:val="21"/>
                              <w:szCs w:val="21"/>
                            </w:rPr>
                            <m:t>log</m:t>
                          </m:r>
                          <m:ctrlPr>
                            <w:rPr>
                              <w:rFonts w:ascii="Cambria Math" w:hAnsi="Cambria Math"/>
                              <w:iCs/>
                              <w:sz w:val="21"/>
                              <w:szCs w:val="21"/>
                            </w:rPr>
                          </m:ctrlPr>
                        </m:e>
                        <m:sub>
                          <m:r>
                            <w:rPr>
                              <w:rFonts w:ascii="Cambria Math" w:hAnsi="Cambria Math"/>
                              <w:sz w:val="21"/>
                              <w:szCs w:val="21"/>
                            </w:rPr>
                            <m:t>2</m:t>
                          </m:r>
                          <m:ctrlPr>
                            <w:rPr>
                              <w:rFonts w:ascii="Cambria Math" w:hAnsi="Cambria Math"/>
                              <w:iCs/>
                              <w:sz w:val="21"/>
                              <w:szCs w:val="21"/>
                            </w:rPr>
                          </m:ctrlPr>
                        </m:sub>
                      </m:sSub>
                    </m:fName>
                    <m:e>
                      <m:sSub>
                        <m:sSubPr>
                          <m:ctrlPr>
                            <w:rPr>
                              <w:rFonts w:ascii="Cambria Math" w:hAnsi="Cambria Math"/>
                              <w:i/>
                              <w:iCs/>
                              <w:sz w:val="21"/>
                              <w:szCs w:val="21"/>
                            </w:rPr>
                          </m:ctrlPr>
                        </m:sSubPr>
                        <m:e>
                          <m:r>
                            <w:rPr>
                              <w:rFonts w:ascii="Cambria Math" w:hAnsi="Cambria Math"/>
                              <w:sz w:val="21"/>
                              <w:szCs w:val="21"/>
                            </w:rPr>
                            <m:t>p</m:t>
                          </m:r>
                        </m:e>
                        <m:sub>
                          <m:r>
                            <w:rPr>
                              <w:rFonts w:ascii="Cambria Math" w:hAnsi="Cambria Math"/>
                              <w:sz w:val="21"/>
                              <w:szCs w:val="21"/>
                            </w:rPr>
                            <m:t>ij</m:t>
                          </m:r>
                        </m:sub>
                      </m:sSub>
                    </m:e>
                  </m:func>
                </m:e>
              </m:nary>
              <m:r>
                <w:rPr>
                  <w:rFonts w:ascii="Cambria Math" w:hAnsi="Cambria Math"/>
                  <w:sz w:val="21"/>
                  <w:szCs w:val="21"/>
                </w:rPr>
                <m:t>)</m:t>
              </m:r>
            </m:e>
          </m:nary>
        </m:oMath>
      </m:oMathPara>
    </w:p>
    <w:p w14:paraId="10174C9E" w14:textId="745ADB2A" w:rsidR="00086012" w:rsidRDefault="008940CC" w:rsidP="000550AC">
      <w:pPr>
        <w:spacing w:after="160" w:line="276" w:lineRule="auto"/>
        <w:jc w:val="both"/>
      </w:pPr>
      <w:r>
        <w:rPr>
          <w:sz w:val="21"/>
          <w:szCs w:val="21"/>
        </w:rPr>
        <w:t xml:space="preserve">Because fixation is the inverse of diversity, we normalize against an empirical ceiling of 0.70 and invert the scale: </w:t>
      </w:r>
      <w:r w:rsidR="000550AC" w:rsidRPr="000550AC">
        <w:rPr>
          <w:rFonts w:ascii="Cambria Math" w:eastAsia="Calibri" w:hAnsi="Cambria Math"/>
          <w:i/>
          <w:sz w:val="22"/>
          <w:szCs w:val="22"/>
          <w:lang w:bidi="fa-IR"/>
        </w:rPr>
        <w:br/>
      </w:r>
      <m:oMath>
        <m:sSub>
          <m:sSubPr>
            <m:ctrlPr>
              <w:rPr>
                <w:rFonts w:ascii="Cambria Math" w:hAnsi="Cambria Math"/>
                <w:sz w:val="21"/>
                <w:szCs w:val="21"/>
              </w:rPr>
            </m:ctrlPr>
          </m:sSubPr>
          <m:e>
            <m:r>
              <m:rPr>
                <m:sty m:val="p"/>
              </m:rPr>
              <w:rPr>
                <w:rFonts w:ascii="Cambria Math" w:hAnsi="Cambria Math"/>
                <w:sz w:val="21"/>
                <w:szCs w:val="21"/>
              </w:rPr>
              <m:t>N</m:t>
            </m:r>
          </m:e>
          <m:sub>
            <m:r>
              <m:rPr>
                <m:sty m:val="p"/>
              </m:rPr>
              <w:rPr>
                <w:rFonts w:ascii="Cambria Math" w:hAnsi="Cambria Math"/>
                <w:sz w:val="21"/>
                <w:szCs w:val="21"/>
                <w:vertAlign w:val="subscript"/>
              </w:rPr>
              <m:t>Fix</m:t>
            </m:r>
          </m:sub>
        </m:sSub>
        <m:r>
          <m:rPr>
            <m:sty m:val="p"/>
          </m:rPr>
          <w:rPr>
            <w:rFonts w:ascii="Cambria Math" w:hAnsi="Cambria Math"/>
            <w:sz w:val="21"/>
            <w:szCs w:val="21"/>
          </w:rPr>
          <m:t xml:space="preserve"> =</m:t>
        </m:r>
        <m:r>
          <w:rPr>
            <w:rFonts w:ascii="Cambria Math" w:hAnsi="Cambria Math"/>
            <w:sz w:val="21"/>
            <w:szCs w:val="21"/>
          </w:rPr>
          <m:t>(1-</m:t>
        </m:r>
        <m:f>
          <m:fPr>
            <m:ctrlPr>
              <w:rPr>
                <w:rFonts w:ascii="Cambria Math" w:hAnsi="Cambria Math"/>
                <w:i/>
                <w:iCs/>
                <w:sz w:val="21"/>
                <w:szCs w:val="21"/>
              </w:rPr>
            </m:ctrlPr>
          </m:fPr>
          <m:num>
            <m:sSub>
              <m:sSubPr>
                <m:ctrlPr>
                  <w:rPr>
                    <w:rFonts w:ascii="Cambria Math" w:hAnsi="Cambria Math"/>
                    <w:i/>
                    <w:iCs/>
                    <w:sz w:val="21"/>
                    <w:szCs w:val="21"/>
                  </w:rPr>
                </m:ctrlPr>
              </m:sSubPr>
              <m:e>
                <m:r>
                  <w:rPr>
                    <w:rFonts w:ascii="Cambria Math" w:hAnsi="Cambria Math"/>
                    <w:sz w:val="21"/>
                    <w:szCs w:val="21"/>
                  </w:rPr>
                  <m:t>H</m:t>
                </m:r>
              </m:e>
              <m:sub>
                <m:r>
                  <w:rPr>
                    <w:rFonts w:ascii="Cambria Math" w:hAnsi="Cambria Math"/>
                    <w:sz w:val="21"/>
                    <w:szCs w:val="21"/>
                  </w:rPr>
                  <m:t>c</m:t>
                </m:r>
              </m:sub>
            </m:sSub>
          </m:num>
          <m:den>
            <m:r>
              <w:rPr>
                <w:rFonts w:ascii="Cambria Math" w:hAnsi="Cambria Math"/>
                <w:sz w:val="21"/>
                <w:szCs w:val="21"/>
              </w:rPr>
              <m:t>0.70</m:t>
            </m:r>
          </m:den>
        </m:f>
        <m:r>
          <w:rPr>
            <w:rFonts w:ascii="Cambria Math" w:hAnsi="Cambria Math"/>
            <w:sz w:val="21"/>
            <w:szCs w:val="21"/>
          </w:rPr>
          <m:t>)×100</m:t>
        </m:r>
      </m:oMath>
      <w:r>
        <w:rPr>
          <w:sz w:val="21"/>
          <w:szCs w:val="21"/>
        </w:rPr>
        <w:t>. A high fixation score indicates that, on the rare occasions a community's members do look outward, their attention converges obsessively on a single external target rather than being spread across diverse outside voices — a pattern more consistent with an ideological siege mentality than with healthy, if limited, cross-cutting exposure.</w:t>
      </w:r>
    </w:p>
    <w:p w14:paraId="68E310E1" w14:textId="77777777" w:rsidR="00086012" w:rsidRDefault="008940CC">
      <w:pPr>
        <w:spacing w:before="200" w:after="120"/>
      </w:pPr>
      <w:r>
        <w:rPr>
          <w:b/>
          <w:bCs/>
          <w:i/>
          <w:iCs/>
          <w:sz w:val="21"/>
          <w:szCs w:val="21"/>
        </w:rPr>
        <w:t>C. The Composite Formula</w:t>
      </w:r>
    </w:p>
    <w:p w14:paraId="6A0B6C84" w14:textId="77777777" w:rsidR="00086012" w:rsidRDefault="008940CC">
      <w:pPr>
        <w:spacing w:after="160" w:line="276" w:lineRule="auto"/>
        <w:jc w:val="both"/>
      </w:pPr>
      <w:r>
        <w:rPr>
          <w:sz w:val="21"/>
          <w:szCs w:val="21"/>
        </w:rPr>
        <w:t>The five normalized dimensions are combined into a single weighted score, with weights reflecting the relative diagnostic priority given to each mechanism: the informational wall (Isolation) is weighted most heavily as the necessary condition for any echo chamber; Modularity Contribution, Internal Density, and Deafness are weighted equally as complementary evidence of intentional segregation, internal reinforcement, and powerless bridging; and Fixation, being a secondary, confirmatory signal, receives the smallest weight.</w:t>
      </w:r>
    </w:p>
    <w:p w14:paraId="534EE98E" w14:textId="03A13A54" w:rsidR="00086012" w:rsidRDefault="006B1330">
      <w:pPr>
        <w:spacing w:before="120" w:after="120"/>
        <w:jc w:val="center"/>
      </w:pPr>
      <m:oMathPara>
        <m:oMath>
          <m:r>
            <w:rPr>
              <w:rFonts w:ascii="Cambria Math" w:hAnsi="Cambria Math"/>
              <w:sz w:val="21"/>
              <w:szCs w:val="21"/>
            </w:rPr>
            <m:t>CECS = 0.30×</m:t>
          </m:r>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vertAlign w:val="subscript"/>
                </w:rPr>
                <m:t>I</m:t>
              </m:r>
            </m:sub>
          </m:sSub>
          <m:r>
            <w:rPr>
              <w:rFonts w:ascii="Cambria Math" w:hAnsi="Cambria Math"/>
              <w:sz w:val="21"/>
              <w:szCs w:val="21"/>
            </w:rPr>
            <m:t xml:space="preserve"> + 0.20×</m:t>
          </m:r>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vertAlign w:val="subscript"/>
                </w:rPr>
                <m:t>Q</m:t>
              </m:r>
            </m:sub>
          </m:sSub>
          <m:r>
            <w:rPr>
              <w:rFonts w:ascii="Cambria Math" w:hAnsi="Cambria Math"/>
              <w:sz w:val="21"/>
              <w:szCs w:val="21"/>
            </w:rPr>
            <m:t xml:space="preserve"> + 0.20×</m:t>
          </m:r>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vertAlign w:val="subscript"/>
                </w:rPr>
                <m:t>D</m:t>
              </m:r>
            </m:sub>
          </m:sSub>
          <m:r>
            <w:rPr>
              <w:rFonts w:ascii="Cambria Math" w:hAnsi="Cambria Math"/>
              <w:sz w:val="21"/>
              <w:szCs w:val="21"/>
            </w:rPr>
            <m:t xml:space="preserve"> + 0.20×</m:t>
          </m:r>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vertAlign w:val="subscript"/>
                </w:rPr>
                <m:t>Deaf</m:t>
              </m:r>
            </m:sub>
          </m:sSub>
          <m:r>
            <w:rPr>
              <w:rFonts w:ascii="Cambria Math" w:hAnsi="Cambria Math"/>
              <w:sz w:val="21"/>
              <w:szCs w:val="21"/>
            </w:rPr>
            <m:t xml:space="preserve"> + 0.10×</m:t>
          </m:r>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Fix</m:t>
              </m:r>
            </m:sub>
          </m:sSub>
        </m:oMath>
      </m:oMathPara>
    </w:p>
    <w:p w14:paraId="1562D21E" w14:textId="77777777" w:rsidR="00086012" w:rsidRDefault="008940CC">
      <w:pPr>
        <w:spacing w:after="160" w:line="276" w:lineRule="auto"/>
        <w:jc w:val="both"/>
      </w:pPr>
      <w:r>
        <w:rPr>
          <w:sz w:val="21"/>
          <w:szCs w:val="21"/>
        </w:rPr>
        <w:t>CECS is thus bounded on the same 0–100 scale as each of its inputs, with higher scores indicating a stronger, more intentional, more self-reinforcing, and more informationally fixated echo chamber, and lower scores indicating an open, well-connected interaction hub whose apparent size or activity is not accompanied by genuine structural isolation.</w:t>
      </w:r>
    </w:p>
    <w:p w14:paraId="0B238119" w14:textId="77777777" w:rsidR="00086012" w:rsidRDefault="008940CC">
      <w:pPr>
        <w:spacing w:before="200" w:after="120"/>
      </w:pPr>
      <w:r>
        <w:rPr>
          <w:b/>
          <w:bCs/>
          <w:i/>
          <w:iCs/>
          <w:sz w:val="21"/>
          <w:szCs w:val="21"/>
        </w:rPr>
        <w:t>D. Analytical Pipeline</w:t>
      </w:r>
    </w:p>
    <w:p w14:paraId="6C1C5866" w14:textId="77777777" w:rsidR="00086012" w:rsidRDefault="008940CC">
      <w:pPr>
        <w:spacing w:after="160" w:line="276" w:lineRule="auto"/>
        <w:jc w:val="both"/>
      </w:pPr>
      <w:r>
        <w:rPr>
          <w:sz w:val="21"/>
          <w:szCs w:val="21"/>
        </w:rPr>
        <w:t xml:space="preserve">In practice, CECS is computed through the following pipeline, mirroring the graph-construction stage of prior structural work [1] while replacing the single HITS-based labeling step with the five-dimensional scoring procedure above: (1) build the weighted, directed retweet graph for the observation window; (2) extract the </w:t>
      </w:r>
      <w:r>
        <w:rPr>
          <w:sz w:val="21"/>
          <w:szCs w:val="21"/>
        </w:rPr>
        <w:lastRenderedPageBreak/>
        <w:t>largest connected component; (3) partition it into macro-communities using greedy modularity maximization [8]; (4) for each community, compute W_int, W_ext, Q_c, average local clustering coefficient, Diplomat Index, Inverse Diplomat Effect, and Neighborhood Entropy; (5) normalize each dimension to 0–100 using the bounds described above; and (6) combine the five normalized scores into CECS using the weights in Section III-C, yielding a single ranked list of communities from most to least chamber-like.</w:t>
      </w:r>
    </w:p>
    <w:p w14:paraId="1678235D" w14:textId="77777777" w:rsidR="00086012" w:rsidRDefault="008940CC">
      <w:pPr>
        <w:spacing w:before="300" w:after="160"/>
      </w:pPr>
      <w:r>
        <w:rPr>
          <w:b/>
          <w:bCs/>
          <w:sz w:val="22"/>
          <w:szCs w:val="22"/>
        </w:rPr>
        <w:t>IV. PILOT VALIDATION OF BOUNDARY-METRIC REDUNDANCY</w:t>
      </w:r>
    </w:p>
    <w:p w14:paraId="19F16641" w14:textId="77777777" w:rsidR="00086012" w:rsidRDefault="008940CC">
      <w:pPr>
        <w:spacing w:after="160" w:line="276" w:lineRule="auto"/>
        <w:jc w:val="both"/>
      </w:pPr>
      <w:r>
        <w:rPr>
          <w:sz w:val="21"/>
          <w:szCs w:val="21"/>
        </w:rPr>
        <w:t>Before finalizing the formula, we tested the redundancy claim of Section III-A on a pilot sample of the ten largest macro-communities detected in our retweet graph. For each community we computed the three boundary-style metrics (Isolation, Insularity/E-I, Conductance), together with Internal Density and Reciprocity Rate — the fraction of internal edge weight that is reciprocated in both directions — as an additional, independent sanity check on internal cohesion. Table I reports the normalized (0–100)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86012" w14:paraId="2A29BF7E" w14:textId="77777777">
        <w:trPr>
          <w:tblHeader/>
        </w:trPr>
        <w:tc>
          <w:tcPr>
            <w:tcW w:w="1560" w:type="dxa"/>
            <w:shd w:val="clear" w:color="auto" w:fill="D9D9D9"/>
          </w:tcPr>
          <w:p w14:paraId="5CEC7951" w14:textId="77777777" w:rsidR="00086012" w:rsidRDefault="008940CC">
            <w:pPr>
              <w:jc w:val="center"/>
            </w:pPr>
            <w:r>
              <w:rPr>
                <w:b/>
                <w:bCs/>
                <w:sz w:val="19"/>
                <w:szCs w:val="19"/>
              </w:rPr>
              <w:t>Community ID</w:t>
            </w:r>
          </w:p>
        </w:tc>
        <w:tc>
          <w:tcPr>
            <w:tcW w:w="1560" w:type="dxa"/>
            <w:shd w:val="clear" w:color="auto" w:fill="D9D9D9"/>
          </w:tcPr>
          <w:p w14:paraId="76F710FB" w14:textId="77777777" w:rsidR="00086012" w:rsidRDefault="008940CC">
            <w:pPr>
              <w:jc w:val="center"/>
            </w:pPr>
            <w:r>
              <w:rPr>
                <w:b/>
                <w:bCs/>
                <w:sz w:val="19"/>
                <w:szCs w:val="19"/>
              </w:rPr>
              <w:t>N_I (Isolation)</w:t>
            </w:r>
          </w:p>
        </w:tc>
        <w:tc>
          <w:tcPr>
            <w:tcW w:w="1560" w:type="dxa"/>
            <w:shd w:val="clear" w:color="auto" w:fill="D9D9D9"/>
          </w:tcPr>
          <w:p w14:paraId="7F537759" w14:textId="77777777" w:rsidR="00086012" w:rsidRDefault="008940CC">
            <w:pPr>
              <w:jc w:val="center"/>
            </w:pPr>
            <w:r>
              <w:rPr>
                <w:b/>
                <w:bCs/>
                <w:sz w:val="19"/>
                <w:szCs w:val="19"/>
              </w:rPr>
              <w:t>N_E (Insularity)</w:t>
            </w:r>
          </w:p>
        </w:tc>
        <w:tc>
          <w:tcPr>
            <w:tcW w:w="1560" w:type="dxa"/>
            <w:shd w:val="clear" w:color="auto" w:fill="D9D9D9"/>
          </w:tcPr>
          <w:p w14:paraId="40168F70" w14:textId="77777777" w:rsidR="00086012" w:rsidRDefault="008940CC">
            <w:pPr>
              <w:jc w:val="center"/>
            </w:pPr>
            <w:r>
              <w:rPr>
                <w:b/>
                <w:bCs/>
                <w:sz w:val="19"/>
                <w:szCs w:val="19"/>
              </w:rPr>
              <w:t>N_C (Conductance)</w:t>
            </w:r>
          </w:p>
        </w:tc>
        <w:tc>
          <w:tcPr>
            <w:tcW w:w="1560" w:type="dxa"/>
            <w:shd w:val="clear" w:color="auto" w:fill="D9D9D9"/>
          </w:tcPr>
          <w:p w14:paraId="3C898A23" w14:textId="77777777" w:rsidR="00086012" w:rsidRDefault="008940CC">
            <w:pPr>
              <w:jc w:val="center"/>
            </w:pPr>
            <w:r>
              <w:rPr>
                <w:b/>
                <w:bCs/>
                <w:sz w:val="19"/>
                <w:szCs w:val="19"/>
              </w:rPr>
              <w:t>N_D (Density)</w:t>
            </w:r>
          </w:p>
        </w:tc>
        <w:tc>
          <w:tcPr>
            <w:tcW w:w="1560" w:type="dxa"/>
            <w:shd w:val="clear" w:color="auto" w:fill="D9D9D9"/>
          </w:tcPr>
          <w:p w14:paraId="03854160" w14:textId="77777777" w:rsidR="00086012" w:rsidRDefault="008940CC">
            <w:pPr>
              <w:jc w:val="center"/>
            </w:pPr>
            <w:r>
              <w:rPr>
                <w:b/>
                <w:bCs/>
                <w:sz w:val="19"/>
                <w:szCs w:val="19"/>
              </w:rPr>
              <w:t>N_R (Reciprocity)</w:t>
            </w:r>
          </w:p>
        </w:tc>
      </w:tr>
      <w:tr w:rsidR="00086012" w14:paraId="44A01755" w14:textId="77777777">
        <w:tc>
          <w:tcPr>
            <w:tcW w:w="1560" w:type="dxa"/>
          </w:tcPr>
          <w:p w14:paraId="1EA4006B" w14:textId="77777777" w:rsidR="00086012" w:rsidRDefault="008940CC">
            <w:pPr>
              <w:jc w:val="center"/>
            </w:pPr>
            <w:r>
              <w:rPr>
                <w:sz w:val="19"/>
                <w:szCs w:val="19"/>
              </w:rPr>
              <w:t>4392</w:t>
            </w:r>
          </w:p>
        </w:tc>
        <w:tc>
          <w:tcPr>
            <w:tcW w:w="1560" w:type="dxa"/>
          </w:tcPr>
          <w:p w14:paraId="14B0D2D4" w14:textId="77777777" w:rsidR="00086012" w:rsidRDefault="008940CC">
            <w:pPr>
              <w:jc w:val="center"/>
            </w:pPr>
            <w:r>
              <w:rPr>
                <w:sz w:val="19"/>
                <w:szCs w:val="19"/>
              </w:rPr>
              <w:t>98.56</w:t>
            </w:r>
          </w:p>
        </w:tc>
        <w:tc>
          <w:tcPr>
            <w:tcW w:w="1560" w:type="dxa"/>
          </w:tcPr>
          <w:p w14:paraId="5E94CD34" w14:textId="77777777" w:rsidR="00086012" w:rsidRDefault="008940CC">
            <w:pPr>
              <w:jc w:val="center"/>
            </w:pPr>
            <w:r>
              <w:rPr>
                <w:sz w:val="19"/>
                <w:szCs w:val="19"/>
              </w:rPr>
              <w:t>98.55</w:t>
            </w:r>
          </w:p>
        </w:tc>
        <w:tc>
          <w:tcPr>
            <w:tcW w:w="1560" w:type="dxa"/>
          </w:tcPr>
          <w:p w14:paraId="0D913AF5" w14:textId="77777777" w:rsidR="00086012" w:rsidRDefault="008940CC">
            <w:pPr>
              <w:jc w:val="center"/>
            </w:pPr>
            <w:r>
              <w:rPr>
                <w:sz w:val="19"/>
                <w:szCs w:val="19"/>
              </w:rPr>
              <w:t>98.56</w:t>
            </w:r>
          </w:p>
        </w:tc>
        <w:tc>
          <w:tcPr>
            <w:tcW w:w="1560" w:type="dxa"/>
          </w:tcPr>
          <w:p w14:paraId="178F6E2C" w14:textId="77777777" w:rsidR="00086012" w:rsidRDefault="008940CC">
            <w:pPr>
              <w:jc w:val="center"/>
            </w:pPr>
            <w:r>
              <w:rPr>
                <w:sz w:val="19"/>
                <w:szCs w:val="19"/>
              </w:rPr>
              <w:t>1.87</w:t>
            </w:r>
          </w:p>
        </w:tc>
        <w:tc>
          <w:tcPr>
            <w:tcW w:w="1560" w:type="dxa"/>
          </w:tcPr>
          <w:p w14:paraId="7482450E" w14:textId="77777777" w:rsidR="00086012" w:rsidRDefault="008940CC">
            <w:pPr>
              <w:jc w:val="center"/>
            </w:pPr>
            <w:r>
              <w:rPr>
                <w:sz w:val="19"/>
                <w:szCs w:val="19"/>
              </w:rPr>
              <w:t>0.08</w:t>
            </w:r>
          </w:p>
        </w:tc>
      </w:tr>
      <w:tr w:rsidR="00086012" w14:paraId="32186672" w14:textId="77777777">
        <w:tc>
          <w:tcPr>
            <w:tcW w:w="1560" w:type="dxa"/>
          </w:tcPr>
          <w:p w14:paraId="4CABEB6C" w14:textId="77777777" w:rsidR="00086012" w:rsidRDefault="008940CC">
            <w:pPr>
              <w:jc w:val="center"/>
            </w:pPr>
            <w:r>
              <w:rPr>
                <w:sz w:val="19"/>
                <w:szCs w:val="19"/>
              </w:rPr>
              <w:t>2361</w:t>
            </w:r>
          </w:p>
        </w:tc>
        <w:tc>
          <w:tcPr>
            <w:tcW w:w="1560" w:type="dxa"/>
          </w:tcPr>
          <w:p w14:paraId="7A737C60" w14:textId="77777777" w:rsidR="00086012" w:rsidRDefault="008940CC">
            <w:pPr>
              <w:jc w:val="center"/>
            </w:pPr>
            <w:r>
              <w:rPr>
                <w:sz w:val="19"/>
                <w:szCs w:val="19"/>
              </w:rPr>
              <w:t>96.46</w:t>
            </w:r>
          </w:p>
        </w:tc>
        <w:tc>
          <w:tcPr>
            <w:tcW w:w="1560" w:type="dxa"/>
          </w:tcPr>
          <w:p w14:paraId="3B776F87" w14:textId="77777777" w:rsidR="00086012" w:rsidRDefault="008940CC">
            <w:pPr>
              <w:jc w:val="center"/>
            </w:pPr>
            <w:r>
              <w:rPr>
                <w:sz w:val="19"/>
                <w:szCs w:val="19"/>
              </w:rPr>
              <w:t>96.45</w:t>
            </w:r>
          </w:p>
        </w:tc>
        <w:tc>
          <w:tcPr>
            <w:tcW w:w="1560" w:type="dxa"/>
          </w:tcPr>
          <w:p w14:paraId="6FFE633C" w14:textId="77777777" w:rsidR="00086012" w:rsidRDefault="008940CC">
            <w:pPr>
              <w:jc w:val="center"/>
            </w:pPr>
            <w:r>
              <w:rPr>
                <w:sz w:val="19"/>
                <w:szCs w:val="19"/>
              </w:rPr>
              <w:t>96.46</w:t>
            </w:r>
          </w:p>
        </w:tc>
        <w:tc>
          <w:tcPr>
            <w:tcW w:w="1560" w:type="dxa"/>
          </w:tcPr>
          <w:p w14:paraId="0D31E2CC" w14:textId="77777777" w:rsidR="00086012" w:rsidRDefault="008940CC">
            <w:pPr>
              <w:jc w:val="center"/>
            </w:pPr>
            <w:r>
              <w:rPr>
                <w:sz w:val="19"/>
                <w:szCs w:val="19"/>
              </w:rPr>
              <w:t>6.78</w:t>
            </w:r>
          </w:p>
        </w:tc>
        <w:tc>
          <w:tcPr>
            <w:tcW w:w="1560" w:type="dxa"/>
          </w:tcPr>
          <w:p w14:paraId="4DD65219" w14:textId="77777777" w:rsidR="00086012" w:rsidRDefault="008940CC">
            <w:pPr>
              <w:jc w:val="center"/>
            </w:pPr>
            <w:r>
              <w:rPr>
                <w:sz w:val="19"/>
                <w:szCs w:val="19"/>
              </w:rPr>
              <w:t>0.07</w:t>
            </w:r>
          </w:p>
        </w:tc>
      </w:tr>
      <w:tr w:rsidR="00086012" w14:paraId="0657E9A8" w14:textId="77777777">
        <w:tc>
          <w:tcPr>
            <w:tcW w:w="1560" w:type="dxa"/>
          </w:tcPr>
          <w:p w14:paraId="6D1EE353" w14:textId="77777777" w:rsidR="00086012" w:rsidRDefault="008940CC">
            <w:pPr>
              <w:jc w:val="center"/>
            </w:pPr>
            <w:r>
              <w:rPr>
                <w:sz w:val="19"/>
                <w:szCs w:val="19"/>
              </w:rPr>
              <w:t>105685</w:t>
            </w:r>
          </w:p>
        </w:tc>
        <w:tc>
          <w:tcPr>
            <w:tcW w:w="1560" w:type="dxa"/>
          </w:tcPr>
          <w:p w14:paraId="5503E508" w14:textId="77777777" w:rsidR="00086012" w:rsidRDefault="008940CC">
            <w:pPr>
              <w:jc w:val="center"/>
            </w:pPr>
            <w:r>
              <w:rPr>
                <w:sz w:val="19"/>
                <w:szCs w:val="19"/>
              </w:rPr>
              <w:t>92.64</w:t>
            </w:r>
          </w:p>
        </w:tc>
        <w:tc>
          <w:tcPr>
            <w:tcW w:w="1560" w:type="dxa"/>
          </w:tcPr>
          <w:p w14:paraId="117643BE" w14:textId="77777777" w:rsidR="00086012" w:rsidRDefault="008940CC">
            <w:pPr>
              <w:jc w:val="center"/>
            </w:pPr>
            <w:r>
              <w:rPr>
                <w:sz w:val="19"/>
                <w:szCs w:val="19"/>
              </w:rPr>
              <w:t>92.65</w:t>
            </w:r>
          </w:p>
        </w:tc>
        <w:tc>
          <w:tcPr>
            <w:tcW w:w="1560" w:type="dxa"/>
          </w:tcPr>
          <w:p w14:paraId="01118FB7" w14:textId="77777777" w:rsidR="00086012" w:rsidRDefault="008940CC">
            <w:pPr>
              <w:jc w:val="center"/>
            </w:pPr>
            <w:r>
              <w:rPr>
                <w:sz w:val="19"/>
                <w:szCs w:val="19"/>
              </w:rPr>
              <w:t>92.64</w:t>
            </w:r>
          </w:p>
        </w:tc>
        <w:tc>
          <w:tcPr>
            <w:tcW w:w="1560" w:type="dxa"/>
          </w:tcPr>
          <w:p w14:paraId="19C32218" w14:textId="77777777" w:rsidR="00086012" w:rsidRDefault="008940CC">
            <w:pPr>
              <w:jc w:val="center"/>
            </w:pPr>
            <w:r>
              <w:rPr>
                <w:sz w:val="19"/>
                <w:szCs w:val="19"/>
              </w:rPr>
              <w:t>7.06</w:t>
            </w:r>
          </w:p>
        </w:tc>
        <w:tc>
          <w:tcPr>
            <w:tcW w:w="1560" w:type="dxa"/>
          </w:tcPr>
          <w:p w14:paraId="6DFFB88D" w14:textId="77777777" w:rsidR="00086012" w:rsidRDefault="008940CC">
            <w:pPr>
              <w:jc w:val="center"/>
            </w:pPr>
            <w:r>
              <w:rPr>
                <w:sz w:val="19"/>
                <w:szCs w:val="19"/>
              </w:rPr>
              <w:t>5.56</w:t>
            </w:r>
          </w:p>
        </w:tc>
      </w:tr>
      <w:tr w:rsidR="00086012" w14:paraId="7E1D6500" w14:textId="77777777">
        <w:tc>
          <w:tcPr>
            <w:tcW w:w="1560" w:type="dxa"/>
          </w:tcPr>
          <w:p w14:paraId="75AB879A" w14:textId="77777777" w:rsidR="00086012" w:rsidRDefault="008940CC">
            <w:pPr>
              <w:jc w:val="center"/>
            </w:pPr>
            <w:r>
              <w:rPr>
                <w:sz w:val="19"/>
                <w:szCs w:val="19"/>
              </w:rPr>
              <w:t>8853</w:t>
            </w:r>
          </w:p>
        </w:tc>
        <w:tc>
          <w:tcPr>
            <w:tcW w:w="1560" w:type="dxa"/>
          </w:tcPr>
          <w:p w14:paraId="507E1A47" w14:textId="77777777" w:rsidR="00086012" w:rsidRDefault="008940CC">
            <w:pPr>
              <w:jc w:val="center"/>
            </w:pPr>
            <w:r>
              <w:rPr>
                <w:sz w:val="19"/>
                <w:szCs w:val="19"/>
              </w:rPr>
              <w:t>87.87</w:t>
            </w:r>
          </w:p>
        </w:tc>
        <w:tc>
          <w:tcPr>
            <w:tcW w:w="1560" w:type="dxa"/>
          </w:tcPr>
          <w:p w14:paraId="10C2EF09" w14:textId="77777777" w:rsidR="00086012" w:rsidRDefault="008940CC">
            <w:pPr>
              <w:jc w:val="center"/>
            </w:pPr>
            <w:r>
              <w:rPr>
                <w:sz w:val="19"/>
                <w:szCs w:val="19"/>
              </w:rPr>
              <w:t>87.85</w:t>
            </w:r>
          </w:p>
        </w:tc>
        <w:tc>
          <w:tcPr>
            <w:tcW w:w="1560" w:type="dxa"/>
          </w:tcPr>
          <w:p w14:paraId="2158EC8F" w14:textId="77777777" w:rsidR="00086012" w:rsidRDefault="008940CC">
            <w:pPr>
              <w:jc w:val="center"/>
            </w:pPr>
            <w:r>
              <w:rPr>
                <w:sz w:val="19"/>
                <w:szCs w:val="19"/>
              </w:rPr>
              <w:t>87.87</w:t>
            </w:r>
          </w:p>
        </w:tc>
        <w:tc>
          <w:tcPr>
            <w:tcW w:w="1560" w:type="dxa"/>
          </w:tcPr>
          <w:p w14:paraId="6B77FDF1" w14:textId="77777777" w:rsidR="00086012" w:rsidRDefault="008940CC">
            <w:pPr>
              <w:jc w:val="center"/>
            </w:pPr>
            <w:r>
              <w:rPr>
                <w:sz w:val="19"/>
                <w:szCs w:val="19"/>
              </w:rPr>
              <w:t>20.47</w:t>
            </w:r>
          </w:p>
        </w:tc>
        <w:tc>
          <w:tcPr>
            <w:tcW w:w="1560" w:type="dxa"/>
          </w:tcPr>
          <w:p w14:paraId="7555F824" w14:textId="77777777" w:rsidR="00086012" w:rsidRDefault="008940CC">
            <w:pPr>
              <w:jc w:val="center"/>
            </w:pPr>
            <w:r>
              <w:rPr>
                <w:sz w:val="19"/>
                <w:szCs w:val="19"/>
              </w:rPr>
              <w:t>10.86</w:t>
            </w:r>
          </w:p>
        </w:tc>
      </w:tr>
      <w:tr w:rsidR="00086012" w14:paraId="424174B1" w14:textId="77777777">
        <w:tc>
          <w:tcPr>
            <w:tcW w:w="1560" w:type="dxa"/>
          </w:tcPr>
          <w:p w14:paraId="48B8AECE" w14:textId="77777777" w:rsidR="00086012" w:rsidRDefault="008940CC">
            <w:pPr>
              <w:jc w:val="center"/>
            </w:pPr>
            <w:r>
              <w:rPr>
                <w:sz w:val="19"/>
                <w:szCs w:val="19"/>
              </w:rPr>
              <w:t>17440</w:t>
            </w:r>
          </w:p>
        </w:tc>
        <w:tc>
          <w:tcPr>
            <w:tcW w:w="1560" w:type="dxa"/>
          </w:tcPr>
          <w:p w14:paraId="7016EDC6" w14:textId="77777777" w:rsidR="00086012" w:rsidRDefault="008940CC">
            <w:pPr>
              <w:jc w:val="center"/>
            </w:pPr>
            <w:r>
              <w:rPr>
                <w:sz w:val="19"/>
                <w:szCs w:val="19"/>
              </w:rPr>
              <w:t>75.98</w:t>
            </w:r>
          </w:p>
        </w:tc>
        <w:tc>
          <w:tcPr>
            <w:tcW w:w="1560" w:type="dxa"/>
          </w:tcPr>
          <w:p w14:paraId="3AACB612" w14:textId="77777777" w:rsidR="00086012" w:rsidRDefault="008940CC">
            <w:pPr>
              <w:jc w:val="center"/>
            </w:pPr>
            <w:r>
              <w:rPr>
                <w:sz w:val="19"/>
                <w:szCs w:val="19"/>
              </w:rPr>
              <w:t>76.00</w:t>
            </w:r>
          </w:p>
        </w:tc>
        <w:tc>
          <w:tcPr>
            <w:tcW w:w="1560" w:type="dxa"/>
          </w:tcPr>
          <w:p w14:paraId="0ED1B52C" w14:textId="77777777" w:rsidR="00086012" w:rsidRDefault="008940CC">
            <w:pPr>
              <w:jc w:val="center"/>
            </w:pPr>
            <w:r>
              <w:rPr>
                <w:sz w:val="19"/>
                <w:szCs w:val="19"/>
              </w:rPr>
              <w:t>75.98</w:t>
            </w:r>
          </w:p>
        </w:tc>
        <w:tc>
          <w:tcPr>
            <w:tcW w:w="1560" w:type="dxa"/>
          </w:tcPr>
          <w:p w14:paraId="1E200A4A" w14:textId="77777777" w:rsidR="00086012" w:rsidRDefault="008940CC">
            <w:pPr>
              <w:jc w:val="center"/>
            </w:pPr>
            <w:r>
              <w:rPr>
                <w:sz w:val="19"/>
                <w:szCs w:val="19"/>
              </w:rPr>
              <w:t>12.69</w:t>
            </w:r>
          </w:p>
        </w:tc>
        <w:tc>
          <w:tcPr>
            <w:tcW w:w="1560" w:type="dxa"/>
          </w:tcPr>
          <w:p w14:paraId="4E37804A" w14:textId="77777777" w:rsidR="00086012" w:rsidRDefault="008940CC">
            <w:pPr>
              <w:jc w:val="center"/>
            </w:pPr>
            <w:r>
              <w:rPr>
                <w:sz w:val="19"/>
                <w:szCs w:val="19"/>
              </w:rPr>
              <w:t>1.40</w:t>
            </w:r>
          </w:p>
        </w:tc>
      </w:tr>
      <w:tr w:rsidR="00086012" w14:paraId="02D65083" w14:textId="77777777">
        <w:tc>
          <w:tcPr>
            <w:tcW w:w="1560" w:type="dxa"/>
          </w:tcPr>
          <w:p w14:paraId="64269406" w14:textId="77777777" w:rsidR="00086012" w:rsidRDefault="008940CC">
            <w:pPr>
              <w:jc w:val="center"/>
            </w:pPr>
            <w:r>
              <w:rPr>
                <w:sz w:val="19"/>
                <w:szCs w:val="19"/>
              </w:rPr>
              <w:t>9598</w:t>
            </w:r>
          </w:p>
        </w:tc>
        <w:tc>
          <w:tcPr>
            <w:tcW w:w="1560" w:type="dxa"/>
          </w:tcPr>
          <w:p w14:paraId="37098F55" w14:textId="77777777" w:rsidR="00086012" w:rsidRDefault="008940CC">
            <w:pPr>
              <w:jc w:val="center"/>
            </w:pPr>
            <w:r>
              <w:rPr>
                <w:sz w:val="19"/>
                <w:szCs w:val="19"/>
              </w:rPr>
              <w:t>68.33</w:t>
            </w:r>
          </w:p>
        </w:tc>
        <w:tc>
          <w:tcPr>
            <w:tcW w:w="1560" w:type="dxa"/>
          </w:tcPr>
          <w:p w14:paraId="04CC91F7" w14:textId="77777777" w:rsidR="00086012" w:rsidRDefault="008940CC">
            <w:pPr>
              <w:jc w:val="center"/>
            </w:pPr>
            <w:r>
              <w:rPr>
                <w:sz w:val="19"/>
                <w:szCs w:val="19"/>
              </w:rPr>
              <w:t>68.35</w:t>
            </w:r>
          </w:p>
        </w:tc>
        <w:tc>
          <w:tcPr>
            <w:tcW w:w="1560" w:type="dxa"/>
          </w:tcPr>
          <w:p w14:paraId="37085B4A" w14:textId="77777777" w:rsidR="00086012" w:rsidRDefault="008940CC">
            <w:pPr>
              <w:jc w:val="center"/>
            </w:pPr>
            <w:r>
              <w:rPr>
                <w:sz w:val="19"/>
                <w:szCs w:val="19"/>
              </w:rPr>
              <w:t>68.33</w:t>
            </w:r>
          </w:p>
        </w:tc>
        <w:tc>
          <w:tcPr>
            <w:tcW w:w="1560" w:type="dxa"/>
          </w:tcPr>
          <w:p w14:paraId="56A30651" w14:textId="77777777" w:rsidR="00086012" w:rsidRDefault="008940CC">
            <w:pPr>
              <w:jc w:val="center"/>
            </w:pPr>
            <w:r>
              <w:rPr>
                <w:sz w:val="19"/>
                <w:szCs w:val="19"/>
              </w:rPr>
              <w:t>1.74</w:t>
            </w:r>
          </w:p>
        </w:tc>
        <w:tc>
          <w:tcPr>
            <w:tcW w:w="1560" w:type="dxa"/>
          </w:tcPr>
          <w:p w14:paraId="47362280" w14:textId="77777777" w:rsidR="00086012" w:rsidRDefault="008940CC">
            <w:pPr>
              <w:jc w:val="center"/>
            </w:pPr>
            <w:r>
              <w:rPr>
                <w:sz w:val="19"/>
                <w:szCs w:val="19"/>
              </w:rPr>
              <w:t>0.79</w:t>
            </w:r>
          </w:p>
        </w:tc>
      </w:tr>
      <w:tr w:rsidR="00086012" w14:paraId="02AE9A21" w14:textId="77777777">
        <w:tc>
          <w:tcPr>
            <w:tcW w:w="1560" w:type="dxa"/>
          </w:tcPr>
          <w:p w14:paraId="72DB540E" w14:textId="77777777" w:rsidR="00086012" w:rsidRDefault="008940CC">
            <w:pPr>
              <w:jc w:val="center"/>
            </w:pPr>
            <w:r>
              <w:rPr>
                <w:sz w:val="19"/>
                <w:szCs w:val="19"/>
              </w:rPr>
              <w:t>88845</w:t>
            </w:r>
          </w:p>
        </w:tc>
        <w:tc>
          <w:tcPr>
            <w:tcW w:w="1560" w:type="dxa"/>
          </w:tcPr>
          <w:p w14:paraId="63348C35" w14:textId="77777777" w:rsidR="00086012" w:rsidRDefault="008940CC">
            <w:pPr>
              <w:jc w:val="center"/>
            </w:pPr>
            <w:r>
              <w:rPr>
                <w:sz w:val="19"/>
                <w:szCs w:val="19"/>
              </w:rPr>
              <w:t>60.13</w:t>
            </w:r>
          </w:p>
        </w:tc>
        <w:tc>
          <w:tcPr>
            <w:tcW w:w="1560" w:type="dxa"/>
          </w:tcPr>
          <w:p w14:paraId="71F3A60B" w14:textId="77777777" w:rsidR="00086012" w:rsidRDefault="008940CC">
            <w:pPr>
              <w:jc w:val="center"/>
            </w:pPr>
            <w:r>
              <w:rPr>
                <w:sz w:val="19"/>
                <w:szCs w:val="19"/>
              </w:rPr>
              <w:t>60.15</w:t>
            </w:r>
          </w:p>
        </w:tc>
        <w:tc>
          <w:tcPr>
            <w:tcW w:w="1560" w:type="dxa"/>
          </w:tcPr>
          <w:p w14:paraId="2B35D734" w14:textId="77777777" w:rsidR="00086012" w:rsidRDefault="008940CC">
            <w:pPr>
              <w:jc w:val="center"/>
            </w:pPr>
            <w:r>
              <w:rPr>
                <w:sz w:val="19"/>
                <w:szCs w:val="19"/>
              </w:rPr>
              <w:t>60.13</w:t>
            </w:r>
          </w:p>
        </w:tc>
        <w:tc>
          <w:tcPr>
            <w:tcW w:w="1560" w:type="dxa"/>
          </w:tcPr>
          <w:p w14:paraId="4B8DAC3F" w14:textId="77777777" w:rsidR="00086012" w:rsidRDefault="008940CC">
            <w:pPr>
              <w:jc w:val="center"/>
            </w:pPr>
            <w:r>
              <w:rPr>
                <w:sz w:val="19"/>
                <w:szCs w:val="19"/>
              </w:rPr>
              <w:t>13.17</w:t>
            </w:r>
          </w:p>
        </w:tc>
        <w:tc>
          <w:tcPr>
            <w:tcW w:w="1560" w:type="dxa"/>
          </w:tcPr>
          <w:p w14:paraId="1515DC3C" w14:textId="77777777" w:rsidR="00086012" w:rsidRDefault="008940CC">
            <w:pPr>
              <w:jc w:val="center"/>
            </w:pPr>
            <w:r>
              <w:rPr>
                <w:sz w:val="19"/>
                <w:szCs w:val="19"/>
              </w:rPr>
              <w:t>0.18</w:t>
            </w:r>
          </w:p>
        </w:tc>
      </w:tr>
      <w:tr w:rsidR="00086012" w14:paraId="7367E5DC" w14:textId="77777777">
        <w:tc>
          <w:tcPr>
            <w:tcW w:w="1560" w:type="dxa"/>
          </w:tcPr>
          <w:p w14:paraId="7F5B9D88" w14:textId="77777777" w:rsidR="00086012" w:rsidRDefault="008940CC">
            <w:pPr>
              <w:jc w:val="center"/>
            </w:pPr>
            <w:r>
              <w:rPr>
                <w:sz w:val="19"/>
                <w:szCs w:val="19"/>
              </w:rPr>
              <w:t>19437</w:t>
            </w:r>
          </w:p>
        </w:tc>
        <w:tc>
          <w:tcPr>
            <w:tcW w:w="1560" w:type="dxa"/>
          </w:tcPr>
          <w:p w14:paraId="78B7576D" w14:textId="77777777" w:rsidR="00086012" w:rsidRDefault="008940CC">
            <w:pPr>
              <w:jc w:val="center"/>
            </w:pPr>
            <w:r>
              <w:rPr>
                <w:sz w:val="19"/>
                <w:szCs w:val="19"/>
              </w:rPr>
              <w:t>58.23</w:t>
            </w:r>
          </w:p>
        </w:tc>
        <w:tc>
          <w:tcPr>
            <w:tcW w:w="1560" w:type="dxa"/>
          </w:tcPr>
          <w:p w14:paraId="2CA1EC75" w14:textId="77777777" w:rsidR="00086012" w:rsidRDefault="008940CC">
            <w:pPr>
              <w:jc w:val="center"/>
            </w:pPr>
            <w:r>
              <w:rPr>
                <w:sz w:val="19"/>
                <w:szCs w:val="19"/>
              </w:rPr>
              <w:t>58.25</w:t>
            </w:r>
          </w:p>
        </w:tc>
        <w:tc>
          <w:tcPr>
            <w:tcW w:w="1560" w:type="dxa"/>
          </w:tcPr>
          <w:p w14:paraId="5AF901B8" w14:textId="77777777" w:rsidR="00086012" w:rsidRDefault="008940CC">
            <w:pPr>
              <w:jc w:val="center"/>
            </w:pPr>
            <w:r>
              <w:rPr>
                <w:sz w:val="19"/>
                <w:szCs w:val="19"/>
              </w:rPr>
              <w:t>58.23</w:t>
            </w:r>
          </w:p>
        </w:tc>
        <w:tc>
          <w:tcPr>
            <w:tcW w:w="1560" w:type="dxa"/>
          </w:tcPr>
          <w:p w14:paraId="1DC3D90C" w14:textId="77777777" w:rsidR="00086012" w:rsidRDefault="008940CC">
            <w:pPr>
              <w:jc w:val="center"/>
            </w:pPr>
            <w:r>
              <w:rPr>
                <w:sz w:val="19"/>
                <w:szCs w:val="19"/>
              </w:rPr>
              <w:t>15.05</w:t>
            </w:r>
          </w:p>
        </w:tc>
        <w:tc>
          <w:tcPr>
            <w:tcW w:w="1560" w:type="dxa"/>
          </w:tcPr>
          <w:p w14:paraId="7D6A55BB" w14:textId="77777777" w:rsidR="00086012" w:rsidRDefault="008940CC">
            <w:pPr>
              <w:jc w:val="center"/>
            </w:pPr>
            <w:r>
              <w:rPr>
                <w:sz w:val="19"/>
                <w:szCs w:val="19"/>
              </w:rPr>
              <w:t>1.04</w:t>
            </w:r>
          </w:p>
        </w:tc>
      </w:tr>
      <w:tr w:rsidR="00086012" w14:paraId="5ABC5F5F" w14:textId="77777777">
        <w:tc>
          <w:tcPr>
            <w:tcW w:w="1560" w:type="dxa"/>
          </w:tcPr>
          <w:p w14:paraId="73EA1DBB" w14:textId="77777777" w:rsidR="00086012" w:rsidRDefault="008940CC">
            <w:pPr>
              <w:jc w:val="center"/>
            </w:pPr>
            <w:r>
              <w:rPr>
                <w:sz w:val="19"/>
                <w:szCs w:val="19"/>
              </w:rPr>
              <w:t>92670</w:t>
            </w:r>
          </w:p>
        </w:tc>
        <w:tc>
          <w:tcPr>
            <w:tcW w:w="1560" w:type="dxa"/>
          </w:tcPr>
          <w:p w14:paraId="77839607" w14:textId="77777777" w:rsidR="00086012" w:rsidRDefault="008940CC">
            <w:pPr>
              <w:jc w:val="center"/>
            </w:pPr>
            <w:r>
              <w:rPr>
                <w:sz w:val="19"/>
                <w:szCs w:val="19"/>
              </w:rPr>
              <w:t>49.48</w:t>
            </w:r>
          </w:p>
        </w:tc>
        <w:tc>
          <w:tcPr>
            <w:tcW w:w="1560" w:type="dxa"/>
          </w:tcPr>
          <w:p w14:paraId="0E1F7791" w14:textId="77777777" w:rsidR="00086012" w:rsidRDefault="008940CC">
            <w:pPr>
              <w:jc w:val="center"/>
            </w:pPr>
            <w:r>
              <w:rPr>
                <w:sz w:val="19"/>
                <w:szCs w:val="19"/>
              </w:rPr>
              <w:t>49.50</w:t>
            </w:r>
          </w:p>
        </w:tc>
        <w:tc>
          <w:tcPr>
            <w:tcW w:w="1560" w:type="dxa"/>
          </w:tcPr>
          <w:p w14:paraId="683AB43D" w14:textId="77777777" w:rsidR="00086012" w:rsidRDefault="008940CC">
            <w:pPr>
              <w:jc w:val="center"/>
            </w:pPr>
            <w:r>
              <w:rPr>
                <w:sz w:val="19"/>
                <w:szCs w:val="19"/>
              </w:rPr>
              <w:t>49.48</w:t>
            </w:r>
          </w:p>
        </w:tc>
        <w:tc>
          <w:tcPr>
            <w:tcW w:w="1560" w:type="dxa"/>
          </w:tcPr>
          <w:p w14:paraId="2F217BB3" w14:textId="77777777" w:rsidR="00086012" w:rsidRDefault="008940CC">
            <w:pPr>
              <w:jc w:val="center"/>
            </w:pPr>
            <w:r>
              <w:rPr>
                <w:sz w:val="19"/>
                <w:szCs w:val="19"/>
              </w:rPr>
              <w:t>11.93</w:t>
            </w:r>
          </w:p>
        </w:tc>
        <w:tc>
          <w:tcPr>
            <w:tcW w:w="1560" w:type="dxa"/>
          </w:tcPr>
          <w:p w14:paraId="32935F50" w14:textId="77777777" w:rsidR="00086012" w:rsidRDefault="008940CC">
            <w:pPr>
              <w:jc w:val="center"/>
            </w:pPr>
            <w:r>
              <w:rPr>
                <w:sz w:val="19"/>
                <w:szCs w:val="19"/>
              </w:rPr>
              <w:t>0.18</w:t>
            </w:r>
          </w:p>
        </w:tc>
      </w:tr>
      <w:tr w:rsidR="00086012" w14:paraId="451A25BE" w14:textId="77777777">
        <w:tc>
          <w:tcPr>
            <w:tcW w:w="1560" w:type="dxa"/>
          </w:tcPr>
          <w:p w14:paraId="07A39B27" w14:textId="77777777" w:rsidR="00086012" w:rsidRDefault="008940CC">
            <w:pPr>
              <w:jc w:val="center"/>
            </w:pPr>
            <w:r>
              <w:rPr>
                <w:sz w:val="19"/>
                <w:szCs w:val="19"/>
              </w:rPr>
              <w:t>817</w:t>
            </w:r>
          </w:p>
        </w:tc>
        <w:tc>
          <w:tcPr>
            <w:tcW w:w="1560" w:type="dxa"/>
          </w:tcPr>
          <w:p w14:paraId="2A83E044" w14:textId="77777777" w:rsidR="00086012" w:rsidRDefault="008940CC">
            <w:pPr>
              <w:jc w:val="center"/>
            </w:pPr>
            <w:r>
              <w:rPr>
                <w:sz w:val="19"/>
                <w:szCs w:val="19"/>
              </w:rPr>
              <w:t>41.27</w:t>
            </w:r>
          </w:p>
        </w:tc>
        <w:tc>
          <w:tcPr>
            <w:tcW w:w="1560" w:type="dxa"/>
          </w:tcPr>
          <w:p w14:paraId="203F53EB" w14:textId="77777777" w:rsidR="00086012" w:rsidRDefault="008940CC">
            <w:pPr>
              <w:jc w:val="center"/>
            </w:pPr>
            <w:r>
              <w:rPr>
                <w:sz w:val="19"/>
                <w:szCs w:val="19"/>
              </w:rPr>
              <w:t>41.25</w:t>
            </w:r>
          </w:p>
        </w:tc>
        <w:tc>
          <w:tcPr>
            <w:tcW w:w="1560" w:type="dxa"/>
          </w:tcPr>
          <w:p w14:paraId="38830F3A" w14:textId="77777777" w:rsidR="00086012" w:rsidRDefault="008940CC">
            <w:pPr>
              <w:jc w:val="center"/>
            </w:pPr>
            <w:r>
              <w:rPr>
                <w:sz w:val="19"/>
                <w:szCs w:val="19"/>
              </w:rPr>
              <w:t>41.27</w:t>
            </w:r>
          </w:p>
        </w:tc>
        <w:tc>
          <w:tcPr>
            <w:tcW w:w="1560" w:type="dxa"/>
          </w:tcPr>
          <w:p w14:paraId="16EBE808" w14:textId="77777777" w:rsidR="00086012" w:rsidRDefault="008940CC">
            <w:pPr>
              <w:jc w:val="center"/>
            </w:pPr>
            <w:r>
              <w:rPr>
                <w:sz w:val="19"/>
                <w:szCs w:val="19"/>
              </w:rPr>
              <w:t>11.07</w:t>
            </w:r>
          </w:p>
        </w:tc>
        <w:tc>
          <w:tcPr>
            <w:tcW w:w="1560" w:type="dxa"/>
          </w:tcPr>
          <w:p w14:paraId="73314B14" w14:textId="77777777" w:rsidR="00086012" w:rsidRDefault="008940CC">
            <w:pPr>
              <w:jc w:val="center"/>
            </w:pPr>
            <w:r>
              <w:rPr>
                <w:sz w:val="19"/>
                <w:szCs w:val="19"/>
              </w:rPr>
              <w:t>1.01</w:t>
            </w:r>
          </w:p>
        </w:tc>
      </w:tr>
    </w:tbl>
    <w:p w14:paraId="1726BE05" w14:textId="77777777" w:rsidR="00086012" w:rsidRDefault="008940CC">
      <w:pPr>
        <w:spacing w:before="120" w:after="200"/>
      </w:pPr>
      <w:r>
        <w:rPr>
          <w:b/>
          <w:bCs/>
          <w:sz w:val="18"/>
          <w:szCs w:val="18"/>
        </w:rPr>
        <w:t>TABLE I. NORMALIZED BOUNDARY AND COHESION METRICS FOR THE TEN LARGEST PILOT MACRO-COMMUNITIES.</w:t>
      </w:r>
    </w:p>
    <w:p w14:paraId="4454910B" w14:textId="7041F396" w:rsidR="00086012" w:rsidRDefault="008940CC">
      <w:pPr>
        <w:spacing w:after="160" w:line="276" w:lineRule="auto"/>
        <w:jc w:val="both"/>
      </w:pPr>
      <w:r>
        <w:rPr>
          <w:sz w:val="21"/>
          <w:szCs w:val="21"/>
        </w:rPr>
        <w:t xml:space="preserve">As shown in Table I,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I</m:t>
            </m:r>
          </m:sub>
        </m:sSub>
      </m:oMath>
      <w:r>
        <w:rPr>
          <w:sz w:val="21"/>
          <w:szCs w:val="21"/>
        </w:rPr>
        <w:t xml:space="preserve">,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E</m:t>
            </m:r>
          </m:sub>
        </m:sSub>
      </m:oMath>
      <w:r>
        <w:rPr>
          <w:sz w:val="21"/>
          <w:szCs w:val="21"/>
        </w:rPr>
        <w:t xml:space="preserve">, and </w:t>
      </w:r>
      <m:oMath>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C</m:t>
            </m:r>
          </m:sub>
        </m:sSub>
      </m:oMath>
      <w:r>
        <w:rPr>
          <w:sz w:val="21"/>
          <w:szCs w:val="21"/>
        </w:rPr>
        <w:t xml:space="preserve"> are numerically indistinguishable for every community (differences below 0.03 points, attributable only to floating-point rounding), yielding a pairwise Pearson correlation of 1.00 across the sample. This confirms that the three metrics are algebraically identical representations of the same internal/external weight ratio and justifies collapsing them into the single Isolation dimension retained in the final CECS formula. In contrast, Internal Density and Reciprocity Rate vary substantially and non-monotonically with respect to Isolation — for example, community 8853 combines high isolation (87.87) with markedly higher density (20.47) and reciprocity (10.86) than the more isolated community 4392 (density 1.87, reciprocity 0.08) demonstrating that these dimensions capture genuinely independent structural information and are worth retaining alongside Isolation in a composite score.</w:t>
      </w:r>
    </w:p>
    <w:p w14:paraId="7B4D3AEB" w14:textId="77777777" w:rsidR="00086012" w:rsidRDefault="008940CC">
      <w:pPr>
        <w:spacing w:after="160" w:line="276" w:lineRule="auto"/>
        <w:jc w:val="both"/>
      </w:pPr>
      <w:r>
        <w:rPr>
          <w:sz w:val="21"/>
          <w:szCs w:val="21"/>
        </w:rPr>
        <w:t>The typology that emerges from this pilot data is instructive. Communities such as 4392 and 2361 combine near-total isolation with very low internal density and reciprocity, consistent with a top-down, broadcast-style structure in which a small set of accounts is retweeted heavily but members do not otherwise engage with one another. Community 8853, by contrast, pairs strong isolation with comparatively high density and reciprocity, consistent with a more organic, peer-reinforced chamber in which members actively converse with, not merely retweet, one another. This distinction — invisible to a single boundary metric — is precisely what motivates the multi-dimensional design of CECS.</w:t>
      </w:r>
    </w:p>
    <w:p w14:paraId="5CDA4719" w14:textId="77777777" w:rsidR="00086012" w:rsidRDefault="008940CC">
      <w:pPr>
        <w:spacing w:before="300" w:after="160"/>
      </w:pPr>
      <w:r>
        <w:rPr>
          <w:b/>
          <w:bCs/>
          <w:sz w:val="22"/>
          <w:szCs w:val="22"/>
        </w:rPr>
        <w:t>V. DISCUSSION</w:t>
      </w:r>
    </w:p>
    <w:p w14:paraId="3CE6827E" w14:textId="77777777" w:rsidR="00086012" w:rsidRDefault="008940CC">
      <w:pPr>
        <w:spacing w:after="160" w:line="276" w:lineRule="auto"/>
        <w:jc w:val="both"/>
      </w:pPr>
      <w:r>
        <w:rPr>
          <w:sz w:val="21"/>
          <w:szCs w:val="21"/>
        </w:rPr>
        <w:lastRenderedPageBreak/>
        <w:t>The redundancy result in Section IV has a direct methodological implication for future echo-chamber studies: reporting several boundary-style metrics side by side, as is common in the literature, can create a false impression of converging evidence when in fact a single structural signal is being counted multiple times. CECS addresses this by design, retaining exactly one boundary representative (Isolation) and allocating the remaining weight to dimensions — Modularity Contribution, Internal Density, Deafness, and Fixation — that our analysis shows to be empirically independent of it.</w:t>
      </w:r>
    </w:p>
    <w:p w14:paraId="7228F1A3" w14:textId="77777777" w:rsidR="00086012" w:rsidRDefault="008940CC">
      <w:pPr>
        <w:spacing w:after="160" w:line="276" w:lineRule="auto"/>
        <w:jc w:val="both"/>
      </w:pPr>
      <w:r>
        <w:rPr>
          <w:sz w:val="21"/>
          <w:szCs w:val="21"/>
        </w:rPr>
        <w:t xml:space="preserve">Compared with the HITS-based labeling of [1], CECS trades some simplicity for interpretability along five named axes rather than a single authority score, which allows communities with similar isolation to be distinguished by whether that isolation is organic (high density, high reciprocity) or imposed top-down (low density, low reciprocity, high fixation). Compared with the entropy-validated approach of [2], CECS forgoes formal statistical null-model validation of every edge in exchange for applicability to datasets that lack verified-user metadata or a rich URL-sharing signal — a common situation outside of large, English-language political debates. We view CECS as complementary to, rather than a replacement for, the </w:t>
      </w:r>
      <w:proofErr w:type="spellStart"/>
      <w:r>
        <w:rPr>
          <w:sz w:val="21"/>
          <w:szCs w:val="21"/>
        </w:rPr>
        <w:t>BiCM</w:t>
      </w:r>
      <w:proofErr w:type="spellEnd"/>
      <w:r>
        <w:rPr>
          <w:sz w:val="21"/>
          <w:szCs w:val="21"/>
        </w:rPr>
        <w:t>-based validation procedure of [2]: in settings where verified-user and URL data are available, the two approaches could be combined, using entropy-based validation to confirm that a community's discourse and news-engagement overlap is statistically significant before computing its CECS profile.</w:t>
      </w:r>
    </w:p>
    <w:p w14:paraId="27CB0090" w14:textId="77777777" w:rsidR="00086012" w:rsidRDefault="008940CC">
      <w:pPr>
        <w:spacing w:after="160" w:line="276" w:lineRule="auto"/>
        <w:jc w:val="both"/>
      </w:pPr>
      <w:r>
        <w:rPr>
          <w:sz w:val="21"/>
          <w:szCs w:val="21"/>
        </w:rPr>
        <w:t xml:space="preserve">It is also worth situating CECS relative to the embedding-based scores that have emerged since 2022. The ECS of </w:t>
      </w:r>
      <w:proofErr w:type="spellStart"/>
      <w:r>
        <w:rPr>
          <w:sz w:val="21"/>
          <w:szCs w:val="21"/>
        </w:rPr>
        <w:t>Alatawi</w:t>
      </w:r>
      <w:proofErr w:type="spellEnd"/>
      <w:r>
        <w:rPr>
          <w:sz w:val="21"/>
          <w:szCs w:val="21"/>
        </w:rPr>
        <w:t xml:space="preserve"> et al. [18] and the Transformer-based metric of </w:t>
      </w:r>
      <w:proofErr w:type="spellStart"/>
      <w:r>
        <w:rPr>
          <w:sz w:val="21"/>
          <w:szCs w:val="21"/>
        </w:rPr>
        <w:t>Ghafouri</w:t>
      </w:r>
      <w:proofErr w:type="spellEnd"/>
      <w:r>
        <w:rPr>
          <w:sz w:val="21"/>
          <w:szCs w:val="21"/>
        </w:rPr>
        <w:t xml:space="preserve"> et al. [19] both report strong separability between chambers, but they require fitting a graph auto-encoder or a language model before a single score can be produced, and their internal geometry is comparatively opaque to a domain expert. CECS sacrifices some of that discriminative power in exchange for full auditability: every one of its five components can be traced back to a concrete count of edges, triangles, or bits of entropy, which matters when a score is used to justify a moderation or research decision rather than merely to rank communities. As the survey of Zhu et al. [16] notes, no existing metric is treated as authoritative across the field; we view CECS as one transparent point in that space rather than as a final answer, and see no obstacle to computing CECS and an embedding-based score such as [18] side by side on the same community partition as a direction for future validation.</w:t>
      </w:r>
    </w:p>
    <w:p w14:paraId="31E16204" w14:textId="77777777" w:rsidR="00086012" w:rsidRDefault="008940CC">
      <w:pPr>
        <w:spacing w:after="160" w:line="276" w:lineRule="auto"/>
        <w:jc w:val="both"/>
      </w:pPr>
      <w:r>
        <w:rPr>
          <w:sz w:val="21"/>
          <w:szCs w:val="21"/>
        </w:rPr>
        <w:t>A limitation of the present pilot is its scale: ten macro-communities are sufficient to demonstrate the algebraic redundancy of boundary metrics and to illustrate the qualitative typology CECS enables, but a full validation of the chosen weights (30/20/20/20/10) against an independent ground truth — for example, manually labeled echo chambers, or the presence of known troll or bot accounts as in [1], [6], [7] — remains necessary and is the subject of ongoing work on the complete dataset.</w:t>
      </w:r>
    </w:p>
    <w:p w14:paraId="2E79F4CB" w14:textId="77777777" w:rsidR="00086012" w:rsidRDefault="008940CC">
      <w:pPr>
        <w:spacing w:before="300" w:after="160"/>
      </w:pPr>
      <w:r>
        <w:rPr>
          <w:b/>
          <w:bCs/>
          <w:sz w:val="22"/>
          <w:szCs w:val="22"/>
        </w:rPr>
        <w:t>VI. CONCLUSION</w:t>
      </w:r>
    </w:p>
    <w:p w14:paraId="17B0D236" w14:textId="77777777" w:rsidR="00086012" w:rsidRDefault="008940CC">
      <w:pPr>
        <w:spacing w:after="160" w:line="276" w:lineRule="auto"/>
        <w:jc w:val="both"/>
      </w:pPr>
      <w:r>
        <w:rPr>
          <w:sz w:val="21"/>
          <w:szCs w:val="21"/>
        </w:rPr>
        <w:t>This paper introduced the Composite Echo Chamber Score (CECS), a five-dimensional, content-agnostic metric for structural echo-chamber detection that combines Isolation, Modularity Contribution, Internal Density, the Inverse Diplomat Effect, and Neighborhood Entropy into a single 0–100 score. Building on the purely structural tradition established by [1] and informed by the statistically rigorous alternative of [2], we showed that three widely used boundary metrics — the Isolation Metric, the E/I Index, and Conductance — are algebraically redundant, and used this finding to design a compact, non-redundant composite formula. A pilot validation on ten macro-communities illustrated that CECS can distinguish organically reinforced echo chambers from top-down broadcast structures that a single boundary metric would treat as equivalent. Future work will apply CECS at full scale across the complete retweet dataset, validate the chosen dimension weights against independent ground truth, and explore its extension to other platforms and languages.</w:t>
      </w:r>
    </w:p>
    <w:p w14:paraId="757D1983" w14:textId="77777777" w:rsidR="00086012" w:rsidRDefault="008940CC">
      <w:pPr>
        <w:spacing w:before="300" w:after="160"/>
      </w:pPr>
      <w:r>
        <w:rPr>
          <w:b/>
          <w:bCs/>
          <w:sz w:val="22"/>
          <w:szCs w:val="22"/>
        </w:rPr>
        <w:lastRenderedPageBreak/>
        <w:t>REFERENCES</w:t>
      </w:r>
    </w:p>
    <w:p w14:paraId="5B48A3C2" w14:textId="77777777" w:rsidR="00086012" w:rsidRDefault="008940CC">
      <w:pPr>
        <w:spacing w:after="120"/>
        <w:ind w:left="360" w:hanging="360"/>
      </w:pPr>
      <w:r>
        <w:t xml:space="preserve">[1] N. </w:t>
      </w:r>
      <w:proofErr w:type="spellStart"/>
      <w:r>
        <w:t>Kratzke</w:t>
      </w:r>
      <w:proofErr w:type="spellEnd"/>
      <w:r>
        <w:t xml:space="preserve">, "How to find orchestrated trolls? A case study on identifying polarized Twitter echo chambers," Preprints.org, Feb. 2023, </w:t>
      </w:r>
      <w:proofErr w:type="spellStart"/>
      <w:r>
        <w:t>doi</w:t>
      </w:r>
      <w:proofErr w:type="spellEnd"/>
      <w:r>
        <w:t>: 10.20944/preprints202302.0032.v1.</w:t>
      </w:r>
    </w:p>
    <w:p w14:paraId="0CBF3C58" w14:textId="77777777" w:rsidR="00086012" w:rsidRDefault="008940CC">
      <w:pPr>
        <w:spacing w:after="120"/>
        <w:ind w:left="360" w:hanging="360"/>
      </w:pPr>
      <w:r>
        <w:t xml:space="preserve">[2] M. </w:t>
      </w:r>
      <w:proofErr w:type="spellStart"/>
      <w:r>
        <w:t>Pratelli</w:t>
      </w:r>
      <w:proofErr w:type="spellEnd"/>
      <w:r>
        <w:t xml:space="preserve">, F. </w:t>
      </w:r>
      <w:proofErr w:type="spellStart"/>
      <w:r>
        <w:t>Saracco</w:t>
      </w:r>
      <w:proofErr w:type="spellEnd"/>
      <w:r>
        <w:t xml:space="preserve">, and M. </w:t>
      </w:r>
      <w:proofErr w:type="spellStart"/>
      <w:r>
        <w:t>Petrocchi</w:t>
      </w:r>
      <w:proofErr w:type="spellEnd"/>
      <w:r>
        <w:t>, "Entropy-based detection of Twitter echo chambers," PNAS Nexus, vol. 3, no. 5, p. pgae177, 2024.</w:t>
      </w:r>
    </w:p>
    <w:p w14:paraId="1F7AC0E8" w14:textId="77777777" w:rsidR="00086012" w:rsidRDefault="008940CC">
      <w:pPr>
        <w:spacing w:after="120"/>
        <w:ind w:left="360" w:hanging="360"/>
      </w:pPr>
      <w:r>
        <w:t xml:space="preserve">[3] M. Del Vicario, A. </w:t>
      </w:r>
      <w:proofErr w:type="spellStart"/>
      <w:r>
        <w:t>Bessi</w:t>
      </w:r>
      <w:proofErr w:type="spellEnd"/>
      <w:r>
        <w:t xml:space="preserve">, F. </w:t>
      </w:r>
      <w:proofErr w:type="spellStart"/>
      <w:r>
        <w:t>Zollo</w:t>
      </w:r>
      <w:proofErr w:type="spellEnd"/>
      <w:r>
        <w:t xml:space="preserve">, F. </w:t>
      </w:r>
      <w:proofErr w:type="spellStart"/>
      <w:r>
        <w:t>Petroni</w:t>
      </w:r>
      <w:proofErr w:type="spellEnd"/>
      <w:r>
        <w:t xml:space="preserve">, A. Scala, G. </w:t>
      </w:r>
      <w:proofErr w:type="spellStart"/>
      <w:r>
        <w:t>Caldarelli</w:t>
      </w:r>
      <w:proofErr w:type="spellEnd"/>
      <w:r>
        <w:t xml:space="preserve">, H. E. Stanley, and W. </w:t>
      </w:r>
      <w:proofErr w:type="spellStart"/>
      <w:r>
        <w:t>Quattrociocchi</w:t>
      </w:r>
      <w:proofErr w:type="spellEnd"/>
      <w:r>
        <w:t>, "The spreading of misinformation online," Proc. Natl. Acad. Sci. USA, vol. 113, no. 3, pp. 554–559, 2016.</w:t>
      </w:r>
    </w:p>
    <w:p w14:paraId="43473BF4" w14:textId="77777777" w:rsidR="00086012" w:rsidRDefault="008940CC">
      <w:pPr>
        <w:spacing w:after="120"/>
        <w:ind w:left="360" w:hanging="360"/>
      </w:pPr>
      <w:r>
        <w:t xml:space="preserve">[4] R. K. Garrett, "Echo chambers online? Politically motivated selective exposure among Internet news users," J. </w:t>
      </w:r>
      <w:proofErr w:type="spellStart"/>
      <w:r>
        <w:t>Comput</w:t>
      </w:r>
      <w:proofErr w:type="spellEnd"/>
      <w:r>
        <w:t>.-</w:t>
      </w:r>
      <w:proofErr w:type="spellStart"/>
      <w:r>
        <w:t>Mediat</w:t>
      </w:r>
      <w:proofErr w:type="spellEnd"/>
      <w:r>
        <w:t xml:space="preserve">. </w:t>
      </w:r>
      <w:proofErr w:type="spellStart"/>
      <w:r>
        <w:t>Commun</w:t>
      </w:r>
      <w:proofErr w:type="spellEnd"/>
      <w:r>
        <w:t>., vol. 14, no. 2, pp. 265–285, 2009.</w:t>
      </w:r>
    </w:p>
    <w:p w14:paraId="1ED3D7E9" w14:textId="77777777" w:rsidR="00086012" w:rsidRDefault="008940CC">
      <w:pPr>
        <w:spacing w:after="120"/>
        <w:ind w:left="360" w:hanging="360"/>
      </w:pPr>
      <w:r>
        <w:t xml:space="preserve">[5] M. Cinelli, G. De </w:t>
      </w:r>
      <w:proofErr w:type="spellStart"/>
      <w:r>
        <w:t>Francisci</w:t>
      </w:r>
      <w:proofErr w:type="spellEnd"/>
      <w:r>
        <w:t xml:space="preserve"> Morales, A. Galeazzi, W. </w:t>
      </w:r>
      <w:proofErr w:type="spellStart"/>
      <w:r>
        <w:t>Quattrociocchi</w:t>
      </w:r>
      <w:proofErr w:type="spellEnd"/>
      <w:r>
        <w:t xml:space="preserve">, and M. </w:t>
      </w:r>
      <w:proofErr w:type="spellStart"/>
      <w:r>
        <w:t>Starnini</w:t>
      </w:r>
      <w:proofErr w:type="spellEnd"/>
      <w:r>
        <w:t>, "The echo chamber effect on social media," Proc. Natl. Acad. Sci. USA, vol. 118, no. 9, e2023301118, 2021.</w:t>
      </w:r>
    </w:p>
    <w:p w14:paraId="400EB812" w14:textId="77777777" w:rsidR="00086012" w:rsidRDefault="008940CC">
      <w:pPr>
        <w:spacing w:after="120"/>
        <w:ind w:left="360" w:hanging="360"/>
      </w:pPr>
      <w:r>
        <w:t xml:space="preserve">[6] S. </w:t>
      </w:r>
      <w:proofErr w:type="spellStart"/>
      <w:r>
        <w:t>Zannettou</w:t>
      </w:r>
      <w:proofErr w:type="spellEnd"/>
      <w:r>
        <w:t xml:space="preserve">, T. Caulfield, E. De </w:t>
      </w:r>
      <w:proofErr w:type="spellStart"/>
      <w:r>
        <w:t>Cristofaro</w:t>
      </w:r>
      <w:proofErr w:type="spellEnd"/>
      <w:r>
        <w:t xml:space="preserve">, M. </w:t>
      </w:r>
      <w:proofErr w:type="spellStart"/>
      <w:r>
        <w:t>Sirivianos</w:t>
      </w:r>
      <w:proofErr w:type="spellEnd"/>
      <w:r>
        <w:t xml:space="preserve">, G. </w:t>
      </w:r>
      <w:proofErr w:type="spellStart"/>
      <w:r>
        <w:t>Stringhini</w:t>
      </w:r>
      <w:proofErr w:type="spellEnd"/>
      <w:r>
        <w:t>, and J. Blackburn, "Disinformation warfare: Understanding state-sponsored trolls on Twitter and their influence on the web," in Companion Proc. 2019 World Wide Web Conf. (WWW '19), 2019, pp. 218–226.</w:t>
      </w:r>
    </w:p>
    <w:p w14:paraId="0FB86DBF" w14:textId="77777777" w:rsidR="00086012" w:rsidRDefault="008940CC">
      <w:pPr>
        <w:spacing w:after="120"/>
        <w:ind w:left="360" w:hanging="360"/>
      </w:pPr>
      <w:r>
        <w:t xml:space="preserve">[7] A. </w:t>
      </w:r>
      <w:proofErr w:type="spellStart"/>
      <w:r>
        <w:t>Badawy</w:t>
      </w:r>
      <w:proofErr w:type="spellEnd"/>
      <w:r>
        <w:t xml:space="preserve">, E. Ferrara, and K. </w:t>
      </w:r>
      <w:proofErr w:type="spellStart"/>
      <w:r>
        <w:t>Lerman</w:t>
      </w:r>
      <w:proofErr w:type="spellEnd"/>
      <w:r>
        <w:t>, "Analyzing the digital traces of political manipulation: The 2016 Russian interference Twitter campaign," in Proc. 2018 IEEE/ACM Int. Conf. Advances in Social Networks Analysis and Mining (ASONAM), 2018, pp. 258–265.</w:t>
      </w:r>
    </w:p>
    <w:p w14:paraId="3156FEBF" w14:textId="77777777" w:rsidR="00086012" w:rsidRDefault="008940CC">
      <w:pPr>
        <w:spacing w:after="120"/>
        <w:ind w:left="360" w:hanging="360"/>
      </w:pPr>
      <w:r>
        <w:t xml:space="preserve">[8] A. </w:t>
      </w:r>
      <w:proofErr w:type="spellStart"/>
      <w:r>
        <w:t>Clauset</w:t>
      </w:r>
      <w:proofErr w:type="spellEnd"/>
      <w:r>
        <w:t>, M. E. J. Newman, and C. Moore, "Finding community structure in very large networks," Phys. Rev. E, vol. 70, no. 6, p. 066111, 2004.</w:t>
      </w:r>
    </w:p>
    <w:p w14:paraId="7177AE5D" w14:textId="77777777" w:rsidR="00086012" w:rsidRDefault="008940CC">
      <w:pPr>
        <w:spacing w:after="120"/>
        <w:ind w:left="360" w:hanging="360"/>
      </w:pPr>
      <w:r>
        <w:t>[9] M. E. J. Newman, "Modularity and community structure in networks," Proc. Natl. Acad. Sci. USA, vol. 103, no. 23, pp. 8577–8582, 2006.</w:t>
      </w:r>
    </w:p>
    <w:p w14:paraId="176922D8" w14:textId="77777777" w:rsidR="00086012" w:rsidRDefault="008940CC">
      <w:pPr>
        <w:spacing w:after="120"/>
        <w:ind w:left="360" w:hanging="360"/>
      </w:pPr>
      <w:r>
        <w:t>[10] J. M. Kleinberg, "Authoritative sources in a hyperlinked environment," J. ACM, vol. 46, no. 5, pp. 604–632, 1999.</w:t>
      </w:r>
    </w:p>
    <w:p w14:paraId="376A7217" w14:textId="77777777" w:rsidR="00086012" w:rsidRDefault="008940CC">
      <w:pPr>
        <w:spacing w:after="120"/>
        <w:ind w:left="360" w:hanging="360"/>
      </w:pPr>
      <w:r>
        <w:t xml:space="preserve">[11] D. </w:t>
      </w:r>
      <w:proofErr w:type="spellStart"/>
      <w:r>
        <w:t>Krackhardt</w:t>
      </w:r>
      <w:proofErr w:type="spellEnd"/>
      <w:r>
        <w:t xml:space="preserve"> and R. N. Stern, "Informal networks and organizational crises: An experimental simulation," Social Psychology Quarterly, vol. 51, no. 2, pp. 123–140, 1988.</w:t>
      </w:r>
    </w:p>
    <w:p w14:paraId="09A7A9FC" w14:textId="77777777" w:rsidR="00086012" w:rsidRDefault="008940CC">
      <w:pPr>
        <w:spacing w:after="120"/>
        <w:ind w:left="360" w:hanging="360"/>
      </w:pPr>
      <w:r>
        <w:t xml:space="preserve">[12] D. J. Watts and S. H. </w:t>
      </w:r>
      <w:proofErr w:type="spellStart"/>
      <w:r>
        <w:t>Strogatz</w:t>
      </w:r>
      <w:proofErr w:type="spellEnd"/>
      <w:r>
        <w:t>, "Collective dynamics of 'small-world' networks," Nature, vol. 393, pp. 440–442, 1998.</w:t>
      </w:r>
    </w:p>
    <w:p w14:paraId="0030E2EC" w14:textId="77777777" w:rsidR="00086012" w:rsidRDefault="008940CC">
      <w:pPr>
        <w:spacing w:after="120"/>
        <w:ind w:left="360" w:hanging="360"/>
      </w:pPr>
      <w:r>
        <w:t>[13] C. E. Shannon, "A mathematical theory of communication," Bell Syst. Tech. J., vol. 27, no. 3, pp. 379–423, 1948.</w:t>
      </w:r>
    </w:p>
    <w:p w14:paraId="6E7E17F3" w14:textId="77777777" w:rsidR="00086012" w:rsidRDefault="008940CC">
      <w:pPr>
        <w:spacing w:after="120"/>
        <w:ind w:left="360" w:hanging="360"/>
      </w:pPr>
      <w:r>
        <w:t xml:space="preserve">[14] F. </w:t>
      </w:r>
      <w:proofErr w:type="spellStart"/>
      <w:r>
        <w:t>Saracco</w:t>
      </w:r>
      <w:proofErr w:type="spellEnd"/>
      <w:r>
        <w:t xml:space="preserve">, R. Di Clemente, A. </w:t>
      </w:r>
      <w:proofErr w:type="spellStart"/>
      <w:r>
        <w:t>Gabrielli</w:t>
      </w:r>
      <w:proofErr w:type="spellEnd"/>
      <w:r>
        <w:t xml:space="preserve">, and T. </w:t>
      </w:r>
      <w:proofErr w:type="spellStart"/>
      <w:r>
        <w:t>Squartini</w:t>
      </w:r>
      <w:proofErr w:type="spellEnd"/>
      <w:r>
        <w:t>, "Randomizing bipartite networks: The case of the world trade web," Sci. Rep., vol. 5, p. 10595, 2015.</w:t>
      </w:r>
    </w:p>
    <w:p w14:paraId="7669C986" w14:textId="77777777" w:rsidR="00086012" w:rsidRDefault="008940CC">
      <w:pPr>
        <w:spacing w:after="120"/>
        <w:ind w:left="360" w:hanging="360"/>
      </w:pPr>
      <w:r>
        <w:t xml:space="preserve">[15] A. </w:t>
      </w:r>
      <w:proofErr w:type="spellStart"/>
      <w:r>
        <w:t>Mahmoudi</w:t>
      </w:r>
      <w:proofErr w:type="spellEnd"/>
      <w:r>
        <w:t xml:space="preserve">, D. </w:t>
      </w:r>
      <w:proofErr w:type="spellStart"/>
      <w:r>
        <w:t>Jemielniak</w:t>
      </w:r>
      <w:proofErr w:type="spellEnd"/>
      <w:r>
        <w:t xml:space="preserve">, and L. </w:t>
      </w:r>
      <w:proofErr w:type="spellStart"/>
      <w:r>
        <w:t>Ciechanowski</w:t>
      </w:r>
      <w:proofErr w:type="spellEnd"/>
      <w:r>
        <w:t>, "Echo chambers in online social networks: A systematic literature review," IEEE Access, vol. 12, pp. 9594–9620, 2024.</w:t>
      </w:r>
    </w:p>
    <w:p w14:paraId="536518D5" w14:textId="77777777" w:rsidR="00086012" w:rsidRDefault="008940CC">
      <w:pPr>
        <w:spacing w:after="120"/>
        <w:ind w:left="360" w:hanging="360"/>
      </w:pPr>
      <w:r>
        <w:t>[16] X. Zhu, R. Cheng, L. V. S. Lakshmanan, X. Li, C. Ma, and M. M. Najafi, "Detection, measurement, and mitigation of echo chambers in social networks: A survey," IEEE Data Eng. Bull., vol. 48, no. 2, pp. 58–84, 2025.</w:t>
      </w:r>
    </w:p>
    <w:p w14:paraId="687686A8" w14:textId="77777777" w:rsidR="00086012" w:rsidRDefault="008940CC">
      <w:pPr>
        <w:spacing w:after="120"/>
        <w:ind w:left="360" w:hanging="360"/>
      </w:pPr>
      <w:r>
        <w:t xml:space="preserve">[17] M. </w:t>
      </w:r>
      <w:proofErr w:type="spellStart"/>
      <w:r>
        <w:t>Minici</w:t>
      </w:r>
      <w:proofErr w:type="spellEnd"/>
      <w:r>
        <w:t xml:space="preserve">, F. </w:t>
      </w:r>
      <w:proofErr w:type="spellStart"/>
      <w:r>
        <w:t>Cinus</w:t>
      </w:r>
      <w:proofErr w:type="spellEnd"/>
      <w:r>
        <w:t xml:space="preserve">, C. Monti, F. </w:t>
      </w:r>
      <w:proofErr w:type="spellStart"/>
      <w:r>
        <w:t>Bonchi</w:t>
      </w:r>
      <w:proofErr w:type="spellEnd"/>
      <w:r>
        <w:t>, and G. Manco, "Cascade-based echo chamber detection," in Proc. 31st ACM Int. Conf. Information &amp; Knowledge Management (CIKM), 2022, pp. 1511–1520.</w:t>
      </w:r>
    </w:p>
    <w:p w14:paraId="2618CEB9" w14:textId="77777777" w:rsidR="00086012" w:rsidRDefault="008940CC">
      <w:pPr>
        <w:spacing w:after="120"/>
        <w:ind w:left="360" w:hanging="360"/>
      </w:pPr>
      <w:r>
        <w:t xml:space="preserve">[18] F. </w:t>
      </w:r>
      <w:proofErr w:type="spellStart"/>
      <w:r>
        <w:t>Alatawi</w:t>
      </w:r>
      <w:proofErr w:type="spellEnd"/>
      <w:r>
        <w:t xml:space="preserve">, P. </w:t>
      </w:r>
      <w:proofErr w:type="spellStart"/>
      <w:r>
        <w:t>Sheth</w:t>
      </w:r>
      <w:proofErr w:type="spellEnd"/>
      <w:r>
        <w:t>, and H. Liu, "Quantifying the echo chamber effect: An embedding distance-based approach," in Proc. 2023 IEEE/ACM Int. Conf. Advances in Social Networks Analysis and Mining (ASONAM), 2023, pp. 38–45.</w:t>
      </w:r>
    </w:p>
    <w:p w14:paraId="20BF5412" w14:textId="77777777" w:rsidR="00086012" w:rsidRDefault="008940CC">
      <w:pPr>
        <w:spacing w:after="120"/>
        <w:ind w:left="360" w:hanging="360"/>
      </w:pPr>
      <w:r>
        <w:t xml:space="preserve">[19] V. </w:t>
      </w:r>
      <w:proofErr w:type="spellStart"/>
      <w:r>
        <w:t>Ghafouri</w:t>
      </w:r>
      <w:proofErr w:type="spellEnd"/>
      <w:r>
        <w:t xml:space="preserve">, F. </w:t>
      </w:r>
      <w:proofErr w:type="spellStart"/>
      <w:r>
        <w:t>Alatawi</w:t>
      </w:r>
      <w:proofErr w:type="spellEnd"/>
      <w:r>
        <w:t xml:space="preserve">, M. </w:t>
      </w:r>
      <w:proofErr w:type="spellStart"/>
      <w:r>
        <w:t>Karami</w:t>
      </w:r>
      <w:proofErr w:type="spellEnd"/>
      <w:r>
        <w:t>, J. Such, and G. Suarez-</w:t>
      </w:r>
      <w:proofErr w:type="spellStart"/>
      <w:r>
        <w:t>Tangil</w:t>
      </w:r>
      <w:proofErr w:type="spellEnd"/>
      <w:r>
        <w:t>, "Transformer-based quantification of the echo chamber effect in online communities," Proc. ACM Hum.-</w:t>
      </w:r>
      <w:proofErr w:type="spellStart"/>
      <w:r>
        <w:t>Comput</w:t>
      </w:r>
      <w:proofErr w:type="spellEnd"/>
      <w:r>
        <w:t>. Interact., vol. 8, no. CSCW2, Article 467, 2024.</w:t>
      </w:r>
    </w:p>
    <w:p w14:paraId="6708E73E" w14:textId="77777777" w:rsidR="00086012" w:rsidRDefault="008940CC">
      <w:pPr>
        <w:spacing w:after="120"/>
        <w:ind w:left="360" w:hanging="360"/>
      </w:pPr>
      <w:r>
        <w:lastRenderedPageBreak/>
        <w:t xml:space="preserve">[20] P. Guerra, W. Meira Jr., C. </w:t>
      </w:r>
      <w:proofErr w:type="spellStart"/>
      <w:r>
        <w:t>Cardie</w:t>
      </w:r>
      <w:proofErr w:type="spellEnd"/>
      <w:r>
        <w:t xml:space="preserve">, and R. Kleinberg, "A measure of polarization on social media networks based on community boundaries," in Proc. Int. AAAI Conf. Web and </w:t>
      </w:r>
      <w:proofErr w:type="gramStart"/>
      <w:r>
        <w:t>Social Media</w:t>
      </w:r>
      <w:proofErr w:type="gramEnd"/>
      <w:r>
        <w:t>, vol. 7, 2013, pp. 215–224.</w:t>
      </w:r>
    </w:p>
    <w:p w14:paraId="5B9C11E9" w14:textId="77777777" w:rsidR="00086012" w:rsidRDefault="008940CC">
      <w:pPr>
        <w:spacing w:after="120"/>
        <w:ind w:left="360" w:hanging="360"/>
      </w:pPr>
      <w:r>
        <w:t xml:space="preserve">[21] K. </w:t>
      </w:r>
      <w:proofErr w:type="spellStart"/>
      <w:r>
        <w:t>Garimella</w:t>
      </w:r>
      <w:proofErr w:type="spellEnd"/>
      <w:r>
        <w:t xml:space="preserve">, G. De </w:t>
      </w:r>
      <w:proofErr w:type="spellStart"/>
      <w:r>
        <w:t>Francisci</w:t>
      </w:r>
      <w:proofErr w:type="spellEnd"/>
      <w:r>
        <w:t xml:space="preserve"> Morales, A. </w:t>
      </w:r>
      <w:proofErr w:type="spellStart"/>
      <w:r>
        <w:t>Gionis</w:t>
      </w:r>
      <w:proofErr w:type="spellEnd"/>
      <w:r>
        <w:t xml:space="preserve">, and M. </w:t>
      </w:r>
      <w:proofErr w:type="spellStart"/>
      <w:r>
        <w:t>Mathioudakis</w:t>
      </w:r>
      <w:proofErr w:type="spellEnd"/>
      <w:r>
        <w:t xml:space="preserve">, "Quantifying controversy on social media," ACM Trans. Soc. </w:t>
      </w:r>
      <w:proofErr w:type="spellStart"/>
      <w:r>
        <w:t>Comput</w:t>
      </w:r>
      <w:proofErr w:type="spellEnd"/>
      <w:r>
        <w:t>., vol. 1, no. 1, pp. 1–27, 2018.</w:t>
      </w:r>
    </w:p>
    <w:p w14:paraId="0D67F010" w14:textId="77777777" w:rsidR="00086012" w:rsidRDefault="008940CC">
      <w:pPr>
        <w:spacing w:after="120"/>
        <w:ind w:left="360" w:hanging="360"/>
      </w:pPr>
      <w:r>
        <w:t xml:space="preserve">[22] G. </w:t>
      </w:r>
      <w:proofErr w:type="spellStart"/>
      <w:r>
        <w:t>Pasquini</w:t>
      </w:r>
      <w:proofErr w:type="spellEnd"/>
      <w:r>
        <w:t xml:space="preserve">, P. </w:t>
      </w:r>
      <w:proofErr w:type="spellStart"/>
      <w:r>
        <w:t>Vocca</w:t>
      </w:r>
      <w:proofErr w:type="spellEnd"/>
      <w:r>
        <w:t>, and G. Amati, "The anatomy of disinformation networks: A hybrid graph-based framework for echo chamber detection in the Italian Twitter/X sphere," in Proc. 2025 12th Int. Conf. Social Networks Analysis, Management and Security (SNAMS), 2025, pp. 172–179.</w:t>
      </w:r>
    </w:p>
    <w:p w14:paraId="6771562C" w14:textId="77777777" w:rsidR="00086012" w:rsidRDefault="008940CC">
      <w:pPr>
        <w:spacing w:after="120"/>
        <w:ind w:left="360" w:hanging="360"/>
      </w:pPr>
      <w:r>
        <w:t xml:space="preserve">[23] D. C. </w:t>
      </w:r>
      <w:proofErr w:type="spellStart"/>
      <w:r>
        <w:t>Kavargyris</w:t>
      </w:r>
      <w:proofErr w:type="spellEnd"/>
      <w:r>
        <w:t>, K. Georgiou, and L. Angelis, "</w:t>
      </w:r>
      <w:proofErr w:type="spellStart"/>
      <w:r>
        <w:t>EchoSense</w:t>
      </w:r>
      <w:proofErr w:type="spellEnd"/>
      <w:r>
        <w:t xml:space="preserve">: A framework for analyzing the echo chambers phenomenon: A case study on Qatar events," Soc. </w:t>
      </w:r>
      <w:proofErr w:type="spellStart"/>
      <w:r>
        <w:t>Netw</w:t>
      </w:r>
      <w:proofErr w:type="spellEnd"/>
      <w:r>
        <w:t>. Anal. Min., vol. 14, p. 113, 2024.</w:t>
      </w:r>
    </w:p>
    <w:p w14:paraId="0203D751" w14:textId="77777777" w:rsidR="00086012" w:rsidRDefault="008940CC">
      <w:pPr>
        <w:spacing w:after="120"/>
        <w:ind w:left="360" w:hanging="360"/>
      </w:pPr>
      <w:r>
        <w:t xml:space="preserve">[24] M. Falkenberg, F. </w:t>
      </w:r>
      <w:proofErr w:type="spellStart"/>
      <w:r>
        <w:t>Zollo</w:t>
      </w:r>
      <w:proofErr w:type="spellEnd"/>
      <w:r>
        <w:t xml:space="preserve">, W. </w:t>
      </w:r>
      <w:proofErr w:type="spellStart"/>
      <w:r>
        <w:t>Quattrociocchi</w:t>
      </w:r>
      <w:proofErr w:type="spellEnd"/>
      <w:r>
        <w:t xml:space="preserve">, J. Pfeffer, and A. </w:t>
      </w:r>
      <w:proofErr w:type="spellStart"/>
      <w:r>
        <w:t>Baronchelli</w:t>
      </w:r>
      <w:proofErr w:type="spellEnd"/>
      <w:r>
        <w:t xml:space="preserve">, "Patterns of partisan toxicity and engagement reveal the common structure of online political communication across countries," Nat. </w:t>
      </w:r>
      <w:proofErr w:type="spellStart"/>
      <w:r>
        <w:t>Commun</w:t>
      </w:r>
      <w:proofErr w:type="spellEnd"/>
      <w:r>
        <w:t>., vol. 15, p. 9560, 2024.</w:t>
      </w:r>
    </w:p>
    <w:sectPr w:rsidR="0008601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F49D2" w14:textId="77777777" w:rsidR="0054222D" w:rsidRDefault="0054222D">
      <w:r>
        <w:separator/>
      </w:r>
    </w:p>
  </w:endnote>
  <w:endnote w:type="continuationSeparator" w:id="0">
    <w:p w14:paraId="5D1E7927" w14:textId="77777777" w:rsidR="0054222D" w:rsidRDefault="00542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A5A7A" w14:textId="77777777" w:rsidR="00086012" w:rsidRDefault="008940CC">
    <w:pPr>
      <w:jc w:val="center"/>
    </w:pPr>
    <w:r>
      <w:rPr>
        <w:sz w:val="18"/>
        <w:szCs w:val="18"/>
      </w:rPr>
      <w:fldChar w:fldCharType="begin"/>
    </w:r>
    <w:r>
      <w:rPr>
        <w:sz w:val="18"/>
        <w:szCs w:val="18"/>
      </w:rPr>
      <w:instrText>PAGE</w:instrText>
    </w:r>
    <w:r>
      <w:rPr>
        <w:sz w:val="18"/>
        <w:szCs w:val="18"/>
      </w:rPr>
      <w:fldChar w:fldCharType="separate"/>
    </w:r>
    <w:r w:rsidR="00A1466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BF219" w14:textId="77777777" w:rsidR="0054222D" w:rsidRDefault="0054222D">
      <w:r>
        <w:separator/>
      </w:r>
    </w:p>
  </w:footnote>
  <w:footnote w:type="continuationSeparator" w:id="0">
    <w:p w14:paraId="44CFBF73" w14:textId="77777777" w:rsidR="0054222D" w:rsidRDefault="00542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A56642"/>
    <w:multiLevelType w:val="hybridMultilevel"/>
    <w:tmpl w:val="5CBABB0C"/>
    <w:lvl w:ilvl="0" w:tplc="4BD6D330">
      <w:start w:val="1"/>
      <w:numFmt w:val="bullet"/>
      <w:lvlText w:val="●"/>
      <w:lvlJc w:val="left"/>
      <w:pPr>
        <w:ind w:left="720" w:hanging="360"/>
      </w:pPr>
    </w:lvl>
    <w:lvl w:ilvl="1" w:tplc="4E569F66">
      <w:start w:val="1"/>
      <w:numFmt w:val="bullet"/>
      <w:lvlText w:val="○"/>
      <w:lvlJc w:val="left"/>
      <w:pPr>
        <w:ind w:left="1440" w:hanging="360"/>
      </w:pPr>
    </w:lvl>
    <w:lvl w:ilvl="2" w:tplc="93047596">
      <w:start w:val="1"/>
      <w:numFmt w:val="bullet"/>
      <w:lvlText w:val="■"/>
      <w:lvlJc w:val="left"/>
      <w:pPr>
        <w:ind w:left="2160" w:hanging="360"/>
      </w:pPr>
    </w:lvl>
    <w:lvl w:ilvl="3" w:tplc="76203556">
      <w:start w:val="1"/>
      <w:numFmt w:val="bullet"/>
      <w:lvlText w:val="●"/>
      <w:lvlJc w:val="left"/>
      <w:pPr>
        <w:ind w:left="2880" w:hanging="360"/>
      </w:pPr>
    </w:lvl>
    <w:lvl w:ilvl="4" w:tplc="945874F8">
      <w:start w:val="1"/>
      <w:numFmt w:val="bullet"/>
      <w:lvlText w:val="○"/>
      <w:lvlJc w:val="left"/>
      <w:pPr>
        <w:ind w:left="3600" w:hanging="360"/>
      </w:pPr>
    </w:lvl>
    <w:lvl w:ilvl="5" w:tplc="EEBAD668">
      <w:start w:val="1"/>
      <w:numFmt w:val="bullet"/>
      <w:lvlText w:val="■"/>
      <w:lvlJc w:val="left"/>
      <w:pPr>
        <w:ind w:left="4320" w:hanging="360"/>
      </w:pPr>
    </w:lvl>
    <w:lvl w:ilvl="6" w:tplc="EA80C22C">
      <w:start w:val="1"/>
      <w:numFmt w:val="bullet"/>
      <w:lvlText w:val="●"/>
      <w:lvlJc w:val="left"/>
      <w:pPr>
        <w:ind w:left="5040" w:hanging="360"/>
      </w:pPr>
    </w:lvl>
    <w:lvl w:ilvl="7" w:tplc="C82010A8">
      <w:start w:val="1"/>
      <w:numFmt w:val="bullet"/>
      <w:lvlText w:val="●"/>
      <w:lvlJc w:val="left"/>
      <w:pPr>
        <w:ind w:left="5760" w:hanging="360"/>
      </w:pPr>
    </w:lvl>
    <w:lvl w:ilvl="8" w:tplc="566E39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012"/>
    <w:rsid w:val="000550AC"/>
    <w:rsid w:val="00086012"/>
    <w:rsid w:val="001A2803"/>
    <w:rsid w:val="001D0DD1"/>
    <w:rsid w:val="002F2AA2"/>
    <w:rsid w:val="003B398E"/>
    <w:rsid w:val="0054222D"/>
    <w:rsid w:val="005E37F5"/>
    <w:rsid w:val="006B1330"/>
    <w:rsid w:val="008940CC"/>
    <w:rsid w:val="00A14661"/>
    <w:rsid w:val="00B21921"/>
    <w:rsid w:val="00D5314B"/>
    <w:rsid w:val="00EF2C63"/>
    <w:rsid w:val="00FE5D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16CE9"/>
  <w15:docId w15:val="{416080A7-6DE7-4CED-AEB8-3F2585FF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1D0D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1</Pages>
  <Words>5159</Words>
  <Characters>29411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Komail Mehrgan</cp:lastModifiedBy>
  <cp:revision>11</cp:revision>
  <dcterms:created xsi:type="dcterms:W3CDTF">2026-07-08T06:28:00Z</dcterms:created>
  <dcterms:modified xsi:type="dcterms:W3CDTF">2026-07-15T12:06:00Z</dcterms:modified>
</cp:coreProperties>
</file>