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pacing w:after="80" w:before="80"/>
        <w:jc w:val="center"/>
      </w:pPr>
      <w:r>
        <w:rPr>
          <w:rFonts w:ascii="Calibri" w:cs="Calibri" w:eastAsia="Calibri" w:hAnsi="Calibri"/>
          <w:b/>
          <w:bCs/>
          <w:color w:val="A8C4E0"/>
          <w:sz w:val="18"/>
          <w:szCs w:val="18"/>
        </w:rPr>
        <w:t xml:space="preserve">KINGDOM OF SAUDI ARABIA  |  HAJJ SAFETY RESEARCH</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hd w:fill="1B3A6B" w:val="clear"/>
        <w:spacing w:after="0" w:before="0"/>
      </w:pPr>
      <w:r>
        <w:rPr>
          <w:sz w:val="22"/>
          <w:szCs w:val="22"/>
        </w:rPr>
        <w:t xml:space="preserve"> </w:t>
      </w:r>
    </w:p>
    <w:p>
      <w:pPr>
        <w:spacing w:after="160" w:before="480"/>
        <w:jc w:val="center"/>
      </w:pPr>
      <w:r>
        <w:rPr>
          <w:rFonts w:ascii="Calibri" w:cs="Calibri" w:eastAsia="Calibri" w:hAnsi="Calibri"/>
          <w:b/>
          <w:bCs/>
          <w:color w:val="FFFFFF"/>
          <w:sz w:val="72"/>
          <w:szCs w:val="72"/>
        </w:rPr>
        <w:t xml:space="preserve">HAJJ HEATSTROKE</w:t>
      </w:r>
    </w:p>
    <w:p>
      <w:pPr>
        <w:spacing w:after="160" w:before="0"/>
        <w:jc w:val="center"/>
      </w:pPr>
      <w:r>
        <w:rPr>
          <w:rFonts w:ascii="Calibri" w:cs="Calibri" w:eastAsia="Calibri" w:hAnsi="Calibri"/>
          <w:b/>
          <w:bCs/>
          <w:color w:val="FFFFFF"/>
          <w:sz w:val="72"/>
          <w:szCs w:val="72"/>
        </w:rPr>
        <w:t xml:space="preserve">RISK ANALYSIS</w:t>
      </w:r>
    </w:p>
    <w:p>
      <w:pPr>
        <w:pBdr>
          <w:bottom w:val="single" w:color="D4A017" w:sz="8" w:space="1"/>
        </w:pBdr>
        <w:spacing w:after="120" w:before="120"/>
        <w:jc w:val="center"/>
      </w:pPr>
      <w:r>
        <w:rPr>
          <w:sz w:val="22"/>
          <w:szCs w:val="22"/>
        </w:rPr>
        <w:t xml:space="preserve"/>
      </w:r>
    </w:p>
    <w:p>
      <w:pPr>
        <w:spacing w:after="80" w:before="160"/>
        <w:jc w:val="center"/>
      </w:pPr>
      <w:r>
        <w:rPr>
          <w:rFonts w:ascii="Calibri" w:cs="Calibri" w:eastAsia="Calibri" w:hAnsi="Calibri"/>
          <w:i/>
          <w:iCs/>
          <w:color w:val="A8C4E0"/>
          <w:sz w:val="28"/>
          <w:szCs w:val="28"/>
        </w:rPr>
        <w:t xml:space="preserve">Machine Learning &amp; Data Science for Pilgrim Safety</w:t>
      </w:r>
    </w:p>
    <w:p>
      <w:pPr>
        <w:spacing w:after="600" w:before="40"/>
        <w:jc w:val="center"/>
      </w:pPr>
      <w:r>
        <w:rPr>
          <w:rFonts w:ascii="Calibri" w:cs="Calibri" w:eastAsia="Calibri" w:hAnsi="Calibri"/>
          <w:color w:val="A8C4E0"/>
          <w:sz w:val="22"/>
          <w:szCs w:val="22"/>
        </w:rPr>
        <w:t xml:space="preserve">Saudi Arabia Cities Temperature Analysis  |  1995 – 2020</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B3A6B" w:sz="1"/>
              <w:left w:val="single" w:color="1B3A6B" w:sz="1"/>
              <w:bottom w:val="single" w:color="1B3A6B" w:sz="1"/>
              <w:right w:val="single" w:color="1B3A6B" w:sz="1"/>
            </w:tcBorders>
            <w:shd w:fill="EBF3FB" w:val="clear"/>
            <w:tcMar>
              <w:top w:type="dxa" w:w="280"/>
              <w:left w:type="dxa" w:w="500"/>
              <w:bottom w:type="dxa" w:w="280"/>
              <w:right w:type="dxa" w:w="500"/>
            </w:tcMar>
          </w:tcPr>
          <w:p>
            <w:pPr>
              <w:spacing w:after="80"/>
              <w:jc w:val="center"/>
            </w:pPr>
            <w:r>
              <w:rPr>
                <w:rFonts w:ascii="Calibri" w:cs="Calibri" w:eastAsia="Calibri" w:hAnsi="Calibri"/>
                <w:b/>
                <w:bCs/>
                <w:color w:val="1B3A6B"/>
                <w:sz w:val="24"/>
                <w:szCs w:val="24"/>
              </w:rPr>
              <w:t xml:space="preserve">Prepared by: Komal</w:t>
            </w:r>
          </w:p>
          <w:p>
            <w:pPr>
              <w:spacing w:after="80"/>
              <w:jc w:val="center"/>
            </w:pPr>
            <w:r>
              <w:rPr>
                <w:rFonts w:ascii="Calibri" w:cs="Calibri" w:eastAsia="Calibri" w:hAnsi="Calibri"/>
                <w:color w:val="444444"/>
                <w:sz w:val="20"/>
                <w:szCs w:val="20"/>
              </w:rPr>
              <w:t xml:space="preserve">Data Scientist  |  Machine Learning Researcher</w:t>
            </w:r>
          </w:p>
          <w:p>
            <w:pPr>
              <w:spacing w:after="80"/>
              <w:jc w:val="center"/>
            </w:pPr>
            <w:r>
              <w:rPr>
                <w:rFonts w:ascii="Calibri" w:cs="Calibri" w:eastAsia="Calibri" w:hAnsi="Calibri"/>
                <w:color w:val="666666"/>
                <w:sz w:val="20"/>
                <w:szCs w:val="20"/>
              </w:rPr>
              <w:t xml:space="preserve">April 2026</w:t>
            </w:r>
          </w:p>
          <w:p>
            <w:pPr>
              <w:spacing w:after="0"/>
              <w:jc w:val="center"/>
            </w:pPr>
            <w:r>
              <w:rPr>
                <w:rFonts w:ascii="Calibri" w:cs="Calibri" w:eastAsia="Calibri" w:hAnsi="Calibri"/>
                <w:b/>
                <w:bCs/>
                <w:color w:val="1B3A6B"/>
                <w:sz w:val="20"/>
                <w:szCs w:val="20"/>
              </w:rPr>
              <w:t xml:space="preserve">Model Accuracy: 100%  |  Cities: Dhahran, Riyadh  |  Risk Levels: 5</w:t>
            </w:r>
          </w:p>
        </w:tc>
      </w:tr>
    </w:tbl>
    <w:p>
      <w:r>
        <w:br w:type="page"/>
      </w:r>
    </w:p>
    <w:p>
      <w:pPr>
        <w:sectPr>
          <w:pgSz w:w="11906" w:h="16838" w:orient="portrait"/>
          <w:pgMar w:top="0" w:right="0" w:bottom="0" w:left="0" w:header="708" w:footer="708" w:gutter="0"/>
          <w:pgNumType/>
          <w:docGrid w:linePitch="360"/>
        </w:sectPr>
      </w:pPr>
    </w:p>
    <w:p>
      <w:pPr>
        <w:pStyle w:val="Heading1"/>
        <w:pBdr>
          <w:bottom w:val="single" w:color="1B3A6B" w:sz="6" w:space="4"/>
        </w:pBdr>
        <w:spacing w:after="200" w:before="480"/>
      </w:pPr>
      <w:r>
        <w:rPr>
          <w:rFonts w:ascii="Calibri" w:cs="Calibri" w:eastAsia="Calibri" w:hAnsi="Calibri"/>
          <w:b/>
          <w:bCs/>
          <w:color w:val="1B3A6B"/>
          <w:sz w:val="34"/>
          <w:szCs w:val="34"/>
        </w:rPr>
        <w:t xml:space="preserve">Executive Summary</w:t>
      </w:r>
    </w:p>
    <w:p>
      <w:pPr>
        <w:spacing w:after="140"/>
      </w:pPr>
      <w:r>
        <w:rPr>
          <w:rFonts w:ascii="Calibri" w:cs="Calibri" w:eastAsia="Calibri" w:hAnsi="Calibri"/>
          <w:sz w:val="22"/>
          <w:szCs w:val="22"/>
        </w:rPr>
        <w:t xml:space="preserve">This report presents a comprehensive data science and machine learning analysis of heatstroke risk for Hajj pilgrims in Saudi Arabia. Leveraging 25 years of historical temperature data (1995–2020) from two major Saudi cities — Dhahran and Riyadh — this study develops a predictive risk classification model achieving 100% accuracy using Random Forest classification.</w:t>
      </w:r>
    </w:p>
    <w:p>
      <w:pPr>
        <w:spacing w:after="140"/>
      </w:pPr>
      <w:r>
        <w:rPr>
          <w:rFonts w:ascii="Calibri" w:cs="Calibri" w:eastAsia="Calibri" w:hAnsi="Calibri"/>
          <w:sz w:val="22"/>
          <w:szCs w:val="22"/>
        </w:rPr>
        <w:t xml:space="preserve">The analysis demonstrates that Hajj season (June–August) represents the most thermally dangerous period for pilgrims, with average temperatures exceeding 36°C and peak values reaching 42.17°C. A five-tier risk framework (SAFE → LOW → MODERATE → HIGH → EXTREME) is introduced, and evidence-based recommendations are provided for pilgrims, health authorities, and Hajj management organizations.</w:t>
      </w:r>
    </w:p>
    <w:p>
      <w:pPr>
        <w:spacing w:after="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2346"/>
        <w:gridCol w:w="2347"/>
        <w:gridCol w:w="2347"/>
      </w:tblGrid>
      <w:tr>
        <w:tc>
          <w:tcPr>
            <w:tcW w:type="dxa" w:w="2346"/>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ML Accuracy</w:t>
            </w:r>
          </w:p>
        </w:tc>
        <w:tc>
          <w:tcPr>
            <w:tcW w:type="dxa" w:w="2346"/>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Cities Analyzed</w:t>
            </w:r>
          </w:p>
        </w:tc>
        <w:tc>
          <w:tcPr>
            <w:tcW w:type="dxa" w:w="2347"/>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Data Period</w:t>
            </w:r>
          </w:p>
        </w:tc>
        <w:tc>
          <w:tcPr>
            <w:tcW w:type="dxa" w:w="2347"/>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Risk Levels</w:t>
            </w:r>
          </w:p>
        </w:tc>
      </w:tr>
      <w:tr>
        <w:tc>
          <w:tcPr>
            <w:tcW w:type="dxa" w:w="2346"/>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Calibri" w:cs="Calibri" w:eastAsia="Calibri" w:hAnsi="Calibri"/>
                <w:sz w:val="20"/>
                <w:szCs w:val="20"/>
              </w:rPr>
              <w:t xml:space="preserve">100% ✓</w:t>
            </w:r>
          </w:p>
        </w:tc>
        <w:tc>
          <w:tcPr>
            <w:tcW w:type="dxa" w:w="234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Dhahran, Riyadh</w:t>
            </w:r>
          </w:p>
        </w:tc>
        <w:tc>
          <w:tcPr>
            <w:tcW w:type="dxa" w:w="2347"/>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rFonts w:ascii="Calibri" w:cs="Calibri" w:eastAsia="Calibri" w:hAnsi="Calibri"/>
                <w:sz w:val="20"/>
                <w:szCs w:val="20"/>
              </w:rPr>
              <w:t xml:space="preserve">1995 – 2020</w:t>
            </w:r>
          </w:p>
        </w:tc>
        <w:tc>
          <w:tcPr>
            <w:tcW w:type="dxa" w:w="2347"/>
            <w:tcBorders>
              <w:top w:val="single" w:color="CCCCCC" w:sz="1"/>
              <w:left w:val="single" w:color="CCCCCC" w:sz="1"/>
              <w:bottom w:val="single" w:color="CCCCCC" w:sz="1"/>
              <w:right w:val="single" w:color="CCCCCC" w:sz="1"/>
            </w:tcBorders>
            <w:shd w:fill="FDE8E8" w:val="clear"/>
            <w:tcMar>
              <w:top w:type="dxa" w:w="80"/>
              <w:left w:type="dxa" w:w="150"/>
              <w:bottom w:type="dxa" w:w="80"/>
              <w:right w:type="dxa" w:w="150"/>
            </w:tcMar>
          </w:tcPr>
          <w:p>
            <w:r>
              <w:rPr>
                <w:rFonts w:ascii="Calibri" w:cs="Calibri" w:eastAsia="Calibri" w:hAnsi="Calibri"/>
                <w:sz w:val="20"/>
                <w:szCs w:val="20"/>
              </w:rPr>
              <w:t xml:space="preserve">5 (SAFE→EXTREME)</w:t>
            </w:r>
          </w:p>
        </w:tc>
      </w:tr>
      <w:tr>
        <w:tc>
          <w:tcPr>
            <w:tcW w:type="dxa" w:w="2346"/>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Hajj Avg Temp</w:t>
            </w:r>
          </w:p>
        </w:tc>
        <w:tc>
          <w:tcPr>
            <w:tcW w:type="dxa" w:w="2346"/>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Peak Temp</w:t>
            </w:r>
          </w:p>
        </w:tc>
        <w:tc>
          <w:tcPr>
            <w:tcW w:type="dxa" w:w="2347"/>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SAFE Days (Hajj)</w:t>
            </w:r>
          </w:p>
        </w:tc>
        <w:tc>
          <w:tcPr>
            <w:tcW w:type="dxa" w:w="2347"/>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MODERATE Days</w:t>
            </w:r>
          </w:p>
        </w:tc>
      </w:tr>
      <w:tr>
        <w:tc>
          <w:tcPr>
            <w:tcW w:type="dxa" w:w="234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36.34°C (Dhahran)</w:t>
            </w:r>
          </w:p>
        </w:tc>
        <w:tc>
          <w:tcPr>
            <w:tcW w:type="dxa" w:w="2346"/>
            <w:tcBorders>
              <w:top w:val="single" w:color="CCCCCC" w:sz="1"/>
              <w:left w:val="single" w:color="CCCCCC" w:sz="1"/>
              <w:bottom w:val="single" w:color="CCCCCC" w:sz="1"/>
              <w:right w:val="single" w:color="CCCCCC" w:sz="1"/>
            </w:tcBorders>
            <w:shd w:fill="FDE8E8" w:val="clear"/>
            <w:tcMar>
              <w:top w:type="dxa" w:w="80"/>
              <w:left w:type="dxa" w:w="150"/>
              <w:bottom w:type="dxa" w:w="80"/>
              <w:right w:type="dxa" w:w="150"/>
            </w:tcMar>
          </w:tcPr>
          <w:p>
            <w:r>
              <w:rPr>
                <w:rFonts w:ascii="Calibri" w:cs="Calibri" w:eastAsia="Calibri" w:hAnsi="Calibri"/>
                <w:sz w:val="20"/>
                <w:szCs w:val="20"/>
              </w:rPr>
              <w:t xml:space="preserve">42.17°C</w:t>
            </w:r>
          </w:p>
        </w:tc>
        <w:tc>
          <w:tcPr>
            <w:tcW w:type="dxa" w:w="2347"/>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tcPr>
          <w:p>
            <w:r>
              <w:rPr>
                <w:rFonts w:ascii="Calibri" w:cs="Calibri" w:eastAsia="Calibri" w:hAnsi="Calibri"/>
                <w:sz w:val="20"/>
                <w:szCs w:val="20"/>
              </w:rPr>
              <w:t xml:space="preserve">5,096 days</w:t>
            </w:r>
          </w:p>
        </w:tc>
        <w:tc>
          <w:tcPr>
            <w:tcW w:type="dxa" w:w="2347"/>
            <w:tcBorders>
              <w:top w:val="single" w:color="CCCCCC" w:sz="1"/>
              <w:left w:val="single" w:color="CCCCCC" w:sz="1"/>
              <w:bottom w:val="single" w:color="CCCCCC" w:sz="1"/>
              <w:right w:val="single" w:color="CCCCCC" w:sz="1"/>
            </w:tcBorders>
            <w:shd w:fill="FFF8E7" w:val="clear"/>
            <w:tcMar>
              <w:top w:type="dxa" w:w="80"/>
              <w:left w:type="dxa" w:w="150"/>
              <w:bottom w:type="dxa" w:w="80"/>
              <w:right w:type="dxa" w:w="150"/>
            </w:tcMar>
          </w:tcPr>
          <w:p>
            <w:r>
              <w:rPr>
                <w:rFonts w:ascii="Calibri" w:cs="Calibri" w:eastAsia="Calibri" w:hAnsi="Calibri"/>
                <w:sz w:val="20"/>
                <w:szCs w:val="20"/>
              </w:rPr>
              <w:t xml:space="preserve">23 days</w:t>
            </w:r>
          </w:p>
        </w:tc>
      </w:tr>
    </w:tbl>
    <w:p>
      <w:pPr>
        <w:spacing w:after="80"/>
      </w:pPr>
      <w:r>
        <w:t xml:space="preserve"/>
      </w:r>
    </w:p>
    <w:p>
      <w:pPr>
        <w:spacing w:after="80"/>
      </w:pPr>
      <w:r>
        <w:t xml:space="preserve"/>
      </w:r>
    </w:p>
    <w:p>
      <w:pPr>
        <w:pStyle w:val="Heading1"/>
        <w:pBdr>
          <w:bottom w:val="single" w:color="1B3A6B" w:sz="6" w:space="4"/>
        </w:pBdr>
        <w:spacing w:after="200" w:before="480"/>
      </w:pPr>
      <w:r>
        <w:rPr>
          <w:rFonts w:ascii="Calibri" w:cs="Calibri" w:eastAsia="Calibri" w:hAnsi="Calibri"/>
          <w:b/>
          <w:bCs/>
          <w:color w:val="1B3A6B"/>
          <w:sz w:val="34"/>
          <w:szCs w:val="34"/>
        </w:rPr>
        <w:t xml:space="preserve">1.  Introduction</w:t>
      </w:r>
    </w:p>
    <w:p>
      <w:pPr>
        <w:spacing w:after="140"/>
      </w:pPr>
      <w:r>
        <w:rPr>
          <w:rFonts w:ascii="Calibri" w:cs="Calibri" w:eastAsia="Calibri" w:hAnsi="Calibri"/>
          <w:sz w:val="22"/>
          <w:szCs w:val="22"/>
        </w:rPr>
        <w:t xml:space="preserve">Hajj is one of the world's largest annual human gatherings, attracting over 2 million pilgrims to the Kingdom of Saudi Arabia each year. Pilgrims from more than 180 countries — many originating from cool or temperate climates — face extreme thermal stress upon arrival, particularly during summer months. Heatstroke, a potentially fatal condition characterized by a core body temperature exceeding 40°C, poses the single greatest environmental health risk during the pilgrimage.</w:t>
      </w:r>
    </w:p>
    <w:p>
      <w:pPr>
        <w:spacing w:after="140"/>
      </w:pPr>
      <w:r>
        <w:rPr>
          <w:rFonts w:ascii="Calibri" w:cs="Calibri" w:eastAsia="Calibri" w:hAnsi="Calibri"/>
          <w:sz w:val="22"/>
          <w:szCs w:val="22"/>
        </w:rPr>
        <w:t xml:space="preserve">Despite advances in crowd management and medical infrastructure, heatstroke-related morbidity and mortality remain significant concerns. Proactive, data-driven risk prediction represents a critical tool for health authorities, Hajj management bodies, and individual pilgrims. This research addresses that need through systematic temperature analysis and machine learning modelling.</w:t>
      </w:r>
    </w:p>
    <w:p>
      <w:pPr>
        <w:spacing w:after="80"/>
      </w:pPr>
      <w:r>
        <w:t xml:space="preserve"/>
      </w:r>
    </w:p>
    <w:p>
      <w:pPr>
        <w:pStyle w:val="Heading2"/>
        <w:spacing w:after="120" w:before="320"/>
      </w:pPr>
      <w:r>
        <w:rPr>
          <w:rFonts w:ascii="Calibri" w:cs="Calibri" w:eastAsia="Calibri" w:hAnsi="Calibri"/>
          <w:b/>
          <w:bCs/>
          <w:color w:val="2E74B5"/>
          <w:sz w:val="26"/>
          <w:szCs w:val="26"/>
        </w:rPr>
        <w:t xml:space="preserve">1.1  Research Objectives</w:t>
      </w:r>
    </w:p>
    <w:p>
      <w:pPr>
        <w:pStyle w:val="ListParagraph"/>
        <w:numPr>
          <w:ilvl w:val="0"/>
          <w:numId w:val="2"/>
        </w:numPr>
        <w:spacing w:after="80"/>
      </w:pPr>
      <w:r>
        <w:rPr>
          <w:rFonts w:ascii="Calibri" w:cs="Calibri" w:eastAsia="Calibri" w:hAnsi="Calibri"/>
          <w:b w:val="false"/>
          <w:bCs w:val="false"/>
          <w:sz w:val="22"/>
          <w:szCs w:val="22"/>
        </w:rPr>
        <w:t xml:space="preserve">Analyze multi-year temperature patterns across Saudi Arabia cities during Hajj season</w:t>
      </w:r>
    </w:p>
    <w:p>
      <w:pPr>
        <w:pStyle w:val="ListParagraph"/>
        <w:numPr>
          <w:ilvl w:val="0"/>
          <w:numId w:val="2"/>
        </w:numPr>
        <w:spacing w:after="80"/>
      </w:pPr>
      <w:r>
        <w:rPr>
          <w:rFonts w:ascii="Calibri" w:cs="Calibri" w:eastAsia="Calibri" w:hAnsi="Calibri"/>
          <w:b w:val="false"/>
          <w:bCs w:val="false"/>
          <w:sz w:val="22"/>
          <w:szCs w:val="22"/>
        </w:rPr>
        <w:t xml:space="preserve">Develop a quantitative heatstroke risk classification framework</w:t>
      </w:r>
    </w:p>
    <w:p>
      <w:pPr>
        <w:pStyle w:val="ListParagraph"/>
        <w:numPr>
          <w:ilvl w:val="0"/>
          <w:numId w:val="2"/>
        </w:numPr>
        <w:spacing w:after="80"/>
      </w:pPr>
      <w:r>
        <w:rPr>
          <w:rFonts w:ascii="Calibri" w:cs="Calibri" w:eastAsia="Calibri" w:hAnsi="Calibri"/>
          <w:b w:val="false"/>
          <w:bCs w:val="false"/>
          <w:sz w:val="22"/>
          <w:szCs w:val="22"/>
        </w:rPr>
        <w:t xml:space="preserve">Train and evaluate machine learning models for real-time risk prediction</w:t>
      </w:r>
    </w:p>
    <w:p>
      <w:pPr>
        <w:pStyle w:val="ListParagraph"/>
        <w:numPr>
          <w:ilvl w:val="0"/>
          <w:numId w:val="2"/>
        </w:numPr>
        <w:spacing w:after="80"/>
      </w:pPr>
      <w:r>
        <w:rPr>
          <w:rFonts w:ascii="Calibri" w:cs="Calibri" w:eastAsia="Calibri" w:hAnsi="Calibri"/>
          <w:b w:val="false"/>
          <w:bCs w:val="false"/>
          <w:sz w:val="22"/>
          <w:szCs w:val="22"/>
        </w:rPr>
        <w:t xml:space="preserve">Deliver actionable, evidence-based recommendations for pilgrims and authorities</w:t>
      </w:r>
    </w:p>
    <w:p>
      <w:pPr>
        <w:spacing w:after="80"/>
      </w:pPr>
      <w:r>
        <w:t xml:space="preserve"/>
      </w:r>
    </w:p>
    <w:p>
      <w:pPr>
        <w:spacing w:after="80"/>
      </w:pPr>
      <w:r>
        <w:t xml:space="preserve"/>
      </w:r>
    </w:p>
    <w:p>
      <w:pPr>
        <w:pStyle w:val="Heading1"/>
        <w:pBdr>
          <w:bottom w:val="single" w:color="1B3A6B" w:sz="6" w:space="4"/>
        </w:pBdr>
        <w:spacing w:after="200" w:before="480"/>
      </w:pPr>
      <w:r>
        <w:rPr>
          <w:rFonts w:ascii="Calibri" w:cs="Calibri" w:eastAsia="Calibri" w:hAnsi="Calibri"/>
          <w:b/>
          <w:bCs/>
          <w:color w:val="1B3A6B"/>
          <w:sz w:val="34"/>
          <w:szCs w:val="34"/>
        </w:rPr>
        <w:t xml:space="preserve">2.  Dataset &amp; Data Sources</w:t>
      </w:r>
    </w:p>
    <w:p>
      <w:pPr>
        <w:spacing w:after="140"/>
      </w:pPr>
      <w:r>
        <w:rPr>
          <w:rFonts w:ascii="Calibri" w:cs="Calibri" w:eastAsia="Calibri" w:hAnsi="Calibri"/>
          <w:sz w:val="22"/>
          <w:szCs w:val="22"/>
        </w:rPr>
        <w:t xml:space="preserve">The primary dataset used in this analysis is the Daily Temperature of Major Cities dataset, which provides historical daily average temperature records for cities worldwide. The dataset was filtered to retain Saudi Arabia records exclusively.</w:t>
      </w:r>
    </w:p>
    <w:p>
      <w:pPr>
        <w:spacing w:after="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Attribute</w:t>
            </w:r>
          </w:p>
        </w:tc>
        <w:tc>
          <w:tcPr>
            <w:tcW w:type="dxa" w:w="6386"/>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File Name</w:t>
            </w:r>
          </w:p>
        </w:tc>
        <w:tc>
          <w:tcPr>
            <w:tcW w:type="dxa" w:w="638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daily_temparature_major_cities.csv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Source</w:t>
            </w:r>
          </w:p>
        </w:tc>
        <w:tc>
          <w:tcPr>
            <w:tcW w:type="dxa" w:w="63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Kaggle — Daily Temperature of Major Cities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Columns</w:t>
            </w:r>
          </w:p>
        </w:tc>
        <w:tc>
          <w:tcPr>
            <w:tcW w:type="dxa" w:w="638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Region, Country, State, City, Month, Day, Year, AvgTemperature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Temperature Unit</w:t>
            </w:r>
          </w:p>
        </w:tc>
        <w:tc>
          <w:tcPr>
            <w:tcW w:type="dxa" w:w="63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Degrees Fahrenheit (converted to Celsius for analysis)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Saudi Cities Included</w:t>
            </w:r>
          </w:p>
        </w:tc>
        <w:tc>
          <w:tcPr>
            <w:tcW w:type="dxa" w:w="638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Dhahran, Riyadh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Time Period</w:t>
            </w:r>
          </w:p>
        </w:tc>
        <w:tc>
          <w:tcPr>
            <w:tcW w:type="dxa" w:w="63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1 January 1995 – 31 December 2020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Total Saudi Records</w:t>
            </w:r>
          </w:p>
        </w:tc>
        <w:tc>
          <w:tcPr>
            <w:tcW w:type="dxa" w:w="638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~15,000+ daily observations after cleaning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Missing Value Code</w:t>
            </w:r>
          </w:p>
        </w:tc>
        <w:tc>
          <w:tcPr>
            <w:tcW w:type="dxa" w:w="63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-99 (removed during preprocessing)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Target Variable</w:t>
            </w:r>
          </w:p>
        </w:tc>
        <w:tc>
          <w:tcPr>
            <w:tcW w:type="dxa" w:w="638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Risk Level: SAFE / LOW / MODERATE / HIGH / EXTREME</w:t>
            </w:r>
          </w:p>
        </w:tc>
      </w:tr>
    </w:tbl>
    <w:p>
      <w:pPr>
        <w:spacing w:after="80"/>
      </w:pPr>
      <w:r>
        <w:t xml:space="preserve"/>
      </w:r>
    </w:p>
    <w:p>
      <w:pPr>
        <w:spacing w:after="80"/>
      </w:pPr>
      <w:r>
        <w:t xml:space="preserve"/>
      </w:r>
    </w:p>
    <w:p>
      <w:pPr>
        <w:pStyle w:val="Heading1"/>
        <w:pBdr>
          <w:bottom w:val="single" w:color="1B3A6B" w:sz="6" w:space="4"/>
        </w:pBdr>
        <w:spacing w:after="200" w:before="480"/>
      </w:pPr>
      <w:r>
        <w:rPr>
          <w:rFonts w:ascii="Calibri" w:cs="Calibri" w:eastAsia="Calibri" w:hAnsi="Calibri"/>
          <w:b/>
          <w:bCs/>
          <w:color w:val="1B3A6B"/>
          <w:sz w:val="34"/>
          <w:szCs w:val="34"/>
        </w:rPr>
        <w:t xml:space="preserve">3.  Methodology</w:t>
      </w:r>
    </w:p>
    <w:p>
      <w:pPr>
        <w:pStyle w:val="Heading2"/>
        <w:spacing w:after="120" w:before="320"/>
      </w:pPr>
      <w:r>
        <w:rPr>
          <w:rFonts w:ascii="Calibri" w:cs="Calibri" w:eastAsia="Calibri" w:hAnsi="Calibri"/>
          <w:b/>
          <w:bCs/>
          <w:color w:val="2E74B5"/>
          <w:sz w:val="26"/>
          <w:szCs w:val="26"/>
        </w:rPr>
        <w:t xml:space="preserve">3.1  Data Preprocessing</w:t>
      </w:r>
    </w:p>
    <w:p>
      <w:pPr>
        <w:spacing w:after="140"/>
      </w:pPr>
      <w:r>
        <w:rPr>
          <w:rFonts w:ascii="Calibri" w:cs="Calibri" w:eastAsia="Calibri" w:hAnsi="Calibri"/>
          <w:sz w:val="22"/>
          <w:szCs w:val="22"/>
        </w:rPr>
        <w:t xml:space="preserve">Raw data required several cleaning and transformation steps before analysis could proceed:</w:t>
      </w:r>
    </w:p>
    <w:p>
      <w:pPr>
        <w:pStyle w:val="ListParagraph"/>
        <w:numPr>
          <w:ilvl w:val="0"/>
          <w:numId w:val="3"/>
        </w:numPr>
        <w:spacing w:after="80"/>
      </w:pPr>
      <w:r>
        <w:rPr>
          <w:rFonts w:ascii="Calibri" w:cs="Calibri" w:eastAsia="Calibri" w:hAnsi="Calibri"/>
          <w:sz w:val="22"/>
          <w:szCs w:val="22"/>
        </w:rPr>
        <w:t xml:space="preserve">Loaded CSV with low_memory=False to resolve mixed-type column warnings</w:t>
      </w:r>
    </w:p>
    <w:p>
      <w:pPr>
        <w:pStyle w:val="ListParagraph"/>
        <w:numPr>
          <w:ilvl w:val="0"/>
          <w:numId w:val="3"/>
        </w:numPr>
        <w:spacing w:after="80"/>
      </w:pPr>
      <w:r>
        <w:rPr>
          <w:rFonts w:ascii="Calibri" w:cs="Calibri" w:eastAsia="Calibri" w:hAnsi="Calibri"/>
          <w:sz w:val="22"/>
          <w:szCs w:val="22"/>
        </w:rPr>
        <w:t xml:space="preserve">Applied raw-string path notation (r'') to fix Windows escape sequence warnings</w:t>
      </w:r>
    </w:p>
    <w:p>
      <w:pPr>
        <w:pStyle w:val="ListParagraph"/>
        <w:numPr>
          <w:ilvl w:val="0"/>
          <w:numId w:val="3"/>
        </w:numPr>
        <w:spacing w:after="80"/>
      </w:pPr>
      <w:r>
        <w:rPr>
          <w:rFonts w:ascii="Calibri" w:cs="Calibri" w:eastAsia="Calibri" w:hAnsi="Calibri"/>
          <w:sz w:val="22"/>
          <w:szCs w:val="22"/>
        </w:rPr>
        <w:t xml:space="preserve">Filtered dataset to Saudi Arabia records using Country == 'Saudi Arabia'</w:t>
      </w:r>
    </w:p>
    <w:p>
      <w:pPr>
        <w:pStyle w:val="ListParagraph"/>
        <w:numPr>
          <w:ilvl w:val="0"/>
          <w:numId w:val="3"/>
        </w:numPr>
        <w:spacing w:after="80"/>
      </w:pPr>
      <w:r>
        <w:rPr>
          <w:rFonts w:ascii="Calibri" w:cs="Calibri" w:eastAsia="Calibri" w:hAnsi="Calibri"/>
          <w:sz w:val="22"/>
          <w:szCs w:val="22"/>
        </w:rPr>
        <w:t xml:space="preserve">Removed invalid temperature entries where AvgTemperature == -99</w:t>
      </w:r>
    </w:p>
    <w:p>
      <w:pPr>
        <w:pStyle w:val="ListParagraph"/>
        <w:numPr>
          <w:ilvl w:val="0"/>
          <w:numId w:val="3"/>
        </w:numPr>
        <w:spacing w:after="80"/>
      </w:pPr>
      <w:r>
        <w:rPr>
          <w:rFonts w:ascii="Calibri" w:cs="Calibri" w:eastAsia="Calibri" w:hAnsi="Calibri"/>
          <w:sz w:val="22"/>
          <w:szCs w:val="22"/>
        </w:rPr>
        <w:t xml:space="preserve">Dropped remaining NaN values from the AvgTemperature column</w:t>
      </w:r>
    </w:p>
    <w:p>
      <w:pPr>
        <w:pStyle w:val="ListParagraph"/>
        <w:numPr>
          <w:ilvl w:val="0"/>
          <w:numId w:val="3"/>
        </w:numPr>
        <w:spacing w:after="80"/>
      </w:pPr>
      <w:r>
        <w:rPr>
          <w:rFonts w:ascii="Calibri" w:cs="Calibri" w:eastAsia="Calibri" w:hAnsi="Calibri"/>
          <w:sz w:val="22"/>
          <w:szCs w:val="22"/>
        </w:rPr>
        <w:t xml:space="preserve">Converted all temperatures from Fahrenheit to Celsius: °C = (°F − 32) × 5/9</w:t>
      </w:r>
    </w:p>
    <w:p>
      <w:pPr>
        <w:pStyle w:val="ListParagraph"/>
        <w:numPr>
          <w:ilvl w:val="0"/>
          <w:numId w:val="3"/>
        </w:numPr>
        <w:spacing w:after="80"/>
      </w:pPr>
      <w:r>
        <w:rPr>
          <w:rFonts w:ascii="Calibri" w:cs="Calibri" w:eastAsia="Calibri" w:hAnsi="Calibri"/>
          <w:sz w:val="22"/>
          <w:szCs w:val="22"/>
        </w:rPr>
        <w:t xml:space="preserve">Engineered risk_level target variable based on temperature thresholds</w:t>
      </w:r>
    </w:p>
    <w:p>
      <w:pPr>
        <w:pStyle w:val="ListParagraph"/>
        <w:numPr>
          <w:ilvl w:val="0"/>
          <w:numId w:val="3"/>
        </w:numPr>
        <w:spacing w:after="80"/>
      </w:pPr>
      <w:r>
        <w:rPr>
          <w:rFonts w:ascii="Calibri" w:cs="Calibri" w:eastAsia="Calibri" w:hAnsi="Calibri"/>
          <w:sz w:val="22"/>
          <w:szCs w:val="22"/>
        </w:rPr>
        <w:t xml:space="preserve">Label-encoded risk classes for machine learning using sklearn LabelEncoder</w:t>
      </w:r>
    </w:p>
    <w:p>
      <w:pPr>
        <w:spacing w:after="80"/>
      </w:pPr>
      <w:r>
        <w:t xml:space="preserve"/>
      </w:r>
    </w:p>
    <w:p>
      <w:pPr>
        <w:pStyle w:val="Heading2"/>
        <w:spacing w:after="120" w:before="320"/>
      </w:pPr>
      <w:r>
        <w:rPr>
          <w:rFonts w:ascii="Calibri" w:cs="Calibri" w:eastAsia="Calibri" w:hAnsi="Calibri"/>
          <w:b/>
          <w:bCs/>
          <w:color w:val="2E74B5"/>
          <w:sz w:val="26"/>
          <w:szCs w:val="26"/>
        </w:rPr>
        <w:t xml:space="preserve">3.2  Risk Classification Framework</w:t>
      </w:r>
    </w:p>
    <w:p>
      <w:pPr>
        <w:spacing w:after="140"/>
      </w:pPr>
      <w:r>
        <w:rPr>
          <w:rFonts w:ascii="Calibri" w:cs="Calibri" w:eastAsia="Calibri" w:hAnsi="Calibri"/>
          <w:sz w:val="22"/>
          <w:szCs w:val="22"/>
        </w:rPr>
        <w:t xml:space="preserve">A five-tier heatstroke risk framework was designed based on established medical and occupational health guidelines for heat-related illness:</w:t>
      </w:r>
    </w:p>
    <w:p>
      <w:pPr>
        <w:spacing w:after="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186"/>
        <w:gridCol w:w="300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Risk Level</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Temperature Range</w:t>
            </w:r>
          </w:p>
        </w:tc>
        <w:tc>
          <w:tcPr>
            <w:tcW w:type="dxa" w:w="2186"/>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Physiological Risk</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Recommended Action</w:t>
            </w:r>
          </w:p>
        </w:tc>
      </w:tr>
      <w:tr>
        <w:tc>
          <w:tcPr>
            <w:tcW w:type="dxa" w:w="2000"/>
            <w:tcBorders>
              <w:top w:val="single" w:color="CCCCCC" w:sz="1"/>
              <w:left w:val="single" w:color="CCCCCC" w:sz="1"/>
              <w:bottom w:val="single" w:color="CCCCCC" w:sz="1"/>
              <w:right w:val="single" w:color="CCCCCC" w:sz="1"/>
            </w:tcBorders>
            <w:shd w:fill="FFD0D0" w:val="clear"/>
            <w:tcMar>
              <w:top w:type="dxa" w:w="80"/>
              <w:left w:type="dxa" w:w="150"/>
              <w:bottom w:type="dxa" w:w="80"/>
              <w:right w:type="dxa" w:w="150"/>
            </w:tcMar>
          </w:tcPr>
          <w:p>
            <w:r>
              <w:rPr>
                <w:rFonts w:ascii="Calibri" w:cs="Calibri" w:eastAsia="Calibri" w:hAnsi="Calibri"/>
                <w:b/>
                <w:bCs/>
                <w:sz w:val="20"/>
                <w:szCs w:val="20"/>
              </w:rPr>
              <w:t xml:space="preserve">EXTREME</w:t>
            </w:r>
          </w:p>
        </w:tc>
        <w:tc>
          <w:tcPr>
            <w:tcW w:type="dxa" w:w="2200"/>
            <w:tcBorders>
              <w:top w:val="single" w:color="CCCCCC" w:sz="1"/>
              <w:left w:val="single" w:color="CCCCCC" w:sz="1"/>
              <w:bottom w:val="single" w:color="CCCCCC" w:sz="1"/>
              <w:right w:val="single" w:color="CCCCCC" w:sz="1"/>
            </w:tcBorders>
            <w:shd w:fill="FFD0D0" w:val="clear"/>
            <w:tcMar>
              <w:top w:type="dxa" w:w="80"/>
              <w:left w:type="dxa" w:w="150"/>
              <w:bottom w:type="dxa" w:w="80"/>
              <w:right w:type="dxa" w:w="150"/>
            </w:tcMar>
          </w:tcPr>
          <w:p>
            <w:r>
              <w:rPr>
                <w:rFonts w:ascii="Calibri" w:cs="Calibri" w:eastAsia="Calibri" w:hAnsi="Calibri"/>
                <w:sz w:val="20"/>
                <w:szCs w:val="20"/>
              </w:rPr>
              <w:t xml:space="preserve">Above 46°C</w:t>
            </w:r>
          </w:p>
        </w:tc>
        <w:tc>
          <w:tcPr>
            <w:tcW w:type="dxa" w:w="2186"/>
            <w:tcBorders>
              <w:top w:val="single" w:color="CCCCCC" w:sz="1"/>
              <w:left w:val="single" w:color="CCCCCC" w:sz="1"/>
              <w:bottom w:val="single" w:color="CCCCCC" w:sz="1"/>
              <w:right w:val="single" w:color="CCCCCC" w:sz="1"/>
            </w:tcBorders>
            <w:shd w:fill="FFD0D0" w:val="clear"/>
            <w:tcMar>
              <w:top w:type="dxa" w:w="80"/>
              <w:left w:type="dxa" w:w="150"/>
              <w:bottom w:type="dxa" w:w="80"/>
              <w:right w:type="dxa" w:w="150"/>
            </w:tcMar>
          </w:tcPr>
          <w:p>
            <w:r>
              <w:rPr>
                <w:rFonts w:ascii="Calibri" w:cs="Calibri" w:eastAsia="Calibri" w:hAnsi="Calibri"/>
                <w:sz w:val="20"/>
                <w:szCs w:val="20"/>
              </w:rPr>
              <w:t xml:space="preserve">Heatstroke imminent</w:t>
            </w:r>
          </w:p>
        </w:tc>
        <w:tc>
          <w:tcPr>
            <w:tcW w:type="dxa" w:w="3000"/>
            <w:tcBorders>
              <w:top w:val="single" w:color="CCCCCC" w:sz="1"/>
              <w:left w:val="single" w:color="CCCCCC" w:sz="1"/>
              <w:bottom w:val="single" w:color="CCCCCC" w:sz="1"/>
              <w:right w:val="single" w:color="CCCCCC" w:sz="1"/>
            </w:tcBorders>
            <w:shd w:fill="FFD0D0" w:val="clear"/>
            <w:tcMar>
              <w:top w:type="dxa" w:w="80"/>
              <w:left w:type="dxa" w:w="150"/>
              <w:bottom w:type="dxa" w:w="80"/>
              <w:right w:type="dxa" w:w="150"/>
            </w:tcMar>
          </w:tcPr>
          <w:p>
            <w:r>
              <w:rPr>
                <w:rFonts w:ascii="Calibri" w:cs="Calibri" w:eastAsia="Calibri" w:hAnsi="Calibri"/>
                <w:sz w:val="20"/>
                <w:szCs w:val="20"/>
              </w:rPr>
              <w:t xml:space="preserve">Stay indoors; seek emergency medical help immediately</w:t>
            </w:r>
          </w:p>
        </w:tc>
      </w:tr>
      <w:tr>
        <w:tc>
          <w:tcPr>
            <w:tcW w:type="dxa" w:w="2000"/>
            <w:tcBorders>
              <w:top w:val="single" w:color="CCCCCC" w:sz="1"/>
              <w:left w:val="single" w:color="CCCCCC" w:sz="1"/>
              <w:bottom w:val="single" w:color="CCCCCC" w:sz="1"/>
              <w:right w:val="single" w:color="CCCCCC" w:sz="1"/>
            </w:tcBorders>
            <w:shd w:fill="FFE5CC" w:val="clear"/>
            <w:tcMar>
              <w:top w:type="dxa" w:w="80"/>
              <w:left w:type="dxa" w:w="150"/>
              <w:bottom w:type="dxa" w:w="80"/>
              <w:right w:type="dxa" w:w="150"/>
            </w:tcMar>
          </w:tcPr>
          <w:p>
            <w:r>
              <w:rPr>
                <w:rFonts w:ascii="Calibri" w:cs="Calibri" w:eastAsia="Calibri" w:hAnsi="Calibri"/>
                <w:b/>
                <w:bCs/>
                <w:sz w:val="20"/>
                <w:szCs w:val="20"/>
              </w:rPr>
              <w:t xml:space="preserve">HIGH</w:t>
            </w:r>
          </w:p>
        </w:tc>
        <w:tc>
          <w:tcPr>
            <w:tcW w:type="dxa" w:w="2200"/>
            <w:tcBorders>
              <w:top w:val="single" w:color="CCCCCC" w:sz="1"/>
              <w:left w:val="single" w:color="CCCCCC" w:sz="1"/>
              <w:bottom w:val="single" w:color="CCCCCC" w:sz="1"/>
              <w:right w:val="single" w:color="CCCCCC" w:sz="1"/>
            </w:tcBorders>
            <w:shd w:fill="FFE5CC" w:val="clear"/>
            <w:tcMar>
              <w:top w:type="dxa" w:w="80"/>
              <w:left w:type="dxa" w:w="150"/>
              <w:bottom w:type="dxa" w:w="80"/>
              <w:right w:type="dxa" w:w="150"/>
            </w:tcMar>
          </w:tcPr>
          <w:p>
            <w:r>
              <w:rPr>
                <w:rFonts w:ascii="Calibri" w:cs="Calibri" w:eastAsia="Calibri" w:hAnsi="Calibri"/>
                <w:sz w:val="20"/>
                <w:szCs w:val="20"/>
              </w:rPr>
              <w:t xml:space="preserve">43°C – 46°C</w:t>
            </w:r>
          </w:p>
        </w:tc>
        <w:tc>
          <w:tcPr>
            <w:tcW w:type="dxa" w:w="2186"/>
            <w:tcBorders>
              <w:top w:val="single" w:color="CCCCCC" w:sz="1"/>
              <w:left w:val="single" w:color="CCCCCC" w:sz="1"/>
              <w:bottom w:val="single" w:color="CCCCCC" w:sz="1"/>
              <w:right w:val="single" w:color="CCCCCC" w:sz="1"/>
            </w:tcBorders>
            <w:shd w:fill="FFE5CC" w:val="clear"/>
            <w:tcMar>
              <w:top w:type="dxa" w:w="80"/>
              <w:left w:type="dxa" w:w="150"/>
              <w:bottom w:type="dxa" w:w="80"/>
              <w:right w:type="dxa" w:w="150"/>
            </w:tcMar>
          </w:tcPr>
          <w:p>
            <w:r>
              <w:rPr>
                <w:rFonts w:ascii="Calibri" w:cs="Calibri" w:eastAsia="Calibri" w:hAnsi="Calibri"/>
                <w:sz w:val="20"/>
                <w:szCs w:val="20"/>
              </w:rPr>
              <w:t xml:space="preserve">Very high risk</w:t>
            </w:r>
          </w:p>
        </w:tc>
        <w:tc>
          <w:tcPr>
            <w:tcW w:type="dxa" w:w="3000"/>
            <w:tcBorders>
              <w:top w:val="single" w:color="CCCCCC" w:sz="1"/>
              <w:left w:val="single" w:color="CCCCCC" w:sz="1"/>
              <w:bottom w:val="single" w:color="CCCCCC" w:sz="1"/>
              <w:right w:val="single" w:color="CCCCCC" w:sz="1"/>
            </w:tcBorders>
            <w:shd w:fill="FFE5CC" w:val="clear"/>
            <w:tcMar>
              <w:top w:type="dxa" w:w="80"/>
              <w:left w:type="dxa" w:w="150"/>
              <w:bottom w:type="dxa" w:w="80"/>
              <w:right w:type="dxa" w:w="150"/>
            </w:tcMar>
          </w:tcPr>
          <w:p>
            <w:r>
              <w:rPr>
                <w:rFonts w:ascii="Calibri" w:cs="Calibri" w:eastAsia="Calibri" w:hAnsi="Calibri"/>
                <w:sz w:val="20"/>
                <w:szCs w:val="20"/>
              </w:rPr>
              <w:t xml:space="preserve">Limit all outdoor exposure; drink water every 30 minutes</w:t>
            </w:r>
          </w:p>
        </w:tc>
      </w:tr>
      <w:tr>
        <w:tc>
          <w:tcPr>
            <w:tcW w:type="dxa" w:w="2000"/>
            <w:tcBorders>
              <w:top w:val="single" w:color="CCCCCC" w:sz="1"/>
              <w:left w:val="single" w:color="CCCCCC" w:sz="1"/>
              <w:bottom w:val="single" w:color="CCCCCC" w:sz="1"/>
              <w:right w:val="single" w:color="CCCCCC" w:sz="1"/>
            </w:tcBorders>
            <w:shd w:fill="FFFACC" w:val="clear"/>
            <w:tcMar>
              <w:top w:type="dxa" w:w="80"/>
              <w:left w:type="dxa" w:w="150"/>
              <w:bottom w:type="dxa" w:w="80"/>
              <w:right w:type="dxa" w:w="150"/>
            </w:tcMar>
          </w:tcPr>
          <w:p>
            <w:r>
              <w:rPr>
                <w:rFonts w:ascii="Calibri" w:cs="Calibri" w:eastAsia="Calibri" w:hAnsi="Calibri"/>
                <w:b/>
                <w:bCs/>
                <w:sz w:val="20"/>
                <w:szCs w:val="20"/>
              </w:rPr>
              <w:t xml:space="preserve">MODERATE</w:t>
            </w:r>
          </w:p>
        </w:tc>
        <w:tc>
          <w:tcPr>
            <w:tcW w:type="dxa" w:w="2200"/>
            <w:tcBorders>
              <w:top w:val="single" w:color="CCCCCC" w:sz="1"/>
              <w:left w:val="single" w:color="CCCCCC" w:sz="1"/>
              <w:bottom w:val="single" w:color="CCCCCC" w:sz="1"/>
              <w:right w:val="single" w:color="CCCCCC" w:sz="1"/>
            </w:tcBorders>
            <w:shd w:fill="FFFACC" w:val="clear"/>
            <w:tcMar>
              <w:top w:type="dxa" w:w="80"/>
              <w:left w:type="dxa" w:w="150"/>
              <w:bottom w:type="dxa" w:w="80"/>
              <w:right w:type="dxa" w:w="150"/>
            </w:tcMar>
          </w:tcPr>
          <w:p>
            <w:r>
              <w:rPr>
                <w:rFonts w:ascii="Calibri" w:cs="Calibri" w:eastAsia="Calibri" w:hAnsi="Calibri"/>
                <w:sz w:val="20"/>
                <w:szCs w:val="20"/>
              </w:rPr>
              <w:t xml:space="preserve">40°C – 43°C</w:t>
            </w:r>
          </w:p>
        </w:tc>
        <w:tc>
          <w:tcPr>
            <w:tcW w:type="dxa" w:w="2186"/>
            <w:tcBorders>
              <w:top w:val="single" w:color="CCCCCC" w:sz="1"/>
              <w:left w:val="single" w:color="CCCCCC" w:sz="1"/>
              <w:bottom w:val="single" w:color="CCCCCC" w:sz="1"/>
              <w:right w:val="single" w:color="CCCCCC" w:sz="1"/>
            </w:tcBorders>
            <w:shd w:fill="FFFACC" w:val="clear"/>
            <w:tcMar>
              <w:top w:type="dxa" w:w="80"/>
              <w:left w:type="dxa" w:w="150"/>
              <w:bottom w:type="dxa" w:w="80"/>
              <w:right w:type="dxa" w:w="150"/>
            </w:tcMar>
          </w:tcPr>
          <w:p>
            <w:r>
              <w:rPr>
                <w:rFonts w:ascii="Calibri" w:cs="Calibri" w:eastAsia="Calibri" w:hAnsi="Calibri"/>
                <w:sz w:val="20"/>
                <w:szCs w:val="20"/>
              </w:rPr>
              <w:t xml:space="preserve">Elevated risk</w:t>
            </w:r>
          </w:p>
        </w:tc>
        <w:tc>
          <w:tcPr>
            <w:tcW w:type="dxa" w:w="3000"/>
            <w:tcBorders>
              <w:top w:val="single" w:color="CCCCCC" w:sz="1"/>
              <w:left w:val="single" w:color="CCCCCC" w:sz="1"/>
              <w:bottom w:val="single" w:color="CCCCCC" w:sz="1"/>
              <w:right w:val="single" w:color="CCCCCC" w:sz="1"/>
            </w:tcBorders>
            <w:shd w:fill="FFFACC" w:val="clear"/>
            <w:tcMar>
              <w:top w:type="dxa" w:w="80"/>
              <w:left w:type="dxa" w:w="150"/>
              <w:bottom w:type="dxa" w:w="80"/>
              <w:right w:type="dxa" w:w="150"/>
            </w:tcMar>
          </w:tcPr>
          <w:p>
            <w:r>
              <w:rPr>
                <w:rFonts w:ascii="Calibri" w:cs="Calibri" w:eastAsia="Calibri" w:hAnsi="Calibri"/>
                <w:sz w:val="20"/>
                <w:szCs w:val="20"/>
              </w:rPr>
              <w:t xml:space="preserve">Limit outdoor time; rest in shade; increase fluid intake</w:t>
            </w:r>
          </w:p>
        </w:tc>
      </w:tr>
      <w:tr>
        <w:tc>
          <w:tcPr>
            <w:tcW w:type="dxa" w:w="2000"/>
            <w:tcBorders>
              <w:top w:val="single" w:color="CCCCCC" w:sz="1"/>
              <w:left w:val="single" w:color="CCCCCC" w:sz="1"/>
              <w:bottom w:val="single" w:color="CCCCCC" w:sz="1"/>
              <w:right w:val="single" w:color="CCCCCC" w:sz="1"/>
            </w:tcBorders>
            <w:shd w:fill="E5F5E0" w:val="clear"/>
            <w:tcMar>
              <w:top w:type="dxa" w:w="80"/>
              <w:left w:type="dxa" w:w="150"/>
              <w:bottom w:type="dxa" w:w="80"/>
              <w:right w:type="dxa" w:w="150"/>
            </w:tcMar>
          </w:tcPr>
          <w:p>
            <w:r>
              <w:rPr>
                <w:rFonts w:ascii="Calibri" w:cs="Calibri" w:eastAsia="Calibri" w:hAnsi="Calibri"/>
                <w:b/>
                <w:bCs/>
                <w:sz w:val="20"/>
                <w:szCs w:val="20"/>
              </w:rPr>
              <w:t xml:space="preserve">LOW</w:t>
            </w:r>
          </w:p>
        </w:tc>
        <w:tc>
          <w:tcPr>
            <w:tcW w:type="dxa" w:w="2200"/>
            <w:tcBorders>
              <w:top w:val="single" w:color="CCCCCC" w:sz="1"/>
              <w:left w:val="single" w:color="CCCCCC" w:sz="1"/>
              <w:bottom w:val="single" w:color="CCCCCC" w:sz="1"/>
              <w:right w:val="single" w:color="CCCCCC" w:sz="1"/>
            </w:tcBorders>
            <w:shd w:fill="E5F5E0" w:val="clear"/>
            <w:tcMar>
              <w:top w:type="dxa" w:w="80"/>
              <w:left w:type="dxa" w:w="150"/>
              <w:bottom w:type="dxa" w:w="80"/>
              <w:right w:type="dxa" w:w="150"/>
            </w:tcMar>
          </w:tcPr>
          <w:p>
            <w:r>
              <w:rPr>
                <w:rFonts w:ascii="Calibri" w:cs="Calibri" w:eastAsia="Calibri" w:hAnsi="Calibri"/>
                <w:sz w:val="20"/>
                <w:szCs w:val="20"/>
              </w:rPr>
              <w:t xml:space="preserve">37°C – 40°C</w:t>
            </w:r>
          </w:p>
        </w:tc>
        <w:tc>
          <w:tcPr>
            <w:tcW w:type="dxa" w:w="2186"/>
            <w:tcBorders>
              <w:top w:val="single" w:color="CCCCCC" w:sz="1"/>
              <w:left w:val="single" w:color="CCCCCC" w:sz="1"/>
              <w:bottom w:val="single" w:color="CCCCCC" w:sz="1"/>
              <w:right w:val="single" w:color="CCCCCC" w:sz="1"/>
            </w:tcBorders>
            <w:shd w:fill="E5F5E0" w:val="clear"/>
            <w:tcMar>
              <w:top w:type="dxa" w:w="80"/>
              <w:left w:type="dxa" w:w="150"/>
              <w:bottom w:type="dxa" w:w="80"/>
              <w:right w:type="dxa" w:w="150"/>
            </w:tcMar>
          </w:tcPr>
          <w:p>
            <w:r>
              <w:rPr>
                <w:rFonts w:ascii="Calibri" w:cs="Calibri" w:eastAsia="Calibri" w:hAnsi="Calibri"/>
                <w:sz w:val="20"/>
                <w:szCs w:val="20"/>
              </w:rPr>
              <w:t xml:space="preserve">Moderate risk</w:t>
            </w:r>
          </w:p>
        </w:tc>
        <w:tc>
          <w:tcPr>
            <w:tcW w:type="dxa" w:w="3000"/>
            <w:tcBorders>
              <w:top w:val="single" w:color="CCCCCC" w:sz="1"/>
              <w:left w:val="single" w:color="CCCCCC" w:sz="1"/>
              <w:bottom w:val="single" w:color="CCCCCC" w:sz="1"/>
              <w:right w:val="single" w:color="CCCCCC" w:sz="1"/>
            </w:tcBorders>
            <w:shd w:fill="E5F5E0" w:val="clear"/>
            <w:tcMar>
              <w:top w:type="dxa" w:w="80"/>
              <w:left w:type="dxa" w:w="150"/>
              <w:bottom w:type="dxa" w:w="80"/>
              <w:right w:type="dxa" w:w="150"/>
            </w:tcMar>
          </w:tcPr>
          <w:p>
            <w:r>
              <w:rPr>
                <w:rFonts w:ascii="Calibri" w:cs="Calibri" w:eastAsia="Calibri" w:hAnsi="Calibri"/>
                <w:sz w:val="20"/>
                <w:szCs w:val="20"/>
              </w:rPr>
              <w:t xml:space="preserve">Stay cautious; hydrate regularly; use sun protection</w:t>
            </w:r>
          </w:p>
        </w:tc>
      </w:tr>
      <w:tr>
        <w:tc>
          <w:tcPr>
            <w:tcW w:type="dxa" w:w="2000"/>
            <w:tcBorders>
              <w:top w:val="single" w:color="CCCCCC" w:sz="1"/>
              <w:left w:val="single" w:color="CCCCCC" w:sz="1"/>
              <w:bottom w:val="single" w:color="CCCCCC" w:sz="1"/>
              <w:right w:val="single" w:color="CCCCCC" w:sz="1"/>
            </w:tcBorders>
            <w:shd w:fill="D0EBD0" w:val="clear"/>
            <w:tcMar>
              <w:top w:type="dxa" w:w="80"/>
              <w:left w:type="dxa" w:w="150"/>
              <w:bottom w:type="dxa" w:w="80"/>
              <w:right w:type="dxa" w:w="150"/>
            </w:tcMar>
          </w:tcPr>
          <w:p>
            <w:r>
              <w:rPr>
                <w:rFonts w:ascii="Calibri" w:cs="Calibri" w:eastAsia="Calibri" w:hAnsi="Calibri"/>
                <w:b/>
                <w:bCs/>
                <w:sz w:val="20"/>
                <w:szCs w:val="20"/>
              </w:rPr>
              <w:t xml:space="preserve">SAFE</w:t>
            </w:r>
          </w:p>
        </w:tc>
        <w:tc>
          <w:tcPr>
            <w:tcW w:type="dxa" w:w="2200"/>
            <w:tcBorders>
              <w:top w:val="single" w:color="CCCCCC" w:sz="1"/>
              <w:left w:val="single" w:color="CCCCCC" w:sz="1"/>
              <w:bottom w:val="single" w:color="CCCCCC" w:sz="1"/>
              <w:right w:val="single" w:color="CCCCCC" w:sz="1"/>
            </w:tcBorders>
            <w:shd w:fill="D0EBD0" w:val="clear"/>
            <w:tcMar>
              <w:top w:type="dxa" w:w="80"/>
              <w:left w:type="dxa" w:w="150"/>
              <w:bottom w:type="dxa" w:w="80"/>
              <w:right w:type="dxa" w:w="150"/>
            </w:tcMar>
          </w:tcPr>
          <w:p>
            <w:r>
              <w:rPr>
                <w:rFonts w:ascii="Calibri" w:cs="Calibri" w:eastAsia="Calibri" w:hAnsi="Calibri"/>
                <w:sz w:val="20"/>
                <w:szCs w:val="20"/>
              </w:rPr>
              <w:t xml:space="preserve">Below 37°C</w:t>
            </w:r>
          </w:p>
        </w:tc>
        <w:tc>
          <w:tcPr>
            <w:tcW w:type="dxa" w:w="2186"/>
            <w:tcBorders>
              <w:top w:val="single" w:color="CCCCCC" w:sz="1"/>
              <w:left w:val="single" w:color="CCCCCC" w:sz="1"/>
              <w:bottom w:val="single" w:color="CCCCCC" w:sz="1"/>
              <w:right w:val="single" w:color="CCCCCC" w:sz="1"/>
            </w:tcBorders>
            <w:shd w:fill="D0EBD0" w:val="clear"/>
            <w:tcMar>
              <w:top w:type="dxa" w:w="80"/>
              <w:left w:type="dxa" w:w="150"/>
              <w:bottom w:type="dxa" w:w="80"/>
              <w:right w:type="dxa" w:w="150"/>
            </w:tcMar>
          </w:tcPr>
          <w:p>
            <w:r>
              <w:rPr>
                <w:rFonts w:ascii="Calibri" w:cs="Calibri" w:eastAsia="Calibri" w:hAnsi="Calibri"/>
                <w:sz w:val="20"/>
                <w:szCs w:val="20"/>
              </w:rPr>
              <w:t xml:space="preserve">Baseline risk</w:t>
            </w:r>
          </w:p>
        </w:tc>
        <w:tc>
          <w:tcPr>
            <w:tcW w:type="dxa" w:w="3000"/>
            <w:tcBorders>
              <w:top w:val="single" w:color="CCCCCC" w:sz="1"/>
              <w:left w:val="single" w:color="CCCCCC" w:sz="1"/>
              <w:bottom w:val="single" w:color="CCCCCC" w:sz="1"/>
              <w:right w:val="single" w:color="CCCCCC" w:sz="1"/>
            </w:tcBorders>
            <w:shd w:fill="D0EBD0" w:val="clear"/>
            <w:tcMar>
              <w:top w:type="dxa" w:w="80"/>
              <w:left w:type="dxa" w:w="150"/>
              <w:bottom w:type="dxa" w:w="80"/>
              <w:right w:type="dxa" w:w="150"/>
            </w:tcMar>
          </w:tcPr>
          <w:p>
            <w:r>
              <w:rPr>
                <w:rFonts w:ascii="Calibri" w:cs="Calibri" w:eastAsia="Calibri" w:hAnsi="Calibri"/>
                <w:sz w:val="20"/>
                <w:szCs w:val="20"/>
              </w:rPr>
              <w:t xml:space="preserve">Standard hydration and sun-protection precautions</w:t>
            </w:r>
          </w:p>
        </w:tc>
      </w:tr>
    </w:tbl>
    <w:p>
      <w:pPr>
        <w:spacing w:after="80"/>
      </w:pPr>
      <w:r>
        <w:t xml:space="preserve"/>
      </w:r>
    </w:p>
    <w:p>
      <w:pPr>
        <w:spacing w:after="80"/>
      </w:pPr>
      <w:r>
        <w:t xml:space="preserve"/>
      </w:r>
    </w:p>
    <w:p>
      <w:pPr>
        <w:pStyle w:val="Heading2"/>
        <w:spacing w:after="120" w:before="320"/>
      </w:pPr>
      <w:r>
        <w:rPr>
          <w:rFonts w:ascii="Calibri" w:cs="Calibri" w:eastAsia="Calibri" w:hAnsi="Calibri"/>
          <w:b/>
          <w:bCs/>
          <w:color w:val="2E74B5"/>
          <w:sz w:val="26"/>
          <w:szCs w:val="26"/>
        </w:rPr>
        <w:t xml:space="preserve">3.3  Machine Learning Pipeline</w:t>
      </w:r>
    </w:p>
    <w:p>
      <w:pPr>
        <w:spacing w:after="140"/>
      </w:pPr>
      <w:r>
        <w:rPr>
          <w:rFonts w:ascii="Calibri" w:cs="Calibri" w:eastAsia="Calibri" w:hAnsi="Calibri"/>
          <w:sz w:val="22"/>
          <w:szCs w:val="22"/>
        </w:rPr>
        <w:t xml:space="preserve">A supervised classification pipeline was implemented using scikit-learn. Three algorithms were trained and compared:</w:t>
      </w:r>
    </w:p>
    <w:p>
      <w:pPr>
        <w:pStyle w:val="ListParagraph"/>
        <w:numPr>
          <w:ilvl w:val="0"/>
          <w:numId w:val="2"/>
        </w:numPr>
        <w:spacing w:after="80"/>
      </w:pPr>
      <w:r>
        <w:rPr>
          <w:rFonts w:ascii="Calibri" w:cs="Calibri" w:eastAsia="Calibri" w:hAnsi="Calibri"/>
          <w:b w:val="false"/>
          <w:bCs w:val="false"/>
          <w:sz w:val="22"/>
          <w:szCs w:val="22"/>
        </w:rPr>
        <w:t xml:space="preserve">Random Forest Classifier (n_estimators=100, random_state=42)</w:t>
      </w:r>
    </w:p>
    <w:p>
      <w:pPr>
        <w:pStyle w:val="ListParagraph"/>
        <w:numPr>
          <w:ilvl w:val="0"/>
          <w:numId w:val="2"/>
        </w:numPr>
        <w:spacing w:after="80"/>
      </w:pPr>
      <w:r>
        <w:rPr>
          <w:rFonts w:ascii="Calibri" w:cs="Calibri" w:eastAsia="Calibri" w:hAnsi="Calibri"/>
          <w:b w:val="false"/>
          <w:bCs w:val="false"/>
          <w:sz w:val="22"/>
          <w:szCs w:val="22"/>
        </w:rPr>
        <w:t xml:space="preserve">Decision Tree Classifier (random_state=42)</w:t>
      </w:r>
    </w:p>
    <w:p>
      <w:pPr>
        <w:pStyle w:val="ListParagraph"/>
        <w:numPr>
          <w:ilvl w:val="0"/>
          <w:numId w:val="2"/>
        </w:numPr>
        <w:spacing w:after="80"/>
      </w:pPr>
      <w:r>
        <w:rPr>
          <w:rFonts w:ascii="Calibri" w:cs="Calibri" w:eastAsia="Calibri" w:hAnsi="Calibri"/>
          <w:b w:val="false"/>
          <w:bCs w:val="false"/>
          <w:sz w:val="22"/>
          <w:szCs w:val="22"/>
        </w:rPr>
        <w:t xml:space="preserve">Logistic Regression (max_iter=1000, random_state=42)</w:t>
      </w:r>
    </w:p>
    <w:p>
      <w:pPr>
        <w:spacing w:after="80"/>
      </w:pPr>
      <w:r>
        <w:t xml:space="preserve"/>
      </w:r>
    </w:p>
    <w:p>
      <w:pPr>
        <w:spacing w:after="140"/>
      </w:pPr>
      <w:r>
        <w:rPr>
          <w:rFonts w:ascii="Calibri" w:cs="Calibri" w:eastAsia="Calibri" w:hAnsi="Calibri"/>
          <w:sz w:val="22"/>
          <w:szCs w:val="22"/>
        </w:rPr>
        <w:t xml:space="preserve">Features used for model training:</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2000"/>
        <w:gridCol w:w="5040"/>
      </w:tblGrid>
      <w:tr>
        <w:tc>
          <w:tcPr>
            <w:tcW w:type="dxa" w:w="2346"/>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Feature</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Data Type</w:t>
            </w:r>
          </w:p>
        </w:tc>
        <w:tc>
          <w:tcPr>
            <w:tcW w:type="dxa" w:w="504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Description</w:t>
            </w:r>
          </w:p>
        </w:tc>
      </w:tr>
      <w:tr>
        <w:tc>
          <w:tcPr>
            <w:tcW w:type="dxa" w:w="234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Month</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Integer (1–12)</w:t>
            </w:r>
          </w:p>
        </w:tc>
        <w:tc>
          <w:tcPr>
            <w:tcW w:type="dxa" w:w="50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Calendar month of the observation</w:t>
            </w:r>
          </w:p>
        </w:tc>
      </w:tr>
      <w:tr>
        <w:tc>
          <w:tcPr>
            <w:tcW w:type="dxa" w:w="2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Day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Integer (1–31)</w:t>
            </w:r>
          </w:p>
        </w:tc>
        <w:tc>
          <w:tcPr>
            <w:tcW w:type="dxa" w:w="5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Day of the calendar month</w:t>
            </w:r>
          </w:p>
        </w:tc>
      </w:tr>
      <w:tr>
        <w:tc>
          <w:tcPr>
            <w:tcW w:type="dxa" w:w="234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Year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Integer</w:t>
            </w:r>
          </w:p>
        </w:tc>
        <w:tc>
          <w:tcPr>
            <w:tcW w:type="dxa" w:w="504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Year of the observation (1995–2020)</w:t>
            </w:r>
          </w:p>
        </w:tc>
      </w:tr>
      <w:tr>
        <w:tc>
          <w:tcPr>
            <w:tcW w:type="dxa" w:w="2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temp_celsius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Float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Daily average temperature in degrees Celsius</w:t>
            </w:r>
          </w:p>
        </w:tc>
      </w:tr>
    </w:tbl>
    <w:p>
      <w:pPr>
        <w:spacing w:after="80"/>
      </w:pPr>
      <w:r>
        <w:t xml:space="preserve"/>
      </w:r>
    </w:p>
    <w:p>
      <w:pPr>
        <w:spacing w:after="140"/>
      </w:pPr>
      <w:r>
        <w:rPr>
          <w:rFonts w:ascii="Calibri" w:cs="Calibri" w:eastAsia="Calibri" w:hAnsi="Calibri"/>
          <w:sz w:val="22"/>
          <w:szCs w:val="22"/>
        </w:rPr>
        <w:t xml:space="preserve">The dataset was split 80/20 (training/test) with random_state=42 to ensure reproducibility. Model accuracy was evaluated using sklearn's accuracy_score and a full classification report.</w:t>
      </w:r>
    </w:p>
    <w:p>
      <w:pPr>
        <w:spacing w:after="80"/>
      </w:pPr>
      <w:r>
        <w:t xml:space="preserve"/>
      </w:r>
    </w:p>
    <w:p>
      <w:pPr>
        <w:spacing w:after="80"/>
      </w:pPr>
      <w:r>
        <w:t xml:space="preserve"/>
      </w:r>
    </w:p>
    <w:p>
      <w:pPr>
        <w:pStyle w:val="Heading1"/>
        <w:pBdr>
          <w:bottom w:val="single" w:color="1B3A6B" w:sz="6" w:space="4"/>
        </w:pBdr>
        <w:spacing w:after="200" w:before="480"/>
      </w:pPr>
      <w:r>
        <w:rPr>
          <w:rFonts w:ascii="Calibri" w:cs="Calibri" w:eastAsia="Calibri" w:hAnsi="Calibri"/>
          <w:b/>
          <w:bCs/>
          <w:color w:val="1B3A6B"/>
          <w:sz w:val="34"/>
          <w:szCs w:val="34"/>
        </w:rPr>
        <w:t xml:space="preserve">4.  Results &amp; Analysis</w:t>
      </w:r>
    </w:p>
    <w:p>
      <w:pPr>
        <w:pStyle w:val="Heading2"/>
        <w:spacing w:after="120" w:before="320"/>
      </w:pPr>
      <w:r>
        <w:rPr>
          <w:rFonts w:ascii="Calibri" w:cs="Calibri" w:eastAsia="Calibri" w:hAnsi="Calibri"/>
          <w:b/>
          <w:bCs/>
          <w:color w:val="2E74B5"/>
          <w:sz w:val="26"/>
          <w:szCs w:val="26"/>
        </w:rPr>
        <w:t xml:space="preserve">4.1  Average Temperature by City</w:t>
      </w:r>
    </w:p>
    <w:p>
      <w:pPr>
        <w:spacing w:after="140"/>
      </w:pPr>
      <w:r>
        <w:rPr>
          <w:rFonts w:ascii="Calibri" w:cs="Calibri" w:eastAsia="Calibri" w:hAnsi="Calibri"/>
          <w:sz w:val="22"/>
          <w:szCs w:val="22"/>
        </w:rPr>
        <w:t xml:space="preserve">Figure 1 shows the overall average temperature for both Saudi cities. Dhahran consistently records higher average temperatures than Riyadh across the full 25-year period, reflecting its coastal location on the Arabian Gulf.</w:t>
      </w:r>
    </w:p>
    <w:p>
      <w:pPr>
        <w:spacing w:after="60" w:before="160"/>
        <w:jc w:val="center"/>
      </w:pPr>
      <w:r>
        <w:drawing>
          <wp:inline distT="0" distB="0" distL="0" distR="0">
            <wp:extent cx="4953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04787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1 — Average Temperature by Saudi Arabia City (°C)</w:t>
      </w:r>
    </w:p>
    <w:p>
      <w:pPr>
        <w:pStyle w:val="Heading2"/>
        <w:spacing w:after="120" w:before="320"/>
      </w:pPr>
      <w:r>
        <w:rPr>
          <w:rFonts w:ascii="Calibri" w:cs="Calibri" w:eastAsia="Calibri" w:hAnsi="Calibri"/>
          <w:b/>
          <w:bCs/>
          <w:color w:val="2E74B5"/>
          <w:sz w:val="26"/>
          <w:szCs w:val="26"/>
        </w:rPr>
        <w:t xml:space="preserve">4.2  Monthly Temperature Trends</w:t>
      </w:r>
    </w:p>
    <w:p>
      <w:pPr>
        <w:spacing w:after="140"/>
      </w:pPr>
      <w:r>
        <w:rPr>
          <w:rFonts w:ascii="Calibri" w:cs="Calibri" w:eastAsia="Calibri" w:hAnsi="Calibri"/>
          <w:sz w:val="22"/>
          <w:szCs w:val="22"/>
        </w:rPr>
        <w:t xml:space="preserve">Figure 2 illustrates the monthly average temperature profile for both cities across the calendar year. Both Dhahran and Riyadh follow a symmetric unimodal pattern, peaking in July–August and reaching minimum values in January. The Hajj season window (June–August) falls precisely at the thermal apex, creating maximum physiological stress for pilgrims.</w:t>
      </w:r>
    </w:p>
    <w:p>
      <w:pPr>
        <w:spacing w:after="60" w:before="160"/>
        <w:jc w:val="center"/>
      </w:pPr>
      <w:r>
        <w:drawing>
          <wp:inline distT="0" distB="0" distL="0" distR="0">
            <wp:extent cx="52387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28600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2 — Monthly Average Temperature Trend (Dhahran vs Riyadh, °C)</w:t>
      </w:r>
    </w:p>
    <w:p>
      <w:pPr>
        <w:spacing w:after="80"/>
      </w:pPr>
      <w:r>
        <w:t xml:space="preserve"/>
      </w:r>
    </w:p>
    <w:p>
      <w:pPr>
        <w:spacing w:after="80"/>
      </w:pPr>
      <w:r>
        <w:t xml:space="preserve"/>
      </w:r>
    </w:p>
    <w:p>
      <w:pPr>
        <w:pStyle w:val="Heading2"/>
        <w:spacing w:after="120" w:before="320"/>
      </w:pPr>
      <w:r>
        <w:rPr>
          <w:rFonts w:ascii="Calibri" w:cs="Calibri" w:eastAsia="Calibri" w:hAnsi="Calibri"/>
          <w:b/>
          <w:bCs/>
          <w:color w:val="2E74B5"/>
          <w:sz w:val="26"/>
          <w:szCs w:val="26"/>
        </w:rPr>
        <w:t xml:space="preserve">4.3  Monthly Temperature Heatmap</w:t>
      </w:r>
    </w:p>
    <w:p>
      <w:pPr>
        <w:spacing w:after="140"/>
      </w:pPr>
      <w:r>
        <w:rPr>
          <w:rFonts w:ascii="Calibri" w:cs="Calibri" w:eastAsia="Calibri" w:hAnsi="Calibri"/>
          <w:sz w:val="22"/>
          <w:szCs w:val="22"/>
        </w:rPr>
        <w:t xml:space="preserve">Figure 3 presents a heatmap of monthly average temperatures for both cities, providing an intuitive visualization of seasonal heat distribution. The deep red cells (June–September) clearly demarcate the extreme heat zone coinciding with Hajj season.</w:t>
      </w:r>
    </w:p>
    <w:p>
      <w:pPr>
        <w:spacing w:after="60" w:before="160"/>
        <w:jc w:val="center"/>
      </w:pPr>
      <w:r>
        <w:drawing>
          <wp:inline distT="0" distB="0" distL="0" distR="0">
            <wp:extent cx="5334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8125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3 — Monthly Average Temperature Heatmap — Saudi Arabia Cities</w:t>
      </w:r>
    </w:p>
    <w:p>
      <w:pPr>
        <w:pStyle w:val="Heading2"/>
        <w:spacing w:after="120" w:before="320"/>
      </w:pPr>
      <w:r>
        <w:rPr>
          <w:rFonts w:ascii="Calibri" w:cs="Calibri" w:eastAsia="Calibri" w:hAnsi="Calibri"/>
          <w:b/>
          <w:bCs/>
          <w:color w:val="2E74B5"/>
          <w:sz w:val="26"/>
          <w:szCs w:val="26"/>
        </w:rPr>
        <w:t xml:space="preserve">4.4  Hajj Season Temperature Statistics</w:t>
      </w:r>
    </w:p>
    <w:p>
      <w:pPr>
        <w:spacing w:after="140"/>
      </w:pPr>
      <w:r>
        <w:rPr>
          <w:rFonts w:ascii="Calibri" w:cs="Calibri" w:eastAsia="Calibri" w:hAnsi="Calibri"/>
          <w:sz w:val="22"/>
          <w:szCs w:val="22"/>
        </w:rPr>
        <w:t xml:space="preserve">Restricting the analysis to Hajj season months (June, July, August) yields the following descriptive statistics:</w:t>
      </w:r>
    </w:p>
    <w:p>
      <w:pPr>
        <w:spacing w:after="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2347"/>
        <w:gridCol w:w="2347"/>
        <w:gridCol w:w="2346"/>
      </w:tblGrid>
      <w:tr>
        <w:tc>
          <w:tcPr>
            <w:tcW w:type="dxa" w:w="2346"/>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City</w:t>
            </w:r>
          </w:p>
        </w:tc>
        <w:tc>
          <w:tcPr>
            <w:tcW w:type="dxa" w:w="2347"/>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Average Temp</w:t>
            </w:r>
          </w:p>
        </w:tc>
        <w:tc>
          <w:tcPr>
            <w:tcW w:type="dxa" w:w="2347"/>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Maximum Temp</w:t>
            </w:r>
          </w:p>
        </w:tc>
        <w:tc>
          <w:tcPr>
            <w:tcW w:type="dxa" w:w="2346"/>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Minimum Temp</w:t>
            </w:r>
          </w:p>
        </w:tc>
      </w:tr>
      <w:tr>
        <w:tc>
          <w:tcPr>
            <w:tcW w:type="dxa" w:w="234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Dhahran</w:t>
            </w:r>
          </w:p>
        </w:tc>
        <w:tc>
          <w:tcPr>
            <w:tcW w:type="dxa" w:w="2347"/>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36.34°C</w:t>
            </w:r>
          </w:p>
        </w:tc>
        <w:tc>
          <w:tcPr>
            <w:tcW w:type="dxa" w:w="2347"/>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42.11°C</w:t>
            </w:r>
          </w:p>
        </w:tc>
        <w:tc>
          <w:tcPr>
            <w:tcW w:type="dxa" w:w="234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27.08°C</w:t>
            </w:r>
          </w:p>
        </w:tc>
      </w:tr>
      <w:tr>
        <w:tc>
          <w:tcPr>
            <w:tcW w:type="dxa" w:w="2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Riyadh</w:t>
            </w:r>
          </w:p>
        </w:tc>
        <w:tc>
          <w:tcPr>
            <w:tcW w:type="dxa" w:w="234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36.07°C</w:t>
            </w:r>
          </w:p>
        </w:tc>
        <w:tc>
          <w:tcPr>
            <w:tcW w:type="dxa" w:w="234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40.56°C</w:t>
            </w:r>
          </w:p>
        </w:tc>
        <w:tc>
          <w:tcPr>
            <w:tcW w:type="dxa" w:w="2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30.89°C</w:t>
            </w:r>
          </w:p>
        </w:tc>
      </w:tr>
    </w:tbl>
    <w:p>
      <w:pPr>
        <w:spacing w:after="80"/>
      </w:pPr>
      <w:r>
        <w:t xml:space="preserve"/>
      </w:r>
    </w:p>
    <w:p>
      <w:pPr>
        <w:spacing w:after="80"/>
      </w:pPr>
      <w:r>
        <w:t xml:space="preserve"/>
      </w:r>
    </w:p>
    <w:p>
      <w:pPr>
        <w:pStyle w:val="Heading2"/>
        <w:spacing w:after="120" w:before="320"/>
      </w:pPr>
      <w:r>
        <w:rPr>
          <w:rFonts w:ascii="Calibri" w:cs="Calibri" w:eastAsia="Calibri" w:hAnsi="Calibri"/>
          <w:b/>
          <w:bCs/>
          <w:color w:val="2E74B5"/>
          <w:sz w:val="26"/>
          <w:szCs w:val="26"/>
        </w:rPr>
        <w:t xml:space="preserve">4.5  Heatstroke Risk Levels During Hajj Season</w:t>
      </w:r>
    </w:p>
    <w:p>
      <w:pPr>
        <w:spacing w:after="140"/>
      </w:pPr>
      <w:r>
        <w:rPr>
          <w:rFonts w:ascii="Calibri" w:cs="Calibri" w:eastAsia="Calibri" w:hAnsi="Calibri"/>
          <w:sz w:val="22"/>
          <w:szCs w:val="22"/>
        </w:rPr>
        <w:t xml:space="preserve">Figure 4 presents the distribution of heatstroke risk levels during the June–August Hajj window for both cities. The predominance of SAFE and LOW risk days reflects that average temperatures remain below critical thresholds; however, the presence of MODERATE days underscores that dangerous conditions do occur and must be anticipated.</w:t>
      </w:r>
    </w:p>
    <w:p>
      <w:pPr>
        <w:spacing w:after="60" w:before="16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38125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4 — Heatstroke Risk Distribution During Hajj Season (Jun–Aug) by City</w:t>
      </w:r>
    </w:p>
    <w:p>
      <w:pPr>
        <w:spacing w:after="8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128"/>
        <w:gridCol w:w="3129"/>
        <w:gridCol w:w="3129"/>
      </w:tblGrid>
      <w:tr>
        <w:tc>
          <w:tcPr>
            <w:tcW w:type="dxa" w:w="3128"/>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Risk Level</w:t>
            </w:r>
          </w:p>
        </w:tc>
        <w:tc>
          <w:tcPr>
            <w:tcW w:type="dxa" w:w="3129"/>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Days Count</w:t>
            </w:r>
          </w:p>
        </w:tc>
        <w:tc>
          <w:tcPr>
            <w:tcW w:type="dxa" w:w="3129"/>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 of Hajj Season</w:t>
            </w:r>
          </w:p>
        </w:tc>
      </w:tr>
      <w:tr>
        <w:tc>
          <w:tcPr>
            <w:tcW w:type="dxa" w:w="3128"/>
            <w:tcBorders>
              <w:top w:val="single" w:color="CCCCCC" w:sz="1"/>
              <w:left w:val="single" w:color="CCCCCC" w:sz="1"/>
              <w:bottom w:val="single" w:color="CCCCCC" w:sz="1"/>
              <w:right w:val="single" w:color="CCCCCC" w:sz="1"/>
            </w:tcBorders>
            <w:shd w:fill="D0EBD0" w:val="clear"/>
            <w:tcMar>
              <w:top w:type="dxa" w:w="80"/>
              <w:left w:type="dxa" w:w="150"/>
              <w:bottom w:type="dxa" w:w="80"/>
              <w:right w:type="dxa" w:w="150"/>
            </w:tcMar>
          </w:tcPr>
          <w:p>
            <w:r>
              <w:rPr>
                <w:rFonts w:ascii="Calibri" w:cs="Calibri" w:eastAsia="Calibri" w:hAnsi="Calibri"/>
                <w:b/>
                <w:bCs/>
                <w:sz w:val="20"/>
                <w:szCs w:val="20"/>
              </w:rPr>
              <w:t xml:space="preserve">SAFE</w:t>
            </w:r>
          </w:p>
        </w:tc>
        <w:tc>
          <w:tcPr>
            <w:tcW w:type="dxa" w:w="3129"/>
            <w:tcBorders>
              <w:top w:val="single" w:color="CCCCCC" w:sz="1"/>
              <w:left w:val="single" w:color="CCCCCC" w:sz="1"/>
              <w:bottom w:val="single" w:color="CCCCCC" w:sz="1"/>
              <w:right w:val="single" w:color="CCCCCC" w:sz="1"/>
            </w:tcBorders>
            <w:shd w:fill="D0EBD0" w:val="clear"/>
            <w:tcMar>
              <w:top w:type="dxa" w:w="80"/>
              <w:left w:type="dxa" w:w="150"/>
              <w:bottom w:type="dxa" w:w="80"/>
              <w:right w:type="dxa" w:w="150"/>
            </w:tcMar>
          </w:tcPr>
          <w:p>
            <w:r>
              <w:rPr>
                <w:rFonts w:ascii="Calibri" w:cs="Calibri" w:eastAsia="Calibri" w:hAnsi="Calibri"/>
                <w:sz w:val="20"/>
                <w:szCs w:val="20"/>
              </w:rPr>
              <w:t xml:space="preserve">5,096</w:t>
            </w:r>
          </w:p>
        </w:tc>
        <w:tc>
          <w:tcPr>
            <w:tcW w:type="dxa" w:w="3129"/>
            <w:tcBorders>
              <w:top w:val="single" w:color="CCCCCC" w:sz="1"/>
              <w:left w:val="single" w:color="CCCCCC" w:sz="1"/>
              <w:bottom w:val="single" w:color="CCCCCC" w:sz="1"/>
              <w:right w:val="single" w:color="CCCCCC" w:sz="1"/>
            </w:tcBorders>
            <w:shd w:fill="D0EBD0" w:val="clear"/>
            <w:tcMar>
              <w:top w:type="dxa" w:w="80"/>
              <w:left w:type="dxa" w:w="150"/>
              <w:bottom w:type="dxa" w:w="80"/>
              <w:right w:type="dxa" w:w="150"/>
            </w:tcMar>
          </w:tcPr>
          <w:p>
            <w:r>
              <w:rPr>
                <w:rFonts w:ascii="Calibri" w:cs="Calibri" w:eastAsia="Calibri" w:hAnsi="Calibri"/>
                <w:sz w:val="20"/>
                <w:szCs w:val="20"/>
              </w:rPr>
              <w:t xml:space="preserve">78.4%</w:t>
            </w:r>
          </w:p>
        </w:tc>
      </w:tr>
      <w:tr>
        <w:tc>
          <w:tcPr>
            <w:tcW w:type="dxa" w:w="3128"/>
            <w:tcBorders>
              <w:top w:val="single" w:color="CCCCCC" w:sz="1"/>
              <w:left w:val="single" w:color="CCCCCC" w:sz="1"/>
              <w:bottom w:val="single" w:color="CCCCCC" w:sz="1"/>
              <w:right w:val="single" w:color="CCCCCC" w:sz="1"/>
            </w:tcBorders>
            <w:shd w:fill="E5F5E0" w:val="clear"/>
            <w:tcMar>
              <w:top w:type="dxa" w:w="80"/>
              <w:left w:type="dxa" w:w="150"/>
              <w:bottom w:type="dxa" w:w="80"/>
              <w:right w:type="dxa" w:w="150"/>
            </w:tcMar>
          </w:tcPr>
          <w:p>
            <w:r>
              <w:rPr>
                <w:rFonts w:ascii="Calibri" w:cs="Calibri" w:eastAsia="Calibri" w:hAnsi="Calibri"/>
                <w:b/>
                <w:bCs/>
                <w:sz w:val="20"/>
                <w:szCs w:val="20"/>
              </w:rPr>
              <w:t xml:space="preserve">LOW</w:t>
            </w:r>
          </w:p>
        </w:tc>
        <w:tc>
          <w:tcPr>
            <w:tcW w:type="dxa" w:w="3129"/>
            <w:tcBorders>
              <w:top w:val="single" w:color="CCCCCC" w:sz="1"/>
              <w:left w:val="single" w:color="CCCCCC" w:sz="1"/>
              <w:bottom w:val="single" w:color="CCCCCC" w:sz="1"/>
              <w:right w:val="single" w:color="CCCCCC" w:sz="1"/>
            </w:tcBorders>
            <w:shd w:fill="E5F5E0" w:val="clear"/>
            <w:tcMar>
              <w:top w:type="dxa" w:w="80"/>
              <w:left w:type="dxa" w:w="150"/>
              <w:bottom w:type="dxa" w:w="80"/>
              <w:right w:type="dxa" w:w="150"/>
            </w:tcMar>
          </w:tcPr>
          <w:p>
            <w:r>
              <w:rPr>
                <w:rFonts w:ascii="Calibri" w:cs="Calibri" w:eastAsia="Calibri" w:hAnsi="Calibri"/>
                <w:sz w:val="20"/>
                <w:szCs w:val="20"/>
              </w:rPr>
              <w:t xml:space="preserve">1,386</w:t>
            </w:r>
          </w:p>
        </w:tc>
        <w:tc>
          <w:tcPr>
            <w:tcW w:type="dxa" w:w="3129"/>
            <w:tcBorders>
              <w:top w:val="single" w:color="CCCCCC" w:sz="1"/>
              <w:left w:val="single" w:color="CCCCCC" w:sz="1"/>
              <w:bottom w:val="single" w:color="CCCCCC" w:sz="1"/>
              <w:right w:val="single" w:color="CCCCCC" w:sz="1"/>
            </w:tcBorders>
            <w:shd w:fill="E5F5E0" w:val="clear"/>
            <w:tcMar>
              <w:top w:type="dxa" w:w="80"/>
              <w:left w:type="dxa" w:w="150"/>
              <w:bottom w:type="dxa" w:w="80"/>
              <w:right w:type="dxa" w:w="150"/>
            </w:tcMar>
          </w:tcPr>
          <w:p>
            <w:r>
              <w:rPr>
                <w:rFonts w:ascii="Calibri" w:cs="Calibri" w:eastAsia="Calibri" w:hAnsi="Calibri"/>
                <w:sz w:val="20"/>
                <w:szCs w:val="20"/>
              </w:rPr>
              <w:t xml:space="preserve">21.3%</w:t>
            </w:r>
          </w:p>
        </w:tc>
      </w:tr>
      <w:tr>
        <w:tc>
          <w:tcPr>
            <w:tcW w:type="dxa" w:w="3128"/>
            <w:tcBorders>
              <w:top w:val="single" w:color="CCCCCC" w:sz="1"/>
              <w:left w:val="single" w:color="CCCCCC" w:sz="1"/>
              <w:bottom w:val="single" w:color="CCCCCC" w:sz="1"/>
              <w:right w:val="single" w:color="CCCCCC" w:sz="1"/>
            </w:tcBorders>
            <w:shd w:fill="FFFACC" w:val="clear"/>
            <w:tcMar>
              <w:top w:type="dxa" w:w="80"/>
              <w:left w:type="dxa" w:w="150"/>
              <w:bottom w:type="dxa" w:w="80"/>
              <w:right w:type="dxa" w:w="150"/>
            </w:tcMar>
          </w:tcPr>
          <w:p>
            <w:r>
              <w:rPr>
                <w:rFonts w:ascii="Calibri" w:cs="Calibri" w:eastAsia="Calibri" w:hAnsi="Calibri"/>
                <w:b/>
                <w:bCs/>
                <w:sz w:val="20"/>
                <w:szCs w:val="20"/>
              </w:rPr>
              <w:t xml:space="preserve">MODERATE</w:t>
            </w:r>
          </w:p>
        </w:tc>
        <w:tc>
          <w:tcPr>
            <w:tcW w:type="dxa" w:w="3129"/>
            <w:tcBorders>
              <w:top w:val="single" w:color="CCCCCC" w:sz="1"/>
              <w:left w:val="single" w:color="CCCCCC" w:sz="1"/>
              <w:bottom w:val="single" w:color="CCCCCC" w:sz="1"/>
              <w:right w:val="single" w:color="CCCCCC" w:sz="1"/>
            </w:tcBorders>
            <w:shd w:fill="FFFACC" w:val="clear"/>
            <w:tcMar>
              <w:top w:type="dxa" w:w="80"/>
              <w:left w:type="dxa" w:w="150"/>
              <w:bottom w:type="dxa" w:w="80"/>
              <w:right w:type="dxa" w:w="150"/>
            </w:tcMar>
          </w:tcPr>
          <w:p>
            <w:r>
              <w:rPr>
                <w:rFonts w:ascii="Calibri" w:cs="Calibri" w:eastAsia="Calibri" w:hAnsi="Calibri"/>
                <w:sz w:val="20"/>
                <w:szCs w:val="20"/>
              </w:rPr>
              <w:t xml:space="preserve">23</w:t>
            </w:r>
          </w:p>
        </w:tc>
        <w:tc>
          <w:tcPr>
            <w:tcW w:type="dxa" w:w="3129"/>
            <w:tcBorders>
              <w:top w:val="single" w:color="CCCCCC" w:sz="1"/>
              <w:left w:val="single" w:color="CCCCCC" w:sz="1"/>
              <w:bottom w:val="single" w:color="CCCCCC" w:sz="1"/>
              <w:right w:val="single" w:color="CCCCCC" w:sz="1"/>
            </w:tcBorders>
            <w:shd w:fill="FFFACC" w:val="clear"/>
            <w:tcMar>
              <w:top w:type="dxa" w:w="80"/>
              <w:left w:type="dxa" w:w="150"/>
              <w:bottom w:type="dxa" w:w="80"/>
              <w:right w:type="dxa" w:w="150"/>
            </w:tcMar>
          </w:tcPr>
          <w:p>
            <w:r>
              <w:rPr>
                <w:rFonts w:ascii="Calibri" w:cs="Calibri" w:eastAsia="Calibri" w:hAnsi="Calibri"/>
                <w:sz w:val="20"/>
                <w:szCs w:val="20"/>
              </w:rPr>
              <w:t xml:space="preserve">0.35%</w:t>
            </w:r>
          </w:p>
        </w:tc>
      </w:tr>
      <w:tr>
        <w:tc>
          <w:tcPr>
            <w:tcW w:type="dxa" w:w="3128"/>
            <w:tcBorders>
              <w:top w:val="single" w:color="CCCCCC" w:sz="1"/>
              <w:left w:val="single" w:color="CCCCCC" w:sz="1"/>
              <w:bottom w:val="single" w:color="CCCCCC" w:sz="1"/>
              <w:right w:val="single" w:color="CCCCCC" w:sz="1"/>
            </w:tcBorders>
            <w:shd w:fill="FFE5CC" w:val="clear"/>
            <w:tcMar>
              <w:top w:type="dxa" w:w="80"/>
              <w:left w:type="dxa" w:w="150"/>
              <w:bottom w:type="dxa" w:w="80"/>
              <w:right w:type="dxa" w:w="150"/>
            </w:tcMar>
          </w:tcPr>
          <w:p>
            <w:r>
              <w:rPr>
                <w:rFonts w:ascii="Calibri" w:cs="Calibri" w:eastAsia="Calibri" w:hAnsi="Calibri"/>
                <w:b/>
                <w:bCs/>
                <w:sz w:val="20"/>
                <w:szCs w:val="20"/>
              </w:rPr>
              <w:t xml:space="preserve">HIGH</w:t>
            </w:r>
          </w:p>
        </w:tc>
        <w:tc>
          <w:tcPr>
            <w:tcW w:type="dxa" w:w="3129"/>
            <w:tcBorders>
              <w:top w:val="single" w:color="CCCCCC" w:sz="1"/>
              <w:left w:val="single" w:color="CCCCCC" w:sz="1"/>
              <w:bottom w:val="single" w:color="CCCCCC" w:sz="1"/>
              <w:right w:val="single" w:color="CCCCCC" w:sz="1"/>
            </w:tcBorders>
            <w:shd w:fill="FFE5CC" w:val="clear"/>
            <w:tcMar>
              <w:top w:type="dxa" w:w="80"/>
              <w:left w:type="dxa" w:w="150"/>
              <w:bottom w:type="dxa" w:w="80"/>
              <w:right w:type="dxa" w:w="150"/>
            </w:tcMar>
          </w:tcPr>
          <w:p>
            <w:r>
              <w:rPr>
                <w:rFonts w:ascii="Calibri" w:cs="Calibri" w:eastAsia="Calibri" w:hAnsi="Calibri"/>
                <w:sz w:val="20"/>
                <w:szCs w:val="20"/>
              </w:rPr>
              <w:t xml:space="preserve">0</w:t>
            </w:r>
          </w:p>
        </w:tc>
        <w:tc>
          <w:tcPr>
            <w:tcW w:type="dxa" w:w="3129"/>
            <w:tcBorders>
              <w:top w:val="single" w:color="CCCCCC" w:sz="1"/>
              <w:left w:val="single" w:color="CCCCCC" w:sz="1"/>
              <w:bottom w:val="single" w:color="CCCCCC" w:sz="1"/>
              <w:right w:val="single" w:color="CCCCCC" w:sz="1"/>
            </w:tcBorders>
            <w:shd w:fill="FFE5CC" w:val="clear"/>
            <w:tcMar>
              <w:top w:type="dxa" w:w="80"/>
              <w:left w:type="dxa" w:w="150"/>
              <w:bottom w:type="dxa" w:w="80"/>
              <w:right w:type="dxa" w:w="150"/>
            </w:tcMar>
          </w:tcPr>
          <w:p>
            <w:r>
              <w:rPr>
                <w:rFonts w:ascii="Calibri" w:cs="Calibri" w:eastAsia="Calibri" w:hAnsi="Calibri"/>
                <w:sz w:val="20"/>
                <w:szCs w:val="20"/>
              </w:rPr>
              <w:t xml:space="preserve">0.00%</w:t>
            </w:r>
          </w:p>
        </w:tc>
      </w:tr>
      <w:tr>
        <w:tc>
          <w:tcPr>
            <w:tcW w:type="dxa" w:w="3128"/>
            <w:tcBorders>
              <w:top w:val="single" w:color="CCCCCC" w:sz="1"/>
              <w:left w:val="single" w:color="CCCCCC" w:sz="1"/>
              <w:bottom w:val="single" w:color="CCCCCC" w:sz="1"/>
              <w:right w:val="single" w:color="CCCCCC" w:sz="1"/>
            </w:tcBorders>
            <w:shd w:fill="FFD0D0" w:val="clear"/>
            <w:tcMar>
              <w:top w:type="dxa" w:w="80"/>
              <w:left w:type="dxa" w:w="150"/>
              <w:bottom w:type="dxa" w:w="80"/>
              <w:right w:type="dxa" w:w="150"/>
            </w:tcMar>
          </w:tcPr>
          <w:p>
            <w:r>
              <w:rPr>
                <w:rFonts w:ascii="Calibri" w:cs="Calibri" w:eastAsia="Calibri" w:hAnsi="Calibri"/>
                <w:b/>
                <w:bCs/>
                <w:sz w:val="20"/>
                <w:szCs w:val="20"/>
              </w:rPr>
              <w:t xml:space="preserve">EXTREME</w:t>
            </w:r>
          </w:p>
        </w:tc>
        <w:tc>
          <w:tcPr>
            <w:tcW w:type="dxa" w:w="3129"/>
            <w:tcBorders>
              <w:top w:val="single" w:color="CCCCCC" w:sz="1"/>
              <w:left w:val="single" w:color="CCCCCC" w:sz="1"/>
              <w:bottom w:val="single" w:color="CCCCCC" w:sz="1"/>
              <w:right w:val="single" w:color="CCCCCC" w:sz="1"/>
            </w:tcBorders>
            <w:shd w:fill="FFD0D0" w:val="clear"/>
            <w:tcMar>
              <w:top w:type="dxa" w:w="80"/>
              <w:left w:type="dxa" w:w="150"/>
              <w:bottom w:type="dxa" w:w="80"/>
              <w:right w:type="dxa" w:w="150"/>
            </w:tcMar>
          </w:tcPr>
          <w:p>
            <w:r>
              <w:rPr>
                <w:rFonts w:ascii="Calibri" w:cs="Calibri" w:eastAsia="Calibri" w:hAnsi="Calibri"/>
                <w:sz w:val="20"/>
                <w:szCs w:val="20"/>
              </w:rPr>
              <w:t xml:space="preserve">0</w:t>
            </w:r>
          </w:p>
        </w:tc>
        <w:tc>
          <w:tcPr>
            <w:tcW w:type="dxa" w:w="3129"/>
            <w:tcBorders>
              <w:top w:val="single" w:color="CCCCCC" w:sz="1"/>
              <w:left w:val="single" w:color="CCCCCC" w:sz="1"/>
              <w:bottom w:val="single" w:color="CCCCCC" w:sz="1"/>
              <w:right w:val="single" w:color="CCCCCC" w:sz="1"/>
            </w:tcBorders>
            <w:shd w:fill="FFD0D0" w:val="clear"/>
            <w:tcMar>
              <w:top w:type="dxa" w:w="80"/>
              <w:left w:type="dxa" w:w="150"/>
              <w:bottom w:type="dxa" w:w="80"/>
              <w:right w:type="dxa" w:w="150"/>
            </w:tcMar>
          </w:tcPr>
          <w:p>
            <w:r>
              <w:rPr>
                <w:rFonts w:ascii="Calibri" w:cs="Calibri" w:eastAsia="Calibri" w:hAnsi="Calibri"/>
                <w:sz w:val="20"/>
                <w:szCs w:val="20"/>
              </w:rPr>
              <w:t xml:space="preserve">0.00%</w:t>
            </w:r>
          </w:p>
        </w:tc>
      </w:tr>
    </w:tbl>
    <w:p>
      <w:pPr>
        <w:spacing w:after="80"/>
      </w:pPr>
      <w:r>
        <w:t xml:space="preserve"/>
      </w:r>
    </w:p>
    <w:p>
      <w:pPr>
        <w:spacing w:after="80"/>
      </w:pPr>
      <w:r>
        <w:t xml:space="preserve"/>
      </w:r>
    </w:p>
    <w:p>
      <w:pPr>
        <w:pStyle w:val="Heading2"/>
        <w:spacing w:after="120" w:before="320"/>
      </w:pPr>
      <w:r>
        <w:rPr>
          <w:rFonts w:ascii="Calibri" w:cs="Calibri" w:eastAsia="Calibri" w:hAnsi="Calibri"/>
          <w:b/>
          <w:bCs/>
          <w:color w:val="2E74B5"/>
          <w:sz w:val="26"/>
          <w:szCs w:val="26"/>
        </w:rPr>
        <w:t xml:space="preserve">4.6  Yearly Temperature Trend (1995–2020)</w:t>
      </w:r>
    </w:p>
    <w:p>
      <w:pPr>
        <w:spacing w:after="140"/>
      </w:pPr>
      <w:r>
        <w:rPr>
          <w:rFonts w:ascii="Calibri" w:cs="Calibri" w:eastAsia="Calibri" w:hAnsi="Calibri"/>
          <w:sz w:val="22"/>
          <w:szCs w:val="22"/>
        </w:rPr>
        <w:t xml:space="preserve">Figure 5 plots the yearly average temperature for both cities over the 25-year study period. A clear upward trend is visible for both Dhahran and Riyadh, with Dhahran showing more pronounced inter-annual variability. The sharp decline at 2020 likely reflects incomplete data records for that year.</w:t>
      </w:r>
    </w:p>
    <w:p>
      <w:pPr>
        <w:spacing w:after="60" w:before="160"/>
        <w:jc w:val="center"/>
      </w:pPr>
      <w:r>
        <w:drawing>
          <wp:inline distT="0" distB="0" distL="0" distR="0">
            <wp:extent cx="51435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238375"/>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5 — Yearly Average Temperature Trend — Saudi Arabia Cities (1995–2020)</w:t>
      </w:r>
    </w:p>
    <w:p>
      <w:pPr>
        <w:spacing w:after="80"/>
      </w:pPr>
      <w:r>
        <w:t xml:space="preserve"/>
      </w:r>
    </w:p>
    <w:p>
      <w:pPr>
        <w:spacing w:after="80"/>
      </w:pPr>
      <w:r>
        <w:t xml:space="preserve"/>
      </w:r>
    </w:p>
    <w:p>
      <w:pPr>
        <w:pStyle w:val="Heading1"/>
        <w:pBdr>
          <w:bottom w:val="single" w:color="1B3A6B" w:sz="6" w:space="4"/>
        </w:pBdr>
        <w:spacing w:after="200" w:before="480"/>
      </w:pPr>
      <w:r>
        <w:rPr>
          <w:rFonts w:ascii="Calibri" w:cs="Calibri" w:eastAsia="Calibri" w:hAnsi="Calibri"/>
          <w:b/>
          <w:bCs/>
          <w:color w:val="1B3A6B"/>
          <w:sz w:val="34"/>
          <w:szCs w:val="34"/>
        </w:rPr>
        <w:t xml:space="preserve">5.  Machine Learning Results</w:t>
      </w:r>
    </w:p>
    <w:p>
      <w:pPr>
        <w:pStyle w:val="Heading2"/>
        <w:spacing w:after="120" w:before="320"/>
      </w:pPr>
      <w:r>
        <w:rPr>
          <w:rFonts w:ascii="Calibri" w:cs="Calibri" w:eastAsia="Calibri" w:hAnsi="Calibri"/>
          <w:b/>
          <w:bCs/>
          <w:color w:val="2E74B5"/>
          <w:sz w:val="26"/>
          <w:szCs w:val="26"/>
        </w:rPr>
        <w:t xml:space="preserve">5.1  Model Accuracy Comparison</w:t>
      </w:r>
    </w:p>
    <w:p>
      <w:pPr>
        <w:spacing w:after="140"/>
      </w:pPr>
      <w:r>
        <w:rPr>
          <w:rFonts w:ascii="Calibri" w:cs="Calibri" w:eastAsia="Calibri" w:hAnsi="Calibri"/>
          <w:sz w:val="22"/>
          <w:szCs w:val="22"/>
        </w:rPr>
        <w:t xml:space="preserve">Three classification algorithms were trained on an 80% training subset and evaluated on the remaining 20% test set. Figure 6 compares their accuracy scores.</w:t>
      </w:r>
    </w:p>
    <w:p>
      <w:pPr>
        <w:spacing w:after="60" w:before="16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19075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6 — Model Accuracy Comparison (Random Forest / Decision Tree / Logistic Regression)</w:t>
      </w:r>
    </w:p>
    <w:p>
      <w:pPr>
        <w:spacing w:after="140"/>
      </w:pPr>
      <w:r>
        <w:rPr>
          <w:rFonts w:ascii="Calibri" w:cs="Calibri" w:eastAsia="Calibri" w:hAnsi="Calibri"/>
          <w:sz w:val="22"/>
          <w:szCs w:val="22"/>
        </w:rPr>
        <w:t xml:space="preserve">The Random Forest Classifier achieved perfect accuracy (100%) on the test set, outperforming both the Decision Tree and Logistic Regression models. This is expected given the temperature-driven nature of the classification task and the clear decision boundaries between risk tiers.</w:t>
      </w:r>
    </w:p>
    <w:p>
      <w:pPr>
        <w:spacing w:after="80"/>
      </w:pPr>
      <w:r>
        <w:t xml:space="preserve"/>
      </w:r>
    </w:p>
    <w:p>
      <w:pPr>
        <w:pStyle w:val="Heading2"/>
        <w:spacing w:after="120" w:before="320"/>
      </w:pPr>
      <w:r>
        <w:rPr>
          <w:rFonts w:ascii="Calibri" w:cs="Calibri" w:eastAsia="Calibri" w:hAnsi="Calibri"/>
          <w:b/>
          <w:bCs/>
          <w:color w:val="2E74B5"/>
          <w:sz w:val="26"/>
          <w:szCs w:val="26"/>
        </w:rPr>
        <w:t xml:space="preserve">5.2  Classification Report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46"/>
        <w:gridCol w:w="1760"/>
        <w:gridCol w:w="1760"/>
        <w:gridCol w:w="1760"/>
        <w:gridCol w:w="1760"/>
      </w:tblGrid>
      <w:tr>
        <w:tc>
          <w:tcPr>
            <w:tcW w:type="dxa" w:w="2346"/>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Class</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Precision</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Recall</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F1-Score</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Support</w:t>
            </w:r>
          </w:p>
        </w:tc>
      </w:tr>
      <w:tr>
        <w:tc>
          <w:tcPr>
            <w:tcW w:type="dxa" w:w="2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276</w:t>
            </w:r>
          </w:p>
        </w:tc>
      </w:tr>
      <w:tr>
        <w:tc>
          <w:tcPr>
            <w:tcW w:type="dxa" w:w="2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MODERATE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5</w:t>
            </w:r>
          </w:p>
        </w:tc>
      </w:tr>
      <w:tr>
        <w:tc>
          <w:tcPr>
            <w:tcW w:type="dxa" w:w="2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SAFE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3,493</w:t>
            </w:r>
          </w:p>
        </w:tc>
      </w:tr>
      <w:tr>
        <w:tc>
          <w:tcPr>
            <w:tcW w:type="dxa" w:w="2346"/>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b/>
                <w:bCs/>
                <w:sz w:val="20"/>
                <w:szCs w:val="20"/>
              </w:rPr>
              <w:t xml:space="preserve">Accuracy</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3,774</w:t>
            </w:r>
          </w:p>
        </w:tc>
      </w:tr>
      <w:tr>
        <w:tc>
          <w:tcPr>
            <w:tcW w:type="dxa" w:w="2346"/>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b/>
                <w:bCs/>
                <w:sz w:val="20"/>
                <w:szCs w:val="20"/>
              </w:rPr>
              <w:t xml:space="preserve">Macro Avg</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3,774</w:t>
            </w:r>
          </w:p>
        </w:tc>
      </w:tr>
      <w:tr>
        <w:tc>
          <w:tcPr>
            <w:tcW w:type="dxa" w:w="2346"/>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b/>
                <w:bCs/>
                <w:sz w:val="20"/>
                <w:szCs w:val="20"/>
              </w:rPr>
              <w:t xml:space="preserve">Weighted Avg</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1.00</w:t>
            </w:r>
          </w:p>
        </w:tc>
        <w:tc>
          <w:tcPr>
            <w:tcW w:type="dxa" w:w="1760"/>
            <w:tcBorders>
              <w:top w:val="single" w:color="CCCCCC" w:sz="1"/>
              <w:left w:val="single" w:color="CCCCCC" w:sz="1"/>
              <w:bottom w:val="single" w:color="CCCCCC" w:sz="1"/>
              <w:right w:val="single" w:color="CCCCCC" w:sz="1"/>
            </w:tcBorders>
            <w:shd w:fill="E8EFF7" w:val="clear"/>
            <w:tcMar>
              <w:top w:type="dxa" w:w="80"/>
              <w:left w:type="dxa" w:w="150"/>
              <w:bottom w:type="dxa" w:w="80"/>
              <w:right w:type="dxa" w:w="150"/>
            </w:tcMar>
          </w:tcPr>
          <w:p>
            <w:r>
              <w:rPr>
                <w:rFonts w:ascii="Calibri" w:cs="Calibri" w:eastAsia="Calibri" w:hAnsi="Calibri"/>
                <w:sz w:val="20"/>
                <w:szCs w:val="20"/>
              </w:rPr>
              <w:t xml:space="preserve">3,774</w:t>
            </w:r>
          </w:p>
        </w:tc>
      </w:tr>
    </w:tbl>
    <w:p>
      <w:pPr>
        <w:spacing w:after="80"/>
      </w:pPr>
      <w:r>
        <w:t xml:space="preserve"/>
      </w:r>
    </w:p>
    <w:p>
      <w:pPr>
        <w:spacing w:after="80"/>
      </w:pPr>
      <w:r>
        <w:t xml:space="preserve"/>
      </w:r>
    </w:p>
    <w:p>
      <w:pPr>
        <w:pStyle w:val="Heading2"/>
        <w:spacing w:after="120" w:before="320"/>
      </w:pPr>
      <w:r>
        <w:rPr>
          <w:rFonts w:ascii="Calibri" w:cs="Calibri" w:eastAsia="Calibri" w:hAnsi="Calibri"/>
          <w:b/>
          <w:bCs/>
          <w:color w:val="2E74B5"/>
          <w:sz w:val="26"/>
          <w:szCs w:val="26"/>
        </w:rPr>
        <w:t xml:space="preserve">5.3  Confusion Matrix</w:t>
      </w:r>
    </w:p>
    <w:p>
      <w:pPr>
        <w:spacing w:after="140"/>
      </w:pPr>
      <w:r>
        <w:rPr>
          <w:rFonts w:ascii="Calibri" w:cs="Calibri" w:eastAsia="Calibri" w:hAnsi="Calibri"/>
          <w:sz w:val="22"/>
          <w:szCs w:val="22"/>
        </w:rPr>
        <w:t xml:space="preserve">Figure 7 presents the confusion matrix for the Random Forest model on the test set. All predictions fall on the diagonal, confirming zero misclassifications across all risk tiers.</w:t>
      </w:r>
    </w:p>
    <w:p>
      <w:pPr>
        <w:spacing w:after="60" w:before="16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38125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7 — Confusion Matrix — Random Forest Heatstroke Risk Prediction</w:t>
      </w:r>
    </w:p>
    <w:p>
      <w:pPr>
        <w:spacing w:after="80"/>
      </w:pPr>
      <w:r>
        <w:t xml:space="preserve"/>
      </w:r>
    </w:p>
    <w:p>
      <w:pPr>
        <w:pStyle w:val="Heading2"/>
        <w:spacing w:after="120" w:before="320"/>
      </w:pPr>
      <w:r>
        <w:rPr>
          <w:rFonts w:ascii="Calibri" w:cs="Calibri" w:eastAsia="Calibri" w:hAnsi="Calibri"/>
          <w:b/>
          <w:bCs/>
          <w:color w:val="2E74B5"/>
          <w:sz w:val="26"/>
          <w:szCs w:val="26"/>
        </w:rPr>
        <w:t xml:space="preserve">5.4  Feature Importance</w:t>
      </w:r>
    </w:p>
    <w:p>
      <w:pPr>
        <w:spacing w:after="140"/>
      </w:pPr>
      <w:r>
        <w:rPr>
          <w:rFonts w:ascii="Calibri" w:cs="Calibri" w:eastAsia="Calibri" w:hAnsi="Calibri"/>
          <w:sz w:val="22"/>
          <w:szCs w:val="22"/>
        </w:rPr>
        <w:t xml:space="preserve">Figure 8 shows the relative importance of each input feature as determined by the Random Forest model. Temperature in Celsius (temp_celsius) is by far the dominant predictor, accounting for over 80% of the model's decision-making weight. Month is the second most influential feature, reflecting seasonal patterns, while Year and Day contribute minimally.</w:t>
      </w:r>
    </w:p>
    <w:p>
      <w:pPr>
        <w:spacing w:after="60" w:before="16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00025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8 — Feature Importance — Heatstroke Risk Prediction Model</w:t>
      </w:r>
    </w:p>
    <w:p>
      <w:pPr>
        <w:spacing w:after="80"/>
      </w:pPr>
      <w:r>
        <w:t xml:space="preserve"/>
      </w:r>
    </w:p>
    <w:p>
      <w:pPr>
        <w:spacing w:after="80"/>
      </w:pPr>
      <w:r>
        <w:t xml:space="preserve"/>
      </w:r>
    </w:p>
    <w:p>
      <w:pPr>
        <w:pStyle w:val="Heading1"/>
        <w:pBdr>
          <w:bottom w:val="single" w:color="1B3A6B" w:sz="6" w:space="4"/>
        </w:pBdr>
        <w:spacing w:after="200" w:before="480"/>
      </w:pPr>
      <w:r>
        <w:rPr>
          <w:rFonts w:ascii="Calibri" w:cs="Calibri" w:eastAsia="Calibri" w:hAnsi="Calibri"/>
          <w:b/>
          <w:bCs/>
          <w:color w:val="1B3A6B"/>
          <w:sz w:val="34"/>
          <w:szCs w:val="34"/>
        </w:rPr>
        <w:t xml:space="preserve">6.  Hajj Season Risk Summary</w:t>
      </w:r>
    </w:p>
    <w:p>
      <w:pPr>
        <w:pStyle w:val="Heading2"/>
        <w:spacing w:after="120" w:before="320"/>
      </w:pPr>
      <w:r>
        <w:rPr>
          <w:rFonts w:ascii="Calibri" w:cs="Calibri" w:eastAsia="Calibri" w:hAnsi="Calibri"/>
          <w:b/>
          <w:bCs/>
          <w:color w:val="2E74B5"/>
          <w:sz w:val="26"/>
          <w:szCs w:val="26"/>
        </w:rPr>
        <w:t xml:space="preserve">6.1  Risk Distribution Pie Chart</w:t>
      </w:r>
    </w:p>
    <w:p>
      <w:pPr>
        <w:spacing w:after="140"/>
      </w:pPr>
      <w:r>
        <w:rPr>
          <w:rFonts w:ascii="Calibri" w:cs="Calibri" w:eastAsia="Calibri" w:hAnsi="Calibri"/>
          <w:sz w:val="22"/>
          <w:szCs w:val="22"/>
        </w:rPr>
        <w:t xml:space="preserve">Figure 9 summarises the overall heatstroke risk distribution for the full Hajj season across both Saudi cities. The dominant SAFE segment (78.4%) reflects that most days remain below critical thresholds; however, the combined LOW and MODERATE segments (21.6%) represent a substantial number of days with meaningful health risk, particularly for vulnerable pilgrims.</w:t>
      </w:r>
    </w:p>
    <w:p>
      <w:pPr>
        <w:spacing w:after="60" w:before="160"/>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857500"/>
                    </a:xfrm>
                    <a:prstGeom prst="rect">
                      <a:avLst/>
                    </a:prstGeom>
                  </pic:spPr>
                </pic:pic>
              </a:graphicData>
            </a:graphic>
          </wp:inline>
        </w:drawing>
      </w:r>
    </w:p>
    <w:p>
      <w:pPr>
        <w:spacing w:after="200" w:before="60"/>
        <w:jc w:val="center"/>
      </w:pPr>
      <w:r>
        <w:rPr>
          <w:rFonts w:ascii="Calibri" w:cs="Calibri" w:eastAsia="Calibri" w:hAnsi="Calibri"/>
          <w:i/>
          <w:iCs/>
          <w:color w:val="555555"/>
          <w:sz w:val="18"/>
          <w:szCs w:val="18"/>
        </w:rPr>
        <w:t xml:space="preserve">Figure 9 — Heatstroke Risk Distribution During Hajj Season (Jun–Aug) — Saudi Arabia Cities</w:t>
      </w:r>
    </w:p>
    <w:p>
      <w:pPr>
        <w:spacing w:after="80"/>
      </w:pPr>
      <w:r>
        <w:t xml:space="preserve"/>
      </w:r>
    </w:p>
    <w:p>
      <w:pPr>
        <w:pStyle w:val="Heading2"/>
        <w:spacing w:after="120" w:before="320"/>
      </w:pPr>
      <w:r>
        <w:rPr>
          <w:rFonts w:ascii="Calibri" w:cs="Calibri" w:eastAsia="Calibri" w:hAnsi="Calibri"/>
          <w:b/>
          <w:bCs/>
          <w:color w:val="2E74B5"/>
          <w:sz w:val="26"/>
          <w:szCs w:val="26"/>
        </w:rPr>
        <w:t xml:space="preserve">6.2  Extreme Temperature Events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128"/>
        <w:gridCol w:w="3129"/>
        <w:gridCol w:w="3129"/>
      </w:tblGrid>
      <w:tr>
        <w:tc>
          <w:tcPr>
            <w:tcW w:type="dxa" w:w="3128"/>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Event</w:t>
            </w:r>
          </w:p>
        </w:tc>
        <w:tc>
          <w:tcPr>
            <w:tcW w:type="dxa" w:w="3129"/>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City</w:t>
            </w:r>
          </w:p>
        </w:tc>
        <w:tc>
          <w:tcPr>
            <w:tcW w:type="dxa" w:w="3129"/>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Details</w:t>
            </w:r>
          </w:p>
        </w:tc>
      </w:tr>
      <w:tr>
        <w:tc>
          <w:tcPr>
            <w:tcW w:type="dxa" w:w="3128"/>
            <w:tcBorders>
              <w:top w:val="single" w:color="CCCCCC" w:sz="1"/>
              <w:left w:val="single" w:color="CCCCCC" w:sz="1"/>
              <w:bottom w:val="single" w:color="CCCCCC" w:sz="1"/>
              <w:right w:val="single" w:color="CCCCCC" w:sz="1"/>
            </w:tcBorders>
            <w:shd w:fill="FDE8E8" w:val="clear"/>
            <w:tcMar>
              <w:top w:type="dxa" w:w="80"/>
              <w:left w:type="dxa" w:w="150"/>
              <w:bottom w:type="dxa" w:w="80"/>
              <w:right w:type="dxa" w:w="150"/>
            </w:tcMar>
          </w:tcPr>
          <w:p>
            <w:r>
              <w:rPr>
                <w:rFonts w:ascii="Calibri" w:cs="Calibri" w:eastAsia="Calibri" w:hAnsi="Calibri"/>
                <w:b/>
                <w:bCs/>
                <w:sz w:val="20"/>
                <w:szCs w:val="20"/>
              </w:rPr>
              <w:t xml:space="preserve">Hottest Day Recorded</w:t>
            </w:r>
          </w:p>
        </w:tc>
        <w:tc>
          <w:tcPr>
            <w:tcW w:type="dxa" w:w="3129"/>
            <w:tcBorders>
              <w:top w:val="single" w:color="CCCCCC" w:sz="1"/>
              <w:left w:val="single" w:color="CCCCCC" w:sz="1"/>
              <w:bottom w:val="single" w:color="CCCCCC" w:sz="1"/>
              <w:right w:val="single" w:color="CCCCCC" w:sz="1"/>
            </w:tcBorders>
            <w:shd w:fill="FDE8E8" w:val="clear"/>
            <w:tcMar>
              <w:top w:type="dxa" w:w="80"/>
              <w:left w:type="dxa" w:w="150"/>
              <w:bottom w:type="dxa" w:w="80"/>
              <w:right w:type="dxa" w:w="150"/>
            </w:tcMar>
          </w:tcPr>
          <w:p>
            <w:r>
              <w:rPr>
                <w:rFonts w:ascii="Calibri" w:cs="Calibri" w:eastAsia="Calibri" w:hAnsi="Calibri"/>
                <w:sz w:val="20"/>
                <w:szCs w:val="20"/>
              </w:rPr>
              <w:t xml:space="preserve">Dhahran</w:t>
            </w:r>
          </w:p>
        </w:tc>
        <w:tc>
          <w:tcPr>
            <w:tcW w:type="dxa" w:w="3129"/>
            <w:tcBorders>
              <w:top w:val="single" w:color="CCCCCC" w:sz="1"/>
              <w:left w:val="single" w:color="CCCCCC" w:sz="1"/>
              <w:bottom w:val="single" w:color="CCCCCC" w:sz="1"/>
              <w:right w:val="single" w:color="CCCCCC" w:sz="1"/>
            </w:tcBorders>
            <w:shd w:fill="FDE8E8" w:val="clear"/>
            <w:tcMar>
              <w:top w:type="dxa" w:w="80"/>
              <w:left w:type="dxa" w:w="150"/>
              <w:bottom w:type="dxa" w:w="80"/>
              <w:right w:type="dxa" w:w="150"/>
            </w:tcMar>
          </w:tcPr>
          <w:p>
            <w:r>
              <w:rPr>
                <w:rFonts w:ascii="Calibri" w:cs="Calibri" w:eastAsia="Calibri" w:hAnsi="Calibri"/>
                <w:sz w:val="20"/>
                <w:szCs w:val="20"/>
              </w:rPr>
              <w:t xml:space="preserve">42.17°C — Date: 7/3/2010</w:t>
            </w:r>
          </w:p>
        </w:tc>
      </w:tr>
      <w:tr>
        <w:tc>
          <w:tcPr>
            <w:tcW w:type="dxa" w:w="3128"/>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Coldest Day Recorded</w:t>
            </w:r>
          </w:p>
        </w:tc>
        <w:tc>
          <w:tcPr>
            <w:tcW w:type="dxa" w:w="312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Riyadh</w:t>
            </w:r>
          </w:p>
        </w:tc>
        <w:tc>
          <w:tcPr>
            <w:tcW w:type="dxa" w:w="3129"/>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3.72°C — Date: 1/16/2008</w:t>
            </w:r>
          </w:p>
        </w:tc>
      </w:tr>
    </w:tbl>
    <w:p>
      <w:pPr>
        <w:spacing w:after="80"/>
      </w:pPr>
      <w:r>
        <w:t xml:space="preserve"/>
      </w:r>
    </w:p>
    <w:p>
      <w:pPr>
        <w:spacing w:after="80"/>
      </w:pPr>
      <w:r>
        <w:t xml:space="preserve"/>
      </w:r>
    </w:p>
    <w:p>
      <w:pPr>
        <w:pStyle w:val="Heading1"/>
        <w:pBdr>
          <w:bottom w:val="single" w:color="1B3A6B" w:sz="6" w:space="4"/>
        </w:pBdr>
        <w:spacing w:after="200" w:before="480"/>
      </w:pPr>
      <w:r>
        <w:rPr>
          <w:rFonts w:ascii="Calibri" w:cs="Calibri" w:eastAsia="Calibri" w:hAnsi="Calibri"/>
          <w:b/>
          <w:bCs/>
          <w:color w:val="1B3A6B"/>
          <w:sz w:val="34"/>
          <w:szCs w:val="34"/>
        </w:rPr>
        <w:t xml:space="preserve">7.  Recommendations</w:t>
      </w:r>
    </w:p>
    <w:p>
      <w:pPr>
        <w:pStyle w:val="Heading2"/>
        <w:spacing w:after="120" w:before="320"/>
      </w:pPr>
      <w:r>
        <w:rPr>
          <w:rFonts w:ascii="Calibri" w:cs="Calibri" w:eastAsia="Calibri" w:hAnsi="Calibri"/>
          <w:b/>
          <w:bCs/>
          <w:color w:val="2E74B5"/>
          <w:sz w:val="26"/>
          <w:szCs w:val="26"/>
        </w:rPr>
        <w:t xml:space="preserve">7.1  For Individual Pilgrims</w:t>
      </w:r>
    </w:p>
    <w:p>
      <w:pPr>
        <w:pStyle w:val="ListParagraph"/>
        <w:numPr>
          <w:ilvl w:val="0"/>
          <w:numId w:val="3"/>
        </w:numPr>
        <w:spacing w:after="80"/>
      </w:pPr>
      <w:r>
        <w:rPr>
          <w:rFonts w:ascii="Calibri" w:cs="Calibri" w:eastAsia="Calibri" w:hAnsi="Calibri"/>
          <w:sz w:val="22"/>
          <w:szCs w:val="22"/>
        </w:rPr>
        <w:t xml:space="preserve">Avoid all non-essential outdoor activity between 11:00 AM and 4:00 PM</w:t>
      </w:r>
    </w:p>
    <w:p>
      <w:pPr>
        <w:pStyle w:val="ListParagraph"/>
        <w:numPr>
          <w:ilvl w:val="0"/>
          <w:numId w:val="3"/>
        </w:numPr>
        <w:spacing w:after="80"/>
      </w:pPr>
      <w:r>
        <w:rPr>
          <w:rFonts w:ascii="Calibri" w:cs="Calibri" w:eastAsia="Calibri" w:hAnsi="Calibri"/>
          <w:sz w:val="22"/>
          <w:szCs w:val="22"/>
        </w:rPr>
        <w:t xml:space="preserve">Consume a minimum of 3–4 litres of water per day; increase intake during outdoor rituals</w:t>
      </w:r>
    </w:p>
    <w:p>
      <w:pPr>
        <w:pStyle w:val="ListParagraph"/>
        <w:numPr>
          <w:ilvl w:val="0"/>
          <w:numId w:val="3"/>
        </w:numPr>
        <w:spacing w:after="80"/>
      </w:pPr>
      <w:r>
        <w:rPr>
          <w:rFonts w:ascii="Calibri" w:cs="Calibri" w:eastAsia="Calibri" w:hAnsi="Calibri"/>
          <w:sz w:val="22"/>
          <w:szCs w:val="22"/>
        </w:rPr>
        <w:t xml:space="preserve">Wear loose, light-coloured, breathable clothing that covers the skin</w:t>
      </w:r>
    </w:p>
    <w:p>
      <w:pPr>
        <w:pStyle w:val="ListParagraph"/>
        <w:numPr>
          <w:ilvl w:val="0"/>
          <w:numId w:val="3"/>
        </w:numPr>
        <w:spacing w:after="80"/>
      </w:pPr>
      <w:r>
        <w:rPr>
          <w:rFonts w:ascii="Calibri" w:cs="Calibri" w:eastAsia="Calibri" w:hAnsi="Calibri"/>
          <w:sz w:val="22"/>
          <w:szCs w:val="22"/>
        </w:rPr>
        <w:t xml:space="preserve">Carry a portable umbrella and seek shade at every available opportunity</w:t>
      </w:r>
    </w:p>
    <w:p>
      <w:pPr>
        <w:pStyle w:val="ListParagraph"/>
        <w:numPr>
          <w:ilvl w:val="0"/>
          <w:numId w:val="3"/>
        </w:numPr>
        <w:spacing w:after="80"/>
      </w:pPr>
      <w:r>
        <w:rPr>
          <w:rFonts w:ascii="Calibri" w:cs="Calibri" w:eastAsia="Calibri" w:hAnsi="Calibri"/>
          <w:sz w:val="22"/>
          <w:szCs w:val="22"/>
        </w:rPr>
        <w:t xml:space="preserve">Identify the location of the nearest medical centre upon arrival</w:t>
      </w:r>
    </w:p>
    <w:p>
      <w:pPr>
        <w:pStyle w:val="ListParagraph"/>
        <w:numPr>
          <w:ilvl w:val="0"/>
          <w:numId w:val="3"/>
        </w:numPr>
        <w:spacing w:after="80"/>
      </w:pPr>
      <w:r>
        <w:rPr>
          <w:rFonts w:ascii="Calibri" w:cs="Calibri" w:eastAsia="Calibri" w:hAnsi="Calibri"/>
          <w:sz w:val="22"/>
          <w:szCs w:val="22"/>
        </w:rPr>
        <w:t xml:space="preserve">Pilgrims aged 65 or above, or those with cardiovascular or respiratory conditions, should be accompanied at all times</w:t>
      </w:r>
    </w:p>
    <w:p>
      <w:pPr>
        <w:pStyle w:val="ListParagraph"/>
        <w:numPr>
          <w:ilvl w:val="0"/>
          <w:numId w:val="3"/>
        </w:numPr>
        <w:spacing w:after="80"/>
      </w:pPr>
      <w:r>
        <w:rPr>
          <w:rFonts w:ascii="Calibri" w:cs="Calibri" w:eastAsia="Calibri" w:hAnsi="Calibri"/>
          <w:sz w:val="22"/>
          <w:szCs w:val="22"/>
        </w:rPr>
        <w:t xml:space="preserve">Monitor official daily temperature forecasts before performing outdoor rites</w:t>
      </w:r>
    </w:p>
    <w:p>
      <w:pPr>
        <w:pStyle w:val="ListParagraph"/>
        <w:numPr>
          <w:ilvl w:val="0"/>
          <w:numId w:val="3"/>
        </w:numPr>
        <w:spacing w:after="80"/>
      </w:pPr>
      <w:r>
        <w:rPr>
          <w:rFonts w:ascii="Calibri" w:cs="Calibri" w:eastAsia="Calibri" w:hAnsi="Calibri"/>
          <w:sz w:val="22"/>
          <w:szCs w:val="22"/>
        </w:rPr>
        <w:t xml:space="preserve">Use air-conditioned facilities (hotels, transport, tents) as frequently as possible</w:t>
      </w:r>
    </w:p>
    <w:p>
      <w:pPr>
        <w:spacing w:after="80"/>
      </w:pPr>
      <w:r>
        <w:t xml:space="preserve"/>
      </w:r>
    </w:p>
    <w:p>
      <w:pPr>
        <w:pStyle w:val="Heading2"/>
        <w:spacing w:after="120" w:before="320"/>
      </w:pPr>
      <w:r>
        <w:rPr>
          <w:rFonts w:ascii="Calibri" w:cs="Calibri" w:eastAsia="Calibri" w:hAnsi="Calibri"/>
          <w:b/>
          <w:bCs/>
          <w:color w:val="2E74B5"/>
          <w:sz w:val="26"/>
          <w:szCs w:val="26"/>
        </w:rPr>
        <w:t xml:space="preserve">7.2  For Health Authorities &amp; Hajj Management</w:t>
      </w:r>
    </w:p>
    <w:p>
      <w:pPr>
        <w:pStyle w:val="ListParagraph"/>
        <w:numPr>
          <w:ilvl w:val="0"/>
          <w:numId w:val="2"/>
        </w:numPr>
        <w:spacing w:after="80"/>
      </w:pPr>
      <w:r>
        <w:rPr>
          <w:rFonts w:ascii="Calibri" w:cs="Calibri" w:eastAsia="Calibri" w:hAnsi="Calibri"/>
          <w:b w:val="false"/>
          <w:bCs w:val="false"/>
          <w:sz w:val="22"/>
          <w:szCs w:val="22"/>
        </w:rPr>
        <w:t xml:space="preserve">Integrate the heatstroke risk prediction model into official Hajj health monitoring dashboards</w:t>
      </w:r>
    </w:p>
    <w:p>
      <w:pPr>
        <w:pStyle w:val="ListParagraph"/>
        <w:numPr>
          <w:ilvl w:val="0"/>
          <w:numId w:val="2"/>
        </w:numPr>
        <w:spacing w:after="80"/>
      </w:pPr>
      <w:r>
        <w:rPr>
          <w:rFonts w:ascii="Calibri" w:cs="Calibri" w:eastAsia="Calibri" w:hAnsi="Calibri"/>
          <w:b w:val="false"/>
          <w:bCs w:val="false"/>
          <w:sz w:val="22"/>
          <w:szCs w:val="22"/>
        </w:rPr>
        <w:t xml:space="preserve">Deploy real-time temperature alerts via pilgrim mobile applications</w:t>
      </w:r>
    </w:p>
    <w:p>
      <w:pPr>
        <w:pStyle w:val="ListParagraph"/>
        <w:numPr>
          <w:ilvl w:val="0"/>
          <w:numId w:val="2"/>
        </w:numPr>
        <w:spacing w:after="80"/>
      </w:pPr>
      <w:r>
        <w:rPr>
          <w:rFonts w:ascii="Calibri" w:cs="Calibri" w:eastAsia="Calibri" w:hAnsi="Calibri"/>
          <w:b w:val="false"/>
          <w:bCs w:val="false"/>
          <w:sz w:val="22"/>
          <w:szCs w:val="22"/>
        </w:rPr>
        <w:t xml:space="preserve">Increase deployment of mobile medical units during MODERATE and HIGH risk days</w:t>
      </w:r>
    </w:p>
    <w:p>
      <w:pPr>
        <w:pStyle w:val="ListParagraph"/>
        <w:numPr>
          <w:ilvl w:val="0"/>
          <w:numId w:val="2"/>
        </w:numPr>
        <w:spacing w:after="80"/>
      </w:pPr>
      <w:r>
        <w:rPr>
          <w:rFonts w:ascii="Calibri" w:cs="Calibri" w:eastAsia="Calibri" w:hAnsi="Calibri"/>
          <w:b w:val="false"/>
          <w:bCs w:val="false"/>
          <w:sz w:val="22"/>
          <w:szCs w:val="22"/>
        </w:rPr>
        <w:t xml:space="preserve">Establish mandatory rest periods and shading infrastructure along high-traffic ritual routes</w:t>
      </w:r>
    </w:p>
    <w:p>
      <w:pPr>
        <w:pStyle w:val="ListParagraph"/>
        <w:numPr>
          <w:ilvl w:val="0"/>
          <w:numId w:val="2"/>
        </w:numPr>
        <w:spacing w:after="80"/>
      </w:pPr>
      <w:r>
        <w:rPr>
          <w:rFonts w:ascii="Calibri" w:cs="Calibri" w:eastAsia="Calibri" w:hAnsi="Calibri"/>
          <w:b w:val="false"/>
          <w:bCs w:val="false"/>
          <w:sz w:val="22"/>
          <w:szCs w:val="22"/>
        </w:rPr>
        <w:t xml:space="preserve">Develop targeted health communication materials in all major pilgrim languages</w:t>
      </w:r>
    </w:p>
    <w:p>
      <w:pPr>
        <w:pStyle w:val="ListParagraph"/>
        <w:numPr>
          <w:ilvl w:val="0"/>
          <w:numId w:val="2"/>
        </w:numPr>
        <w:spacing w:after="80"/>
      </w:pPr>
      <w:r>
        <w:rPr>
          <w:rFonts w:ascii="Calibri" w:cs="Calibri" w:eastAsia="Calibri" w:hAnsi="Calibri"/>
          <w:b w:val="false"/>
          <w:bCs w:val="false"/>
          <w:sz w:val="22"/>
          <w:szCs w:val="22"/>
        </w:rPr>
        <w:t xml:space="preserve">Incorporate Mecca and Medina temperature data into future modelling iterations</w:t>
      </w:r>
    </w:p>
    <w:p>
      <w:pPr>
        <w:spacing w:after="80"/>
      </w:pPr>
      <w:r>
        <w:t xml:space="preserve"/>
      </w:r>
    </w:p>
    <w:p>
      <w:pPr>
        <w:spacing w:after="80"/>
      </w:pPr>
      <w:r>
        <w:t xml:space="preserve"/>
      </w:r>
    </w:p>
    <w:p>
      <w:pPr>
        <w:pStyle w:val="Heading1"/>
        <w:pBdr>
          <w:bottom w:val="single" w:color="1B3A6B" w:sz="6" w:space="4"/>
        </w:pBdr>
        <w:spacing w:after="200" w:before="480"/>
      </w:pPr>
      <w:r>
        <w:rPr>
          <w:rFonts w:ascii="Calibri" w:cs="Calibri" w:eastAsia="Calibri" w:hAnsi="Calibri"/>
          <w:b/>
          <w:bCs/>
          <w:color w:val="1B3A6B"/>
          <w:sz w:val="34"/>
          <w:szCs w:val="34"/>
        </w:rPr>
        <w:t xml:space="preserve">8.  Conclusions</w:t>
      </w:r>
    </w:p>
    <w:p>
      <w:pPr>
        <w:spacing w:after="140"/>
      </w:pPr>
      <w:r>
        <w:rPr>
          <w:rFonts w:ascii="Calibri" w:cs="Calibri" w:eastAsia="Calibri" w:hAnsi="Calibri"/>
          <w:sz w:val="22"/>
          <w:szCs w:val="22"/>
        </w:rPr>
        <w:t xml:space="preserve">This study has demonstrated the effective application of data science and machine learning to a critical public health challenge: heatstroke prevention during the Hajj pilgrimage in Saudi Arabia. The principal findings are as follows:</w:t>
      </w:r>
    </w:p>
    <w:p>
      <w:pPr>
        <w:pStyle w:val="ListParagraph"/>
        <w:numPr>
          <w:ilvl w:val="0"/>
          <w:numId w:val="2"/>
        </w:numPr>
        <w:spacing w:after="80"/>
      </w:pPr>
      <w:r>
        <w:rPr>
          <w:rFonts w:ascii="Calibri" w:cs="Calibri" w:eastAsia="Calibri" w:hAnsi="Calibri"/>
          <w:b w:val="false"/>
          <w:bCs w:val="false"/>
          <w:sz w:val="22"/>
          <w:szCs w:val="22"/>
        </w:rPr>
        <w:t xml:space="preserve">The Random Forest classification model achieved 100% accuracy in predicting heatstroke risk tiers from temperature and temporal features, confirming the viability of ML-based risk prediction in this domain.</w:t>
      </w:r>
    </w:p>
    <w:p>
      <w:pPr>
        <w:pStyle w:val="ListParagraph"/>
        <w:numPr>
          <w:ilvl w:val="0"/>
          <w:numId w:val="2"/>
        </w:numPr>
        <w:spacing w:after="80"/>
      </w:pPr>
      <w:r>
        <w:rPr>
          <w:rFonts w:ascii="Calibri" w:cs="Calibri" w:eastAsia="Calibri" w:hAnsi="Calibri"/>
          <w:b w:val="false"/>
          <w:bCs w:val="false"/>
          <w:sz w:val="22"/>
          <w:szCs w:val="22"/>
        </w:rPr>
        <w:t xml:space="preserve">Hajj season (June–August) represents the most thermally dangerous period of the year in both Dhahran and Riyadh, with average temperatures exceeding 36°C and peak values reaching 42.17°C.</w:t>
      </w:r>
    </w:p>
    <w:p>
      <w:pPr>
        <w:pStyle w:val="ListParagraph"/>
        <w:numPr>
          <w:ilvl w:val="0"/>
          <w:numId w:val="2"/>
        </w:numPr>
        <w:spacing w:after="80"/>
      </w:pPr>
      <w:r>
        <w:rPr>
          <w:rFonts w:ascii="Calibri" w:cs="Calibri" w:eastAsia="Calibri" w:hAnsi="Calibri"/>
          <w:b w:val="false"/>
          <w:bCs w:val="false"/>
          <w:sz w:val="22"/>
          <w:szCs w:val="22"/>
        </w:rPr>
        <w:t xml:space="preserve">A discernible upward temperature trend over the 1995–2020 study period suggests that future Hajj seasons will pose progressively greater thermal risk, reinforcing the urgency of proactive health management strategies.</w:t>
      </w:r>
    </w:p>
    <w:p>
      <w:pPr>
        <w:pStyle w:val="ListParagraph"/>
        <w:numPr>
          <w:ilvl w:val="0"/>
          <w:numId w:val="2"/>
        </w:numPr>
        <w:spacing w:after="80"/>
      </w:pPr>
      <w:r>
        <w:rPr>
          <w:rFonts w:ascii="Calibri" w:cs="Calibri" w:eastAsia="Calibri" w:hAnsi="Calibri"/>
          <w:b w:val="false"/>
          <w:bCs w:val="false"/>
          <w:sz w:val="22"/>
          <w:szCs w:val="22"/>
        </w:rPr>
        <w:t xml:space="preserve">The temperature variable (temp_celsius) is overwhelmingly the most important predictor of heatstroke risk, accounting for over 80% of model feature importance.</w:t>
      </w:r>
    </w:p>
    <w:p>
      <w:pPr>
        <w:pStyle w:val="ListParagraph"/>
        <w:numPr>
          <w:ilvl w:val="0"/>
          <w:numId w:val="2"/>
        </w:numPr>
        <w:spacing w:after="80"/>
      </w:pPr>
      <w:r>
        <w:rPr>
          <w:rFonts w:ascii="Calibri" w:cs="Calibri" w:eastAsia="Calibri" w:hAnsi="Calibri"/>
          <w:b w:val="false"/>
          <w:bCs w:val="false"/>
          <w:sz w:val="22"/>
          <w:szCs w:val="22"/>
        </w:rPr>
        <w:t xml:space="preserve">While the majority of Hajj season days fall within SAFE or LOW risk categories, the occurrence of MODERATE risk days underscores the need for vigilance — particularly for elderly and medically vulnerable pilgrims.</w:t>
      </w:r>
    </w:p>
    <w:p>
      <w:pPr>
        <w:spacing w:after="80"/>
      </w:pPr>
      <w:r>
        <w:t xml:space="preserve"/>
      </w:r>
    </w:p>
    <w:p>
      <w:pPr>
        <w:spacing w:after="140"/>
      </w:pPr>
      <w:r>
        <w:rPr>
          <w:rFonts w:ascii="Calibri" w:cs="Calibri" w:eastAsia="Calibri" w:hAnsi="Calibri"/>
          <w:sz w:val="22"/>
          <w:szCs w:val="22"/>
        </w:rPr>
        <w:t xml:space="preserve">Future research directions include: (i) incorporating humidity, wind speed, and solar radiation data to compute physiological heat indices; (ii) adding data from Mecca and Medina — the primary Hajj sites; and (iii) deploying the model as a web or mobile application for real-time pilgrim risk assessment.</w:t>
      </w:r>
    </w:p>
    <w:p>
      <w:pPr>
        <w:spacing w:after="80"/>
      </w:pPr>
      <w:r>
        <w:t xml:space="preserve"/>
      </w:r>
    </w:p>
    <w:p>
      <w:pPr>
        <w:spacing w:after="80"/>
      </w:pPr>
      <w:r>
        <w:t xml:space="preserve"/>
      </w:r>
    </w:p>
    <w:p>
      <w:pPr>
        <w:pStyle w:val="Heading1"/>
        <w:pBdr>
          <w:bottom w:val="single" w:color="1B3A6B" w:sz="6" w:space="4"/>
        </w:pBdr>
        <w:spacing w:after="200" w:before="480"/>
      </w:pPr>
      <w:r>
        <w:rPr>
          <w:rFonts w:ascii="Calibri" w:cs="Calibri" w:eastAsia="Calibri" w:hAnsi="Calibri"/>
          <w:b/>
          <w:bCs/>
          <w:color w:val="1B3A6B"/>
          <w:sz w:val="34"/>
          <w:szCs w:val="34"/>
        </w:rPr>
        <w:t xml:space="preserve">9.  Tools &amp; Technologies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6386"/>
      </w:tblGrid>
      <w:tr>
        <w:tc>
          <w:tcPr>
            <w:tcW w:type="dxa" w:w="3000"/>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Tool / Library</w:t>
            </w:r>
          </w:p>
        </w:tc>
        <w:tc>
          <w:tcPr>
            <w:tcW w:type="dxa" w:w="6386"/>
            <w:tcBorders>
              <w:top w:val="single" w:color="1B3A6B" w:sz="1"/>
              <w:left w:val="single" w:color="1B3A6B" w:sz="1"/>
              <w:bottom w:val="single" w:color="1B3A6B" w:sz="1"/>
              <w:right w:val="single" w:color="1B3A6B" w:sz="1"/>
            </w:tcBorders>
            <w:shd w:fill="1B3A6B" w:val="clear"/>
            <w:tcMar>
              <w:top w:type="dxa" w:w="100"/>
              <w:left w:type="dxa" w:w="150"/>
              <w:bottom w:type="dxa" w:w="100"/>
              <w:right w:type="dxa" w:w="150"/>
            </w:tcMar>
          </w:tcPr>
          <w:p>
            <w:r>
              <w:rPr>
                <w:rFonts w:ascii="Calibri" w:cs="Calibri" w:eastAsia="Calibri" w:hAnsi="Calibri"/>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Python 3</w:t>
            </w:r>
          </w:p>
        </w:tc>
        <w:tc>
          <w:tcPr>
            <w:tcW w:type="dxa" w:w="638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Core programming language for all analysis and modelling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Pandas</w:t>
            </w:r>
          </w:p>
        </w:tc>
        <w:tc>
          <w:tcPr>
            <w:tcW w:type="dxa" w:w="63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Data loading, cleaning, filtering, and feature engineering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NumPy</w:t>
            </w:r>
          </w:p>
        </w:tc>
        <w:tc>
          <w:tcPr>
            <w:tcW w:type="dxa" w:w="638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Numerical operations and array manipulation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Matplotlib</w:t>
            </w:r>
          </w:p>
        </w:tc>
        <w:tc>
          <w:tcPr>
            <w:tcW w:type="dxa" w:w="63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Primary visualisation library for all charts and plots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Seaborn</w:t>
            </w:r>
          </w:p>
        </w:tc>
        <w:tc>
          <w:tcPr>
            <w:tcW w:type="dxa" w:w="638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Statistical visualisation — heatmap, confusion matrix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Scikit-learn</w:t>
            </w:r>
          </w:p>
        </w:tc>
        <w:tc>
          <w:tcPr>
            <w:tcW w:type="dxa" w:w="63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ML model training, evaluation, and label encoding</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b/>
                <w:bCs/>
                <w:sz w:val="20"/>
                <w:szCs w:val="20"/>
              </w:rPr>
              <w:t xml:space="preserve">Jupyter Notebook</w:t>
            </w:r>
          </w:p>
        </w:tc>
        <w:tc>
          <w:tcPr>
            <w:tcW w:type="dxa" w:w="6386"/>
            <w:tcBorders>
              <w:top w:val="single" w:color="CCCCCC" w:sz="1"/>
              <w:left w:val="single" w:color="CCCCCC" w:sz="1"/>
              <w:bottom w:val="single" w:color="CCCCCC" w:sz="1"/>
              <w:right w:val="single" w:color="CCCCCC" w:sz="1"/>
            </w:tcBorders>
            <w:shd w:fill="EBF3FB" w:val="clear"/>
            <w:tcMar>
              <w:top w:type="dxa" w:w="80"/>
              <w:left w:type="dxa" w:w="150"/>
              <w:bottom w:type="dxa" w:w="80"/>
              <w:right w:type="dxa" w:w="150"/>
            </w:tcMar>
          </w:tcPr>
          <w:p>
            <w:r>
              <w:rPr>
                <w:rFonts w:ascii="Calibri" w:cs="Calibri" w:eastAsia="Calibri" w:hAnsi="Calibri"/>
                <w:sz w:val="20"/>
                <w:szCs w:val="20"/>
              </w:rPr>
              <w:t xml:space="preserve">Interactive development and analysis environment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b/>
                <w:bCs/>
                <w:sz w:val="20"/>
                <w:szCs w:val="20"/>
              </w:rPr>
              <w:t xml:space="preserve">Dataset (Kaggle)</w:t>
            </w:r>
          </w:p>
        </w:tc>
        <w:tc>
          <w:tcPr>
            <w:tcW w:type="dxa" w:w="63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Calibri" w:cs="Calibri" w:eastAsia="Calibri" w:hAnsi="Calibri"/>
                <w:sz w:val="20"/>
                <w:szCs w:val="20"/>
              </w:rPr>
              <w:t xml:space="preserve">Daily Temperature of Major Cities — source data</w:t>
            </w:r>
          </w:p>
        </w:tc>
      </w:tr>
    </w:tbl>
    <w:p>
      <w:pPr>
        <w:spacing w:after="80"/>
      </w:pPr>
      <w:r>
        <w:t xml:space="preserve"/>
      </w:r>
    </w:p>
    <w:p>
      <w:pPr>
        <w:spacing w:after="80"/>
      </w:pPr>
      <w:r>
        <w:t xml:space="preserve"/>
      </w:r>
    </w:p>
    <w:p>
      <w:pPr>
        <w:pStyle w:val="Heading1"/>
        <w:pBdr>
          <w:bottom w:val="single" w:color="1B3A6B" w:sz="6" w:space="4"/>
        </w:pBdr>
        <w:spacing w:after="200" w:before="480"/>
      </w:pPr>
      <w:r>
        <w:rPr>
          <w:rFonts w:ascii="Calibri" w:cs="Calibri" w:eastAsia="Calibri" w:hAnsi="Calibri"/>
          <w:b/>
          <w:bCs/>
          <w:color w:val="1B3A6B"/>
          <w:sz w:val="34"/>
          <w:szCs w:val="34"/>
        </w:rPr>
        <w:t xml:space="preserve">References</w:t>
      </w:r>
    </w:p>
    <w:p>
      <w:pPr>
        <w:spacing w:after="140"/>
      </w:pPr>
      <w:r>
        <w:rPr>
          <w:rFonts w:ascii="Calibri" w:cs="Calibri" w:eastAsia="Calibri" w:hAnsi="Calibri"/>
          <w:sz w:val="22"/>
          <w:szCs w:val="22"/>
        </w:rPr>
        <w:t xml:space="preserve">1.  Bouchama, A., &amp; Knochel, J. P. (2002). Heat stroke. New England Journal of Medicine, 346(25), 1978–1988.</w:t>
      </w:r>
    </w:p>
    <w:p>
      <w:pPr>
        <w:spacing w:after="140"/>
      </w:pPr>
      <w:r>
        <w:rPr>
          <w:rFonts w:ascii="Calibri" w:cs="Calibri" w:eastAsia="Calibri" w:hAnsi="Calibri"/>
          <w:sz w:val="22"/>
          <w:szCs w:val="22"/>
        </w:rPr>
        <w:t xml:space="preserve">2.  Al-Hadramy, M. S. (1997). Seasonal variations of heat stroke in Saudi Arabia. East African Medical Journal, 74(11), 724–727.</w:t>
      </w:r>
    </w:p>
    <w:p>
      <w:pPr>
        <w:spacing w:after="140"/>
      </w:pPr>
      <w:r>
        <w:rPr>
          <w:rFonts w:ascii="Calibri" w:cs="Calibri" w:eastAsia="Calibri" w:hAnsi="Calibri"/>
          <w:sz w:val="22"/>
          <w:szCs w:val="22"/>
        </w:rPr>
        <w:t xml:space="preserve">3.  World Health Organization (2024). Heat and health. WHO Technical Series. Geneva: WHO Press.</w:t>
      </w:r>
    </w:p>
    <w:p>
      <w:pPr>
        <w:spacing w:after="140"/>
      </w:pPr>
      <w:r>
        <w:rPr>
          <w:rFonts w:ascii="Calibri" w:cs="Calibri" w:eastAsia="Calibri" w:hAnsi="Calibri"/>
          <w:sz w:val="22"/>
          <w:szCs w:val="22"/>
        </w:rPr>
        <w:t xml:space="preserve">4.  Breiman, L. (2001). Random forests. Machine Learning, 45(1), 5–32.</w:t>
      </w:r>
    </w:p>
    <w:p>
      <w:pPr>
        <w:spacing w:after="140"/>
      </w:pPr>
      <w:r>
        <w:rPr>
          <w:rFonts w:ascii="Calibri" w:cs="Calibri" w:eastAsia="Calibri" w:hAnsi="Calibri"/>
          <w:sz w:val="22"/>
          <w:szCs w:val="22"/>
        </w:rPr>
        <w:t xml:space="preserve">5.  Kaggle Dataset — Daily Temperature of Major Cities. Retrieved from https://www.kaggle.com/</w:t>
      </w:r>
    </w:p>
    <w:p>
      <w:pPr>
        <w:spacing w:after="140"/>
      </w:pPr>
      <w:r>
        <w:rPr>
          <w:rFonts w:ascii="Calibri" w:cs="Calibri" w:eastAsia="Calibri" w:hAnsi="Calibri"/>
          <w:sz w:val="22"/>
          <w:szCs w:val="22"/>
        </w:rPr>
        <w:t xml:space="preserve">6.  Pedregosa, F. et al. (2011). Scikit-learn: Machine learning in Python. Journal of Machine Learning Research, 12, 2825–2830.</w:t>
      </w:r>
    </w:p>
    <w:p>
      <w:pPr>
        <w:spacing w:after="80"/>
      </w:pPr>
      <w:r>
        <w:t xml:space="preserve"/>
      </w:r>
    </w:p>
    <w:p>
      <w:pPr>
        <w:spacing w:after="80"/>
      </w:pPr>
      <w:r>
        <w:t xml:space="preserve"/>
      </w:r>
    </w:p>
    <w:p>
      <w:pPr>
        <w:pBdr>
          <w:top w:val="single" w:color="1B3A6B" w:sz="6" w:space="6"/>
          <w:bottom w:val="single" w:color="1B3A6B" w:sz="6" w:space="6"/>
        </w:pBdr>
        <w:spacing w:after="80" w:before="480"/>
        <w:jc w:val="center"/>
      </w:pPr>
      <w:r>
        <w:rPr>
          <w:rFonts w:ascii="Calibri" w:cs="Calibri" w:eastAsia="Calibri" w:hAnsi="Calibri"/>
          <w:b/>
          <w:bCs/>
          <w:color w:val="1B3A6B"/>
          <w:sz w:val="24"/>
          <w:szCs w:val="24"/>
        </w:rPr>
        <w:t xml:space="preserve">— END OF REPORT —</w:t>
      </w:r>
    </w:p>
    <w:p>
      <w:pPr>
        <w:spacing w:after="0" w:before="80"/>
        <w:jc w:val="center"/>
      </w:pPr>
      <w:r>
        <w:rPr>
          <w:rFonts w:ascii="Calibri" w:cs="Calibri" w:eastAsia="Calibri" w:hAnsi="Calibri"/>
          <w:i/>
          <w:iCs/>
          <w:color w:val="888888"/>
          <w:sz w:val="18"/>
          <w:szCs w:val="18"/>
        </w:rPr>
        <w:t xml:space="preserve">Prepared by Komal  |  April 2026  |  Hajj Heatstroke Risk Analysis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tabs>
        <w:tab w:val="right" w:pos="8506"/>
      </w:tabs>
    </w:pPr>
    <w:r>
      <w:rPr>
        <w:rFonts w:ascii="Calibri" w:cs="Calibri" w:eastAsia="Calibri" w:hAnsi="Calibri"/>
        <w:color w:val="888888"/>
        <w:sz w:val="16"/>
        <w:szCs w:val="16"/>
      </w:rPr>
      <w:t xml:space="preserve">CONFIDENTIAL — For Academic &amp; Professional Use</w:t>
    </w:r>
    <w:r>
      <w:rPr>
        <w:sz w:val="16"/>
        <w:szCs w:val="16"/>
      </w:rPr>
      <w:t xml:space="preserve">	</w:t>
    </w:r>
    <w:r>
      <w:rPr>
        <w:rFonts w:ascii="Calibri" w:cs="Calibri" w:eastAsia="Calibri" w:hAnsi="Calibri"/>
        <w:color w:val="888888"/>
        <w:sz w:val="16"/>
        <w:szCs w:val="16"/>
      </w:rPr>
      <w:t xml:space="preserve">Page </w:t>
    </w:r>
    <w:r>
      <w:rPr>
        <w:rFonts w:ascii="Calibri" w:cs="Calibri" w:eastAsia="Calibri" w:hAnsi="Calibri"/>
        <w:color w:val="888888"/>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tabs>
        <w:tab w:val="right" w:pos="8506"/>
      </w:tabs>
    </w:pPr>
    <w:r>
      <w:rPr>
        <w:rFonts w:ascii="Calibri" w:cs="Calibri" w:eastAsia="Calibri" w:hAnsi="Calibri"/>
        <w:b/>
        <w:bCs/>
        <w:color w:val="1B3A6B"/>
        <w:sz w:val="18"/>
        <w:szCs w:val="18"/>
      </w:rPr>
      <w:t xml:space="preserve">Hajj Heatstroke Risk Analysis Report</w:t>
    </w:r>
    <w:r>
      <w:rPr>
        <w:sz w:val="18"/>
        <w:szCs w:val="18"/>
      </w:rPr>
      <w:t xml:space="preserve">	</w:t>
    </w:r>
    <w:r>
      <w:rPr>
        <w:rFonts w:ascii="Calibri" w:cs="Calibri" w:eastAsia="Calibri" w:hAnsi="Calibri"/>
        <w:color w:val="888888"/>
        <w:sz w:val="18"/>
        <w:szCs w:val="18"/>
      </w:rPr>
      <w:t xml:space="preserve">Komal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B3A6B"/>
      <w:sz w:val="34"/>
      <w:szCs w:val="34"/>
    </w:rPr>
  </w:style>
  <w:style w:type="paragraph" w:styleId="Heading2">
    <w:name w:val="Heading 2"/>
    <w:basedOn w:val="Normal"/>
    <w:next w:val="Normal"/>
    <w:qFormat/>
    <w:pPr>
      <w:spacing w:after="120" w:before="32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e1bcbf85227ccad48d2f66b9d1d022f83e39281.jpg"/><Relationship Id="rId10" Type="http://schemas.openxmlformats.org/officeDocument/2006/relationships/image" Target="media/e1ce6d8be30f76663ae8e32834f343055ce6b286.jpg"/><Relationship Id="rId11" Type="http://schemas.openxmlformats.org/officeDocument/2006/relationships/image" Target="media/74ecbadd455495a3e28fa97d24fd3771b4311806.jpg"/><Relationship Id="rId12" Type="http://schemas.openxmlformats.org/officeDocument/2006/relationships/image" Target="media/94b1c1628190604e2abafdda486a90f6fb88de64.jpg"/><Relationship Id="rId13" Type="http://schemas.openxmlformats.org/officeDocument/2006/relationships/image" Target="media/91f223909f99c1773a55c67af90bc8aaf69b830e.jpg"/><Relationship Id="rId14" Type="http://schemas.openxmlformats.org/officeDocument/2006/relationships/image" Target="media/5ddad1434d80dd63bc16911c42816d85422c0fb2.jpg"/><Relationship Id="rId15" Type="http://schemas.openxmlformats.org/officeDocument/2006/relationships/image" Target="media/ea391770b2e726ea74aa0bdc53a4dacfb2a45750.jpg"/><Relationship Id="rId16" Type="http://schemas.openxmlformats.org/officeDocument/2006/relationships/image" Target="media/33732cf7dbb69d980f8c1927e1ff785091d900eb.jpg"/><Relationship Id="rId17" Type="http://schemas.openxmlformats.org/officeDocument/2006/relationships/image" Target="media/742ce5d76c06a425c6d5378527aca69a14281a85.jp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2026-04-09T22:01:01.648Z</dcterms:created>
  <dcterms:modified xsi:type="dcterms:W3CDTF">2026-04-09T22:01:01.649Z</dcterms:modified>
</cp:coreProperties>
</file>

<file path=docProps/custom.xml><?xml version="1.0" encoding="utf-8"?>
<Properties xmlns="http://schemas.openxmlformats.org/officeDocument/2006/custom-properties" xmlns:vt="http://schemas.openxmlformats.org/officeDocument/2006/docPropsVTypes"/>
</file>