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768" w:rsidRPr="00943768" w:rsidRDefault="00943768" w:rsidP="0094376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u w:val="single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u w:val="single"/>
          <w:lang w:eastAsia="en-IN"/>
          <w14:ligatures w14:val="none"/>
        </w:rPr>
        <w:t>Mensuration Concepts</w:t>
      </w:r>
    </w:p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Mensuration is a measurement concept. Standard and nonstandard units of measurement can be used to measure objects or amounts.</w:t>
      </w:r>
    </w:p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We have units for measuring length, weight, and capacity such as kilometre, metre, kilogramme, milligram, litre, millilitre, and so on.</w:t>
      </w: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IN"/>
          <w14:ligatures w14:val="none"/>
        </w:rPr>
        <w:t>Listed below are the different Mensuration concepts:</w:t>
      </w:r>
    </w:p>
    <w:p w:rsidR="00943768" w:rsidRPr="00943768" w:rsidRDefault="00943768" w:rsidP="00943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IN"/>
          <w14:ligatures w14:val="none"/>
        </w:rPr>
      </w:pPr>
      <w:hyperlink r:id="rId5" w:anchor="2d-shapes" w:history="1">
        <w:r w:rsidRPr="00943768">
          <w:rPr>
            <w:rFonts w:ascii="Segoe UI" w:eastAsia="Times New Roman" w:hAnsi="Segoe UI" w:cs="Segoe UI"/>
            <w:color w:val="E85E3D"/>
            <w:kern w:val="0"/>
            <w:sz w:val="24"/>
            <w:szCs w:val="24"/>
            <w:u w:val="single"/>
            <w:lang w:eastAsia="en-IN"/>
            <w14:ligatures w14:val="none"/>
          </w:rPr>
          <w:t>2D shapes</w:t>
        </w:r>
      </w:hyperlink>
    </w:p>
    <w:p w:rsidR="00943768" w:rsidRPr="00943768" w:rsidRDefault="00943768" w:rsidP="00943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IN"/>
          <w14:ligatures w14:val="none"/>
        </w:rPr>
      </w:pPr>
      <w:hyperlink r:id="rId6" w:anchor="3d-shapes" w:history="1">
        <w:r w:rsidRPr="00943768">
          <w:rPr>
            <w:rFonts w:ascii="Segoe UI" w:eastAsia="Times New Roman" w:hAnsi="Segoe UI" w:cs="Segoe UI"/>
            <w:color w:val="E85E3D"/>
            <w:kern w:val="0"/>
            <w:sz w:val="24"/>
            <w:szCs w:val="24"/>
            <w:u w:val="single"/>
            <w:lang w:eastAsia="en-IN"/>
            <w14:ligatures w14:val="none"/>
          </w:rPr>
          <w:t>3D shapes</w:t>
        </w:r>
      </w:hyperlink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  <w:sz w:val="32"/>
          <w:szCs w:val="32"/>
        </w:rPr>
      </w:pPr>
      <w:r w:rsidRPr="00943768">
        <w:rPr>
          <w:rFonts w:ascii="Segoe UI" w:hAnsi="Segoe UI" w:cs="Segoe UI"/>
          <w:color w:val="FF0000"/>
          <w:sz w:val="32"/>
          <w:szCs w:val="32"/>
        </w:rPr>
        <w:t>2D Shapes</w:t>
      </w:r>
    </w:p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2D shapes are plane objects that are entirely flat and have just two dimensions - length and breadth - in geometry.</w:t>
      </w:r>
    </w:p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They have no thickness and can only be measured in two dimensions. </w:t>
      </w:r>
      <w:proofErr w:type="gramStart"/>
      <w:r>
        <w:rPr>
          <w:rFonts w:ascii="Segoe UI" w:hAnsi="Segoe UI" w:cs="Segoe UI"/>
          <w:color w:val="1A1A1A"/>
        </w:rPr>
        <w:t>So</w:t>
      </w:r>
      <w:proofErr w:type="gramEnd"/>
      <w:r>
        <w:rPr>
          <w:rFonts w:ascii="Segoe UI" w:hAnsi="Segoe UI" w:cs="Segoe UI"/>
          <w:color w:val="1A1A1A"/>
        </w:rPr>
        <w:t xml:space="preserve"> we just have perimeters and areas for these designs, and there will be no volume since it lacks the third dimension.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  <w:sz w:val="32"/>
          <w:szCs w:val="32"/>
        </w:rPr>
      </w:pPr>
      <w:r w:rsidRPr="00943768">
        <w:rPr>
          <w:rFonts w:ascii="Segoe UI" w:hAnsi="Segoe UI" w:cs="Segoe UI"/>
          <w:color w:val="FF0000"/>
          <w:sz w:val="32"/>
          <w:szCs w:val="32"/>
        </w:rPr>
        <w:t>3D Shapes</w:t>
      </w:r>
    </w:p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three-dimensional shape with faces, edges, and vertices is known as a 3D shape. They have a surface area that comprises all of their faces. The volume of these forms is determined by the space they occupy. 3D shapes include the cube, cuboid, cone, and cylinder. As a result, these objects will have both area and volume measurements.</w:t>
      </w:r>
    </w:p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A1A1A"/>
          <w:sz w:val="43"/>
          <w:szCs w:val="43"/>
          <w:shd w:val="clear" w:color="auto" w:fill="FFFFFF"/>
        </w:rPr>
      </w:pPr>
      <w:r>
        <w:rPr>
          <w:rFonts w:ascii="Segoe UI" w:hAnsi="Segoe UI" w:cs="Segoe UI"/>
          <w:b/>
          <w:bCs/>
          <w:color w:val="1A1A1A"/>
          <w:sz w:val="43"/>
          <w:szCs w:val="43"/>
          <w:shd w:val="clear" w:color="auto" w:fill="FFFFFF"/>
        </w:rPr>
        <w:t>Important Expressions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1. Area (A)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2. Perimeter (P)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3. Volume (V)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4. Curved Surface Area (CSA)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5. Total Surface Area (TSA)</w:t>
      </w:r>
    </w:p>
    <w:p w:rsidR="00943768" w:rsidRP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6. Square Unit</w:t>
      </w:r>
    </w:p>
    <w:p w:rsidR="00943768" w:rsidRDefault="00943768" w:rsidP="00943768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943768">
        <w:rPr>
          <w:rFonts w:ascii="Segoe UI" w:hAnsi="Segoe UI" w:cs="Segoe UI"/>
          <w:color w:val="FF0000"/>
        </w:rPr>
        <w:t>7. Cube Unit</w:t>
      </w:r>
    </w:p>
    <w:p w:rsidR="00943768" w:rsidRDefault="00943768" w:rsidP="00943768"/>
    <w:p w:rsidR="00943768" w:rsidRPr="00943768" w:rsidRDefault="00943768" w:rsidP="00943768"/>
    <w:p w:rsidR="00943768" w:rsidRDefault="00943768" w:rsidP="0094376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</w:p>
    <w:p w:rsidR="009B370F" w:rsidRDefault="00943768">
      <w:r>
        <w:rPr>
          <w:noProof/>
        </w:rPr>
        <w:drawing>
          <wp:inline distT="0" distB="0" distL="0" distR="0">
            <wp:extent cx="5724525" cy="4010025"/>
            <wp:effectExtent l="0" t="0" r="9525" b="9525"/>
            <wp:docPr id="88405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68" w:rsidRDefault="00943768">
      <w:r>
        <w:rPr>
          <w:noProof/>
        </w:rPr>
        <w:drawing>
          <wp:inline distT="0" distB="0" distL="0" distR="0">
            <wp:extent cx="5731510" cy="2732405"/>
            <wp:effectExtent l="0" t="0" r="2540" b="0"/>
            <wp:docPr id="1491095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68" w:rsidRDefault="00943768"/>
    <w:p w:rsidR="00943768" w:rsidRDefault="00943768"/>
    <w:p w:rsidR="00943768" w:rsidRDefault="00943768"/>
    <w:p w:rsidR="00943768" w:rsidRDefault="00943768"/>
    <w:p w:rsidR="00943768" w:rsidRDefault="00943768"/>
    <w:p w:rsidR="00943768" w:rsidRDefault="00943768"/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Q1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What is the area of an equilateral triangle of side 16 cm?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48√3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128√3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96√3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64√3 sq.cm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Q2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If the sides of a triangle are 26 cm, 24 cm and 10 cm, what is its area?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120sq.cm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130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312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315 sq.cm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Q3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The perimeter of a triangle is 28 cm and the inradius of the triangle is 2.5 cm. What is the area of the triangle?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35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42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49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70 sq.cm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Q4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Find the area of trapezium whose parallel sides are 20 cm and 18 cm long, and the distance between them is 15 cm.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225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275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285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315 sq.cm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Q5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Find the area of a parallelogram with base 24 cm and height 16 cm.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262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384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192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131 sq.cm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lastRenderedPageBreak/>
        <w:t>Q6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The ratio of the length and the breadth of a rectangle is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3 and the area of the rectangle is 6912 </w:t>
      </w:r>
      <w:proofErr w:type="spell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sq</w:t>
      </w:r>
      <w:proofErr w:type="spell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cm. Find the ratio of the breadth and the area of the rectangle?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96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48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84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68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Q7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A wire in the form of a circle of radius 3.5 m is bent in the form of a rectangle, whose length and breadth are in the ratio of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6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5. What is the area of the rectangle?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60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30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45 sq.cm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15 sq.cm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Q8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A cube of side one meter length is cut into small cubes of side 10 cm each. How many such small cubes can be obtained?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100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1000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10000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Q9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The radius of a wheel is 22.4 cm. What is the distance covered by the wheel in making 500 revolutions?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252 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704 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352 m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808 m</w:t>
      </w:r>
    </w:p>
    <w:p w:rsid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943768" w:rsidRPr="00943768" w:rsidRDefault="00943768" w:rsidP="00943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Q10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The ratio of the volumes of two cubes is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729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1331. What is the ratio of their total surface areas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81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121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9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11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729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1331</w:t>
      </w:r>
    </w:p>
    <w:p w:rsidR="00943768" w:rsidRPr="00943768" w:rsidRDefault="00943768" w:rsidP="00943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43768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27 :</w:t>
      </w:r>
      <w:proofErr w:type="gramEnd"/>
      <w:r w:rsidRPr="009437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121</w:t>
      </w:r>
    </w:p>
    <w:p w:rsidR="00943768" w:rsidRDefault="00943768"/>
    <w:sectPr w:rsidR="0094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B588C"/>
    <w:multiLevelType w:val="multilevel"/>
    <w:tmpl w:val="718A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98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68"/>
    <w:rsid w:val="000C28A0"/>
    <w:rsid w:val="00943768"/>
    <w:rsid w:val="009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01EF"/>
  <w15:chartTrackingRefBased/>
  <w15:docId w15:val="{99B249E8-73C7-4B4A-8250-437E0D2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37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7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rror-symbol">
    <w:name w:val="error-symbol"/>
    <w:basedOn w:val="Normal"/>
    <w:rsid w:val="0094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6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931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581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5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8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853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1570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8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8041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5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8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165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19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8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7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0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0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75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cementpreparation.io/quantitative-aptitude/mensuration/concepts/" TargetMode="External"/><Relationship Id="rId5" Type="http://schemas.openxmlformats.org/officeDocument/2006/relationships/hyperlink" Target="https://www.placementpreparation.io/quantitative-aptitude/mensuration/concep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Yadav</dc:creator>
  <cp:keywords/>
  <dc:description/>
  <cp:lastModifiedBy>Komal Yadav</cp:lastModifiedBy>
  <cp:revision>1</cp:revision>
  <dcterms:created xsi:type="dcterms:W3CDTF">2024-05-07T08:17:00Z</dcterms:created>
  <dcterms:modified xsi:type="dcterms:W3CDTF">2024-05-07T08:25:00Z</dcterms:modified>
</cp:coreProperties>
</file>