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CampusIQ</w:t>
      </w:r>
    </w:p>
    <w:p>
      <w:pPr>
        <w:jc w:val="center"/>
      </w:pPr>
      <w:r>
        <w:rPr>
          <w:b/>
          <w:sz w:val="46"/>
        </w:rPr>
        <w:t>Week 5: Model Evaluation &amp; Interpretability</w:t>
      </w:r>
    </w:p>
    <w:p>
      <w:pPr>
        <w:jc w:val="center"/>
      </w:pPr>
      <w:r>
        <w:t>Academic Policy RAG • Evaluation of category-classification models</w:t>
      </w:r>
    </w:p>
    <w:p>
      <w:r>
        <w:t>This report summarizes the Week 5 evaluation artifacts generated by CampusIQ. It compares baseline and engineered-feature classifiers, reviews class-level results, and documents interpretability outputs.</w:t>
      </w:r>
    </w:p>
    <w:p>
      <w:pPr>
        <w:pStyle w:val="Heading1"/>
      </w:pPr>
      <w:r>
        <w:t>1. Executive summary</w:t>
      </w:r>
    </w:p>
    <w:p>
      <w:r>
        <w:t>Three trained classifiers were evaluated against a majority-class baseline. On the held-out test set of 16 examples, the Week 4 engineered Linear SVM achieved the highest observed scores (93.75% accuracy and 0.9446 macro F1). However, its cross-validation macro F1 was much lower (0.4296 on average, standard deviation 0.2844), indicating substantial instability. The word TF-IDF Logistic Regression baseline had lower held-out scores but more consistent cross-validation results. Results are preliminary: only 61 rows were used, one rare category was excluded, and labels were not independently verified. The models should not be described as deployment-ready.</w:t>
      </w:r>
    </w:p>
    <w:p>
      <w:pPr>
        <w:pStyle w:val="Heading1"/>
      </w:pPr>
      <w:r>
        <w:t>2. Dataset and evaluation setup</w:t>
      </w:r>
    </w:p>
    <w:p>
      <w:pPr>
        <w:pStyle w:val="ListBullet"/>
      </w:pPr>
      <w:r>
        <w:t>Rows used: 61; training rows: 45; test rows: 16.</w:t>
      </w:r>
    </w:p>
    <w:p>
      <w:pPr>
        <w:pStyle w:val="ListBullet"/>
      </w:pPr>
      <w:r>
        <w:t>Excluded category: academic_calendar (1 row), due to rarity in this evaluation setup.</w:t>
      </w:r>
    </w:p>
    <w:p>
      <w:pPr>
        <w:pStyle w:val="ListBullet"/>
      </w:pPr>
      <w:r>
        <w:t>Labels independently verified: No.</w:t>
      </w:r>
    </w:p>
    <w:p>
      <w:pPr>
        <w:pStyle w:val="ListBullet"/>
      </w:pPr>
      <w:r>
        <w:t>Reference baseline: majority-class classifier.</w:t>
      </w:r>
    </w:p>
    <w:p>
      <w:pPr>
        <w:pStyle w:val="ListBullet"/>
      </w:pPr>
      <w:r>
        <w:t>Measures: accuracy, balanced accuracy, macro F1, weighted F1, bootstrap macro-F1 interval, and cross-validation metrics.</w:t>
      </w:r>
    </w:p>
    <w:p>
      <w:pPr>
        <w:pStyle w:val="ListBullet"/>
      </w:pPr>
      <w:r>
        <w:t>Interpretability outputs: confusion matrices, ROC plots, feature-importance plots, local token ablations, and permutation-importance CSVs.</w:t>
      </w:r>
    </w:p>
    <w:p>
      <w:pPr>
        <w:pStyle w:val="Heading1"/>
      </w:pPr>
      <w:r>
        <w:t>3. Model comparison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r>
              <w:rPr>
                <w:sz w:val="16"/>
              </w:rPr>
              <w:t>Model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Test accuracy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Balanced accuracy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Macro F1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Weighted F1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CV macro F1 (mean ± SD)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6"/>
              </w:rPr>
              <w:t>Majority-class baseline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0.3750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0.2000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0.1091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0.2045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Not calculated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6"/>
              </w:rPr>
              <w:t>Word TF-IDF + Logistic Regression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0.8750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0.8667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0.8760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0.8694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0.5920 ± 0.0363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6"/>
              </w:rPr>
              <w:t>Engineered Logistic Regression (C=0.1)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0.6875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0.5667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0.5538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0.6635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0.4642 ± 0.2562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6"/>
              </w:rPr>
              <w:t>Engineered Linear SVM (C=0.1)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0.9375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0.9333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0.9446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0.9337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0.4296 ± 0.2844</w:t>
            </w:r>
          </w:p>
        </w:tc>
      </w:tr>
    </w:tbl>
    <w:p>
      <w:r>
        <w:t>Interpretation: Linear SVM has the best score on this particular test split, while the TF-IDF Logistic Regression baseline has the strongest mean cross-validation macro F1 and lower fold-to-fold variation. The SVM test/CV gap means its single test score is not enough to establish that it generalizes best.</w:t>
      </w:r>
    </w:p>
    <w:p>
      <w:pPr>
        <w:pStyle w:val="Heading1"/>
      </w:pPr>
      <w:r>
        <w:t>4. Class-level evaluation</w:t>
      </w:r>
    </w:p>
    <w:p>
      <w:r>
        <w:t>For the word TF-IDF Logistic Regression baseline, the recorded classification report showed: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Class</w:t>
            </w:r>
          </w:p>
        </w:tc>
        <w:tc>
          <w:tcPr>
            <w:tcW w:type="dxa" w:w="2045"/>
          </w:tcPr>
          <w:p>
            <w:r>
              <w:t>Precision</w:t>
            </w:r>
          </w:p>
        </w:tc>
        <w:tc>
          <w:tcPr>
            <w:tcW w:type="dxa" w:w="2045"/>
          </w:tcPr>
          <w:p>
            <w:r>
              <w:t>Recall</w:t>
            </w:r>
          </w:p>
        </w:tc>
        <w:tc>
          <w:tcPr>
            <w:tcW w:type="dxa" w:w="2045"/>
          </w:tcPr>
          <w:p>
            <w:r>
              <w:t>F1 score</w:t>
            </w:r>
          </w:p>
        </w:tc>
        <w:tc>
          <w:tcPr>
            <w:tcW w:type="dxa" w:w="2045"/>
          </w:tcPr>
          <w:p>
            <w:r>
              <w:t>Support</w:t>
            </w:r>
          </w:p>
        </w:tc>
      </w:tr>
      <w:tr>
        <w:tc>
          <w:tcPr>
            <w:tcW w:type="dxa" w:w="2045"/>
          </w:tcPr>
          <w:p>
            <w:r>
              <w:t>attendance</w:t>
            </w:r>
          </w:p>
        </w:tc>
        <w:tc>
          <w:tcPr>
            <w:tcW w:type="dxa" w:w="2045"/>
          </w:tcPr>
          <w:p>
            <w:r>
              <w:t>1.00</w:t>
            </w:r>
          </w:p>
        </w:tc>
        <w:tc>
          <w:tcPr>
            <w:tcW w:type="dxa" w:w="2045"/>
          </w:tcPr>
          <w:p>
            <w:r>
              <w:t>1.00</w:t>
            </w:r>
          </w:p>
        </w:tc>
        <w:tc>
          <w:tcPr>
            <w:tcW w:type="dxa" w:w="2045"/>
          </w:tcPr>
          <w:p>
            <w:r>
              <w:t>1.00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examinations</w:t>
            </w:r>
          </w:p>
        </w:tc>
        <w:tc>
          <w:tcPr>
            <w:tcW w:type="dxa" w:w="2045"/>
          </w:tcPr>
          <w:p>
            <w:r>
              <w:t>0.86</w:t>
            </w:r>
          </w:p>
        </w:tc>
        <w:tc>
          <w:tcPr>
            <w:tcW w:type="dxa" w:w="2045"/>
          </w:tcPr>
          <w:p>
            <w:r>
              <w:t>1.00</w:t>
            </w:r>
          </w:p>
        </w:tc>
        <w:tc>
          <w:tcPr>
            <w:tcW w:type="dxa" w:w="2045"/>
          </w:tcPr>
          <w:p>
            <w:r>
              <w:t>0.92</w:t>
            </w:r>
          </w:p>
        </w:tc>
        <w:tc>
          <w:tcPr>
            <w:tcW w:type="dxa" w:w="2045"/>
          </w:tcPr>
          <w:p>
            <w:r>
              <w:t>6</w:t>
            </w:r>
          </w:p>
        </w:tc>
      </w:tr>
      <w:tr>
        <w:tc>
          <w:tcPr>
            <w:tcW w:type="dxa" w:w="2045"/>
          </w:tcPr>
          <w:p>
            <w:r>
              <w:t>general</w:t>
            </w:r>
          </w:p>
        </w:tc>
        <w:tc>
          <w:tcPr>
            <w:tcW w:type="dxa" w:w="2045"/>
          </w:tcPr>
          <w:p>
            <w:r>
              <w:t>0.75</w:t>
            </w:r>
          </w:p>
        </w:tc>
        <w:tc>
          <w:tcPr>
            <w:tcW w:type="dxa" w:w="2045"/>
          </w:tcPr>
          <w:p>
            <w:r>
              <w:t>1.00</w:t>
            </w:r>
          </w:p>
        </w:tc>
        <w:tc>
          <w:tcPr>
            <w:tcW w:type="dxa" w:w="2045"/>
          </w:tcPr>
          <w:p>
            <w:r>
              <w:t>0.86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grading_credits</w:t>
            </w:r>
          </w:p>
        </w:tc>
        <w:tc>
          <w:tcPr>
            <w:tcW w:type="dxa" w:w="2045"/>
          </w:tcPr>
          <w:p>
            <w:r>
              <w:t>1.00</w:t>
            </w:r>
          </w:p>
        </w:tc>
        <w:tc>
          <w:tcPr>
            <w:tcW w:type="dxa" w:w="2045"/>
          </w:tcPr>
          <w:p>
            <w:r>
              <w:t>0.67</w:t>
            </w:r>
          </w:p>
        </w:tc>
        <w:tc>
          <w:tcPr>
            <w:tcW w:type="dxa" w:w="2045"/>
          </w:tcPr>
          <w:p>
            <w:r>
              <w:t>0.80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promotion_eligibility</w:t>
            </w:r>
          </w:p>
        </w:tc>
        <w:tc>
          <w:tcPr>
            <w:tcW w:type="dxa" w:w="2045"/>
          </w:tcPr>
          <w:p>
            <w:r>
              <w:t>1.00</w:t>
            </w:r>
          </w:p>
        </w:tc>
        <w:tc>
          <w:tcPr>
            <w:tcW w:type="dxa" w:w="2045"/>
          </w:tcPr>
          <w:p>
            <w:r>
              <w:t>0.67</w:t>
            </w:r>
          </w:p>
        </w:tc>
        <w:tc>
          <w:tcPr>
            <w:tcW w:type="dxa" w:w="2045"/>
          </w:tcPr>
          <w:p>
            <w:r>
              <w:t>0.80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</w:tbl>
    <w:p>
      <w:r>
        <w:t>Recall was lower for grading_credits and promotion_eligibility (0.67 each). The per-class supports are small, so one example can change these metrics substantially.</w:t>
      </w:r>
    </w:p>
    <w:p>
      <w:pPr>
        <w:pStyle w:val="Heading1"/>
      </w:pPr>
      <w:r>
        <w:t>5. Uncertainty and validation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Model</w:t>
            </w:r>
          </w:p>
        </w:tc>
        <w:tc>
          <w:tcPr>
            <w:tcW w:type="dxa" w:w="5112"/>
          </w:tcPr>
          <w:p>
            <w:r>
              <w:t>Bootstrap macro-F1 interval</w:t>
            </w:r>
          </w:p>
        </w:tc>
      </w:tr>
      <w:tr>
        <w:tc>
          <w:tcPr>
            <w:tcW w:type="dxa" w:w="5112"/>
          </w:tcPr>
          <w:p>
            <w:r>
              <w:t>Word TF-IDF Logistic Regression</w:t>
            </w:r>
          </w:p>
        </w:tc>
        <w:tc>
          <w:tcPr>
            <w:tcW w:type="dxa" w:w="5112"/>
          </w:tcPr>
          <w:p>
            <w:r>
              <w:t>0.5619–1.0000</w:t>
            </w:r>
          </w:p>
        </w:tc>
      </w:tr>
      <w:tr>
        <w:tc>
          <w:tcPr>
            <w:tcW w:type="dxa" w:w="5112"/>
          </w:tcPr>
          <w:p>
            <w:r>
              <w:t>Engineered Logistic Regression</w:t>
            </w:r>
          </w:p>
        </w:tc>
        <w:tc>
          <w:tcPr>
            <w:tcW w:type="dxa" w:w="5112"/>
          </w:tcPr>
          <w:p>
            <w:r>
              <w:t>0.2933–0.8929</w:t>
            </w:r>
          </w:p>
        </w:tc>
      </w:tr>
      <w:tr>
        <w:tc>
          <w:tcPr>
            <w:tcW w:type="dxa" w:w="5112"/>
          </w:tcPr>
          <w:p>
            <w:r>
              <w:t>Engineered Linear SVM</w:t>
            </w:r>
          </w:p>
        </w:tc>
        <w:tc>
          <w:tcPr>
            <w:tcW w:type="dxa" w:w="5112"/>
          </w:tcPr>
          <w:p>
            <w:r>
              <w:t>0.7333–1.0000</w:t>
            </w:r>
          </w:p>
        </w:tc>
      </w:tr>
    </w:tbl>
    <w:p>
      <w:r>
        <w:t>The intervals are wide because the test set is small. Cross-validation showed high variation for both engineered models. Repeat evaluation after collecting more examples and verifying labels; use stratified or repeated cross-validation when class counts allow.</w:t>
      </w:r>
    </w:p>
    <w:p>
      <w:pPr>
        <w:pStyle w:val="Heading1"/>
      </w:pPr>
      <w:r>
        <w:t>6. Interpretability analysis</w:t>
      </w:r>
    </w:p>
    <w:p>
      <w:r>
        <w:t>The run generated three local explanation JSON files and three permutation-importance CSV files, one pair per trained model. It also generated confusion-matrix, ROC, and feature-importance plots. These artifacts support inspection of individual predictions, model errors, and score sensitivity to feature permutation.</w:t>
      </w:r>
    </w:p>
    <w:p>
      <w:r>
        <w:t>Local token ablation is descriptive rather than causal: removing a token and observing a prediction change does not prove the token alone caused the prediction. Permutation importance may also be unstable on a small dataset, particularly with correlated features or noisy labels.</w:t>
      </w:r>
    </w:p>
    <w:p>
      <w:r>
        <w:t>Artifacts are stored under reports/week5/explanations/ and reports/week5/plots/. Specific feature rankings are not asserted here because the actual CSV and JSON contents were not included in the terminal listing.</w:t>
      </w:r>
    </w:p>
    <w:p>
      <w:pPr>
        <w:pStyle w:val="Heading1"/>
      </w:pPr>
      <w:r>
        <w:t>7. Generated artifacts</w:t>
      </w:r>
    </w:p>
    <w:p>
      <w:pPr>
        <w:pStyle w:val="ListBullet"/>
      </w:pPr>
      <w:r>
        <w:t>reports/week5/week5_evaluation_report.txt</w:t>
      </w:r>
    </w:p>
    <w:p>
      <w:pPr>
        <w:pStyle w:val="ListBullet"/>
      </w:pPr>
      <w:r>
        <w:t>reports/week5/week5_metrics_comparison.csv</w:t>
      </w:r>
    </w:p>
    <w:p>
      <w:pPr>
        <w:pStyle w:val="ListBullet"/>
      </w:pPr>
      <w:r>
        <w:t>reports/week5/week5_run_summary.json</w:t>
      </w:r>
    </w:p>
    <w:p>
      <w:pPr>
        <w:pStyle w:val="ListBullet"/>
      </w:pPr>
      <w:r>
        <w:t>reports/week5/classification_*.json and confusion_*.json</w:t>
      </w:r>
    </w:p>
    <w:p>
      <w:pPr>
        <w:pStyle w:val="ListBullet"/>
      </w:pPr>
      <w:r>
        <w:t>reports/week5/plots/confusion_*.png</w:t>
      </w:r>
    </w:p>
    <w:p>
      <w:pPr>
        <w:pStyle w:val="ListBullet"/>
      </w:pPr>
      <w:r>
        <w:t>reports/week5/plots/roc_*.png</w:t>
      </w:r>
    </w:p>
    <w:p>
      <w:pPr>
        <w:pStyle w:val="ListBullet"/>
      </w:pPr>
      <w:r>
        <w:t>reports/week5/plots/importance_*.png</w:t>
      </w:r>
    </w:p>
    <w:p>
      <w:pPr>
        <w:pStyle w:val="ListBullet"/>
      </w:pPr>
      <w:r>
        <w:t>reports/week5/plots/model_comparison_macro_f1.png</w:t>
      </w:r>
    </w:p>
    <w:p>
      <w:pPr>
        <w:pStyle w:val="ListBullet"/>
      </w:pPr>
      <w:r>
        <w:t>reports/week5/explanations/local_*.json and permutation_*.csv</w:t>
      </w:r>
    </w:p>
    <w:p>
      <w:pPr>
        <w:pStyle w:val="Heading1"/>
      </w:pPr>
      <w:r>
        <w:t>8. Limitations</w:t>
      </w:r>
    </w:p>
    <w:p>
      <w:pPr>
        <w:pStyle w:val="ListBullet"/>
      </w:pPr>
      <w:r>
        <w:t>Only 61 rows were used, with 16 examples in the test set.</w:t>
      </w:r>
    </w:p>
    <w:p>
      <w:pPr>
        <w:pStyle w:val="ListBullet"/>
      </w:pPr>
      <w:r>
        <w:t>One rare category was excluded from this run.</w:t>
      </w:r>
    </w:p>
    <w:p>
      <w:pPr>
        <w:pStyle w:val="ListBullet"/>
      </w:pPr>
      <w:r>
        <w:t>Labels were not independently verified; performance may reflect heuristic or noisy labels.</w:t>
      </w:r>
    </w:p>
    <w:p>
      <w:pPr>
        <w:pStyle w:val="ListBullet"/>
      </w:pPr>
      <w:r>
        <w:t>The SVM's high held-out score conflicts with its low and variable cross-validation scores.</w:t>
      </w:r>
    </w:p>
    <w:p>
      <w:pPr>
        <w:pStyle w:val="ListBullet"/>
      </w:pPr>
      <w:r>
        <w:t>Class-level metrics and ROC/AUC estimates may be unreliable with tiny per-class supports.</w:t>
      </w:r>
    </w:p>
    <w:p>
      <w:pPr>
        <w:pStyle w:val="ListBullet"/>
      </w:pPr>
      <w:r>
        <w:t>Local ablation and permutation analysis are diagnostic, not proof of causal feature influence.</w:t>
      </w:r>
    </w:p>
    <w:p>
      <w:pPr>
        <w:pStyle w:val="Heading1"/>
      </w:pPr>
      <w:r>
        <w:t>9. Recommended next steps</w:t>
      </w:r>
    </w:p>
    <w:p>
      <w:pPr>
        <w:pStyle w:val="ListNumber"/>
      </w:pPr>
      <w:r>
        <w:t>Manually verify labels against the source academic regulations and document labeling rules.</w:t>
      </w:r>
    </w:p>
    <w:p>
      <w:pPr>
        <w:pStyle w:val="ListNumber"/>
      </w:pPr>
      <w:r>
        <w:t>Collect more examples for every category, especially rare categories such as academic_calendar.</w:t>
      </w:r>
    </w:p>
    <w:p>
      <w:pPr>
        <w:pStyle w:val="ListNumber"/>
      </w:pPr>
      <w:r>
        <w:t>Re-run stratified and repeated cross-validation after ensuring each class has sufficient examples.</w:t>
      </w:r>
    </w:p>
    <w:p>
      <w:pPr>
        <w:pStyle w:val="ListNumber"/>
      </w:pPr>
      <w:r>
        <w:t>Compare models using macro F1 and balanced accuracy, not accuracy alone.</w:t>
      </w:r>
    </w:p>
    <w:p>
      <w:pPr>
        <w:pStyle w:val="ListNumber"/>
      </w:pPr>
      <w:r>
        <w:t>Review confusion matrices and local explanations for policy-related misclassifications.</w:t>
      </w:r>
    </w:p>
    <w:p>
      <w:pPr>
        <w:pStyle w:val="ListNumber"/>
      </w:pPr>
      <w:r>
        <w:t>Keep a human-review step for answers that could affect students' academic decisions.</w:t>
      </w:r>
    </w:p>
    <w:p>
      <w:pPr>
        <w:pStyle w:val="Heading1"/>
      </w:pPr>
      <w:r>
        <w:t>10. Conclusion</w:t>
      </w:r>
    </w:p>
    <w:p>
      <w:r>
        <w:t>Week 5 established an evaluation and interpretability workflow and produced diagnostic artifacts. The engineered Linear SVM performed best on this held-out test set, while the TF-IDF Logistic Regression baseline showed more stable cross-validation performance. Given the small dataset and unverified labels, further data validation and testing are needed before selecting a final CampusIQ model.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CampusIQ • Week 5 Model Evaluation &amp; Interpretability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