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6E8C1" w14:textId="77777777" w:rsidR="00EC3B48" w:rsidRDefault="00000000">
      <w:pPr>
        <w:spacing w:after="80"/>
        <w:jc w:val="center"/>
      </w:pPr>
      <w:r>
        <w:rPr>
          <w:b/>
          <w:sz w:val="32"/>
        </w:rPr>
        <w:t>Ideation Phase</w:t>
      </w:r>
    </w:p>
    <w:p w14:paraId="330C2D93" w14:textId="77777777" w:rsidR="00EC3B48" w:rsidRDefault="00000000">
      <w:pPr>
        <w:spacing w:after="80"/>
        <w:jc w:val="center"/>
      </w:pPr>
      <w:r>
        <w:rPr>
          <w:b/>
          <w:sz w:val="28"/>
        </w:rPr>
        <w:t>Empathize &amp; Discover</w:t>
      </w:r>
    </w:p>
    <w:tbl>
      <w:tblPr>
        <w:tblStyle w:val="TableGrid"/>
        <w:tblW w:w="0" w:type="auto"/>
        <w:jc w:val="center"/>
        <w:tblLook w:val="04A0" w:firstRow="1" w:lastRow="0" w:firstColumn="1" w:lastColumn="0" w:noHBand="0" w:noVBand="1"/>
      </w:tblPr>
      <w:tblGrid>
        <w:gridCol w:w="5328"/>
        <w:gridCol w:w="5328"/>
      </w:tblGrid>
      <w:tr w:rsidR="00EC3B48" w14:paraId="0E7EC0D4" w14:textId="77777777">
        <w:trPr>
          <w:jc w:val="center"/>
        </w:trPr>
        <w:tc>
          <w:tcPr>
            <w:tcW w:w="5328" w:type="dxa"/>
            <w:shd w:val="clear" w:color="auto" w:fill="EDEDED"/>
            <w:vAlign w:val="center"/>
          </w:tcPr>
          <w:p w14:paraId="753D24CF" w14:textId="77777777" w:rsidR="00EC3B48" w:rsidRDefault="00000000">
            <w:r>
              <w:rPr>
                <w:b/>
              </w:rPr>
              <w:t>Date</w:t>
            </w:r>
          </w:p>
        </w:tc>
        <w:tc>
          <w:tcPr>
            <w:tcW w:w="5328" w:type="dxa"/>
            <w:vAlign w:val="center"/>
          </w:tcPr>
          <w:p w14:paraId="45BA132F" w14:textId="77777777" w:rsidR="00EC3B48" w:rsidRDefault="00EC3B48"/>
        </w:tc>
      </w:tr>
      <w:tr w:rsidR="00EC3B48" w14:paraId="4FB5A929" w14:textId="77777777">
        <w:trPr>
          <w:jc w:val="center"/>
        </w:trPr>
        <w:tc>
          <w:tcPr>
            <w:tcW w:w="5328" w:type="dxa"/>
            <w:shd w:val="clear" w:color="auto" w:fill="EDEDED"/>
            <w:vAlign w:val="center"/>
          </w:tcPr>
          <w:p w14:paraId="2FB834D2" w14:textId="77777777" w:rsidR="00EC3B48" w:rsidRDefault="00000000">
            <w:r>
              <w:rPr>
                <w:b/>
              </w:rPr>
              <w:t>Team ID</w:t>
            </w:r>
          </w:p>
        </w:tc>
        <w:tc>
          <w:tcPr>
            <w:tcW w:w="5328" w:type="dxa"/>
            <w:vAlign w:val="center"/>
          </w:tcPr>
          <w:p w14:paraId="48CF31C8" w14:textId="77777777" w:rsidR="00EC3B48" w:rsidRDefault="00EC3B48"/>
        </w:tc>
      </w:tr>
      <w:tr w:rsidR="00EC3B48" w14:paraId="5C75FB3C" w14:textId="77777777">
        <w:trPr>
          <w:jc w:val="center"/>
        </w:trPr>
        <w:tc>
          <w:tcPr>
            <w:tcW w:w="5328" w:type="dxa"/>
            <w:shd w:val="clear" w:color="auto" w:fill="EDEDED"/>
            <w:vAlign w:val="center"/>
          </w:tcPr>
          <w:p w14:paraId="07276C21" w14:textId="77777777" w:rsidR="00EC3B48" w:rsidRDefault="00000000">
            <w:r>
              <w:rPr>
                <w:b/>
              </w:rPr>
              <w:t>Project Name</w:t>
            </w:r>
          </w:p>
        </w:tc>
        <w:tc>
          <w:tcPr>
            <w:tcW w:w="5328" w:type="dxa"/>
            <w:vAlign w:val="center"/>
          </w:tcPr>
          <w:p w14:paraId="0E6BE67D" w14:textId="77777777" w:rsidR="00EC3B48" w:rsidRDefault="00000000">
            <w:r>
              <w:t>Incident Lifecycle Automation in ServiceNow</w:t>
            </w:r>
          </w:p>
        </w:tc>
      </w:tr>
      <w:tr w:rsidR="00EC3B48" w14:paraId="1C969F93" w14:textId="77777777">
        <w:trPr>
          <w:jc w:val="center"/>
        </w:trPr>
        <w:tc>
          <w:tcPr>
            <w:tcW w:w="5328" w:type="dxa"/>
            <w:shd w:val="clear" w:color="auto" w:fill="EDEDED"/>
            <w:vAlign w:val="center"/>
          </w:tcPr>
          <w:p w14:paraId="353424FC" w14:textId="77777777" w:rsidR="00EC3B48" w:rsidRDefault="00000000">
            <w:r>
              <w:rPr>
                <w:b/>
              </w:rPr>
              <w:t>Maximum Marks</w:t>
            </w:r>
          </w:p>
        </w:tc>
        <w:tc>
          <w:tcPr>
            <w:tcW w:w="5328" w:type="dxa"/>
            <w:vAlign w:val="center"/>
          </w:tcPr>
          <w:p w14:paraId="2C7B9883" w14:textId="77777777" w:rsidR="00EC3B48" w:rsidRDefault="00000000">
            <w:r>
              <w:t>4 Marks</w:t>
            </w:r>
          </w:p>
        </w:tc>
      </w:tr>
    </w:tbl>
    <w:p w14:paraId="5DA62963" w14:textId="77777777" w:rsidR="00F7517C" w:rsidRDefault="00F7517C">
      <w:pPr>
        <w:spacing w:after="80"/>
        <w:rPr>
          <w:b/>
          <w:sz w:val="22"/>
        </w:rPr>
      </w:pPr>
    </w:p>
    <w:p w14:paraId="597496E7" w14:textId="6CA3AB5D" w:rsidR="00EC3B48" w:rsidRDefault="00000000">
      <w:pPr>
        <w:spacing w:after="80"/>
      </w:pPr>
      <w:r>
        <w:rPr>
          <w:b/>
          <w:sz w:val="22"/>
        </w:rPr>
        <w:t>Empathy Map:</w:t>
      </w:r>
    </w:p>
    <w:p w14:paraId="68CE0737" w14:textId="77777777" w:rsidR="00EC3B48" w:rsidRDefault="00000000">
      <w:pPr>
        <w:spacing w:after="100" w:line="252" w:lineRule="auto"/>
      </w:pPr>
      <w:r>
        <w:t>An empathy map is a simple, easy-to-digest visual that captures knowledge about a user’s behaviours and attitudes.</w:t>
      </w:r>
    </w:p>
    <w:p w14:paraId="42F7A704" w14:textId="77777777" w:rsidR="00EC3B48" w:rsidRDefault="00000000">
      <w:pPr>
        <w:spacing w:after="100" w:line="252" w:lineRule="auto"/>
      </w:pPr>
      <w:r>
        <w:t>It is a useful tool to help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14:paraId="2009D50F" w14:textId="77777777" w:rsidR="00CA6EB9" w:rsidRDefault="00CA6EB9">
      <w:pPr>
        <w:spacing w:after="100" w:line="252" w:lineRule="auto"/>
      </w:pPr>
    </w:p>
    <w:p w14:paraId="31CF1CB8" w14:textId="77777777" w:rsidR="00EC3B48" w:rsidRDefault="00000000">
      <w:pPr>
        <w:spacing w:after="80"/>
      </w:pPr>
      <w:r>
        <w:rPr>
          <w:b/>
          <w:sz w:val="22"/>
        </w:rPr>
        <w:t>Project-Specific Empathy Map</w:t>
      </w:r>
    </w:p>
    <w:p w14:paraId="718D97A2" w14:textId="1F59C8F1" w:rsidR="00EC3B48" w:rsidRDefault="006F63FB">
      <w:pPr>
        <w:jc w:val="center"/>
      </w:pPr>
      <w:r>
        <w:rPr>
          <w:noProof/>
        </w:rPr>
        <w:drawing>
          <wp:inline distT="0" distB="0" distL="0" distR="0" wp14:anchorId="5A3DF9C4" wp14:editId="7E354AA6">
            <wp:extent cx="6400800" cy="4267200"/>
            <wp:effectExtent l="0" t="0" r="0" b="0"/>
            <wp:docPr id="579302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pic:spPr>
                </pic:pic>
              </a:graphicData>
            </a:graphic>
          </wp:inline>
        </w:drawing>
      </w:r>
    </w:p>
    <w:p w14:paraId="3E595301" w14:textId="77777777" w:rsidR="006F63FB" w:rsidRDefault="006F63FB">
      <w:pPr>
        <w:spacing w:after="100" w:line="252" w:lineRule="auto"/>
      </w:pPr>
    </w:p>
    <w:p w14:paraId="5FFF050E" w14:textId="5D7DCE1F" w:rsidR="00EC3B48" w:rsidRDefault="00000000">
      <w:pPr>
        <w:spacing w:after="100" w:line="252" w:lineRule="auto"/>
      </w:pPr>
      <w:r>
        <w:t>User perspective selected: Service Desk Agent. The map reflects the project’s defined incident-management activities, including incident creation and classification, knowledge support, assignment/reassignment, Level 2 investigation, change integration, child incidents, resolution documentation, knowledge creation, and SLA tracking.</w:t>
      </w:r>
    </w:p>
    <w:p w14:paraId="0B4A8C2F" w14:textId="77777777" w:rsidR="00EC3B48" w:rsidRDefault="00000000">
      <w:r>
        <w:br w:type="page"/>
      </w:r>
    </w:p>
    <w:p w14:paraId="45F09767" w14:textId="77777777" w:rsidR="00EC3B48" w:rsidRDefault="00000000">
      <w:pPr>
        <w:spacing w:after="80"/>
        <w:jc w:val="center"/>
      </w:pPr>
      <w:r>
        <w:rPr>
          <w:b/>
          <w:sz w:val="26"/>
        </w:rPr>
        <w:lastRenderedPageBreak/>
        <w:t>Empathy Map – Detailed Interpretation</w:t>
      </w:r>
    </w:p>
    <w:tbl>
      <w:tblPr>
        <w:tblStyle w:val="TableGrid"/>
        <w:tblW w:w="0" w:type="auto"/>
        <w:jc w:val="center"/>
        <w:tblLook w:val="04A0" w:firstRow="1" w:lastRow="0" w:firstColumn="1" w:lastColumn="0" w:noHBand="0" w:noVBand="1"/>
      </w:tblPr>
      <w:tblGrid>
        <w:gridCol w:w="3552"/>
        <w:gridCol w:w="3552"/>
        <w:gridCol w:w="3552"/>
      </w:tblGrid>
      <w:tr w:rsidR="00EC3B48" w14:paraId="41ADE150" w14:textId="77777777">
        <w:trPr>
          <w:jc w:val="center"/>
        </w:trPr>
        <w:tc>
          <w:tcPr>
            <w:tcW w:w="3552" w:type="dxa"/>
            <w:shd w:val="clear" w:color="auto" w:fill="EDEDED"/>
            <w:vAlign w:val="center"/>
          </w:tcPr>
          <w:p w14:paraId="39ED2A54" w14:textId="77777777" w:rsidR="00EC3B48" w:rsidRDefault="00000000">
            <w:pPr>
              <w:jc w:val="center"/>
            </w:pPr>
            <w:r>
              <w:rPr>
                <w:b/>
                <w:sz w:val="19"/>
              </w:rPr>
              <w:t>Empathy Map Area</w:t>
            </w:r>
          </w:p>
        </w:tc>
        <w:tc>
          <w:tcPr>
            <w:tcW w:w="3552" w:type="dxa"/>
            <w:shd w:val="clear" w:color="auto" w:fill="EDEDED"/>
            <w:vAlign w:val="center"/>
          </w:tcPr>
          <w:p w14:paraId="5A7D9F2C" w14:textId="77777777" w:rsidR="00EC3B48" w:rsidRDefault="00000000">
            <w:pPr>
              <w:jc w:val="center"/>
            </w:pPr>
            <w:r>
              <w:rPr>
                <w:b/>
                <w:sz w:val="19"/>
              </w:rPr>
              <w:t>Service Desk Agent Perspective</w:t>
            </w:r>
          </w:p>
        </w:tc>
        <w:tc>
          <w:tcPr>
            <w:tcW w:w="3552" w:type="dxa"/>
            <w:shd w:val="clear" w:color="auto" w:fill="EDEDED"/>
            <w:vAlign w:val="center"/>
          </w:tcPr>
          <w:p w14:paraId="20503FD7" w14:textId="77777777" w:rsidR="00EC3B48" w:rsidRDefault="00000000">
            <w:pPr>
              <w:jc w:val="center"/>
            </w:pPr>
            <w:r>
              <w:rPr>
                <w:b/>
                <w:sz w:val="19"/>
              </w:rPr>
              <w:t>Project Relevance</w:t>
            </w:r>
          </w:p>
        </w:tc>
      </w:tr>
      <w:tr w:rsidR="00EC3B48" w14:paraId="3B8A3BBE" w14:textId="77777777">
        <w:trPr>
          <w:jc w:val="center"/>
        </w:trPr>
        <w:tc>
          <w:tcPr>
            <w:tcW w:w="3552" w:type="dxa"/>
            <w:vAlign w:val="center"/>
          </w:tcPr>
          <w:p w14:paraId="46A99B78" w14:textId="77777777" w:rsidR="00EC3B48" w:rsidRDefault="00000000">
            <w:r>
              <w:rPr>
                <w:sz w:val="17"/>
              </w:rPr>
              <w:t>Think &amp; Feel</w:t>
            </w:r>
          </w:p>
        </w:tc>
        <w:tc>
          <w:tcPr>
            <w:tcW w:w="3552" w:type="dxa"/>
            <w:vAlign w:val="center"/>
          </w:tcPr>
          <w:p w14:paraId="73BE2986" w14:textId="77777777" w:rsidR="00EC3B48" w:rsidRDefault="00000000">
            <w:r>
              <w:rPr>
                <w:sz w:val="17"/>
              </w:rPr>
              <w:t>Wants structured incident handling, clear ownership, timely escalation, useful knowledge, and visibility of SLA and resolution progress.</w:t>
            </w:r>
          </w:p>
        </w:tc>
        <w:tc>
          <w:tcPr>
            <w:tcW w:w="3552" w:type="dxa"/>
            <w:vAlign w:val="center"/>
          </w:tcPr>
          <w:p w14:paraId="614BFF33" w14:textId="77777777" w:rsidR="00EC3B48" w:rsidRDefault="00000000">
            <w:r>
              <w:rPr>
                <w:sz w:val="17"/>
              </w:rPr>
              <w:t>Supports consistent Incident Management and improved coordination.</w:t>
            </w:r>
          </w:p>
        </w:tc>
      </w:tr>
      <w:tr w:rsidR="00EC3B48" w14:paraId="176E8054" w14:textId="77777777">
        <w:trPr>
          <w:jc w:val="center"/>
        </w:trPr>
        <w:tc>
          <w:tcPr>
            <w:tcW w:w="3552" w:type="dxa"/>
            <w:vAlign w:val="center"/>
          </w:tcPr>
          <w:p w14:paraId="4122B74C" w14:textId="77777777" w:rsidR="00EC3B48" w:rsidRDefault="00000000">
            <w:r>
              <w:rPr>
                <w:sz w:val="17"/>
              </w:rPr>
              <w:t>See</w:t>
            </w:r>
          </w:p>
        </w:tc>
        <w:tc>
          <w:tcPr>
            <w:tcW w:w="3552" w:type="dxa"/>
            <w:vAlign w:val="center"/>
          </w:tcPr>
          <w:p w14:paraId="6BDEBF31" w14:textId="77777777" w:rsidR="00EC3B48" w:rsidRDefault="00000000">
            <w:r>
              <w:rPr>
                <w:sz w:val="17"/>
              </w:rPr>
              <w:t>Sees incident classification and assignment details, Knowledge/Agent Assist results, related records, and SLA/activity information.</w:t>
            </w:r>
          </w:p>
        </w:tc>
        <w:tc>
          <w:tcPr>
            <w:tcW w:w="3552" w:type="dxa"/>
            <w:vAlign w:val="center"/>
          </w:tcPr>
          <w:p w14:paraId="5B5999CF" w14:textId="77777777" w:rsidR="00EC3B48" w:rsidRDefault="00000000">
            <w:r>
              <w:rPr>
                <w:sz w:val="17"/>
              </w:rPr>
              <w:t>Provides the information needed for investigation and tracking.</w:t>
            </w:r>
          </w:p>
        </w:tc>
      </w:tr>
      <w:tr w:rsidR="00EC3B48" w14:paraId="677B0960" w14:textId="77777777">
        <w:trPr>
          <w:jc w:val="center"/>
        </w:trPr>
        <w:tc>
          <w:tcPr>
            <w:tcW w:w="3552" w:type="dxa"/>
            <w:vAlign w:val="center"/>
          </w:tcPr>
          <w:p w14:paraId="053DE019" w14:textId="77777777" w:rsidR="00EC3B48" w:rsidRDefault="00000000">
            <w:r>
              <w:rPr>
                <w:sz w:val="17"/>
              </w:rPr>
              <w:t>Hear</w:t>
            </w:r>
          </w:p>
        </w:tc>
        <w:tc>
          <w:tcPr>
            <w:tcW w:w="3552" w:type="dxa"/>
            <w:vAlign w:val="center"/>
          </w:tcPr>
          <w:p w14:paraId="31CAE0CC" w14:textId="77777777" w:rsidR="00EC3B48" w:rsidRDefault="00000000">
            <w:r>
              <w:rPr>
                <w:sz w:val="17"/>
              </w:rPr>
              <w:t>Receives issue reports from end users and information/requests from Level 2 Support and Change Management.</w:t>
            </w:r>
          </w:p>
        </w:tc>
        <w:tc>
          <w:tcPr>
            <w:tcW w:w="3552" w:type="dxa"/>
            <w:vAlign w:val="center"/>
          </w:tcPr>
          <w:p w14:paraId="4F1EB10C" w14:textId="77777777" w:rsidR="00EC3B48" w:rsidRDefault="00000000">
            <w:r>
              <w:rPr>
                <w:sz w:val="17"/>
              </w:rPr>
              <w:t>Supports communication and collaboration across stakeholders.</w:t>
            </w:r>
          </w:p>
        </w:tc>
      </w:tr>
      <w:tr w:rsidR="00EC3B48" w14:paraId="056A456F" w14:textId="77777777">
        <w:trPr>
          <w:jc w:val="center"/>
        </w:trPr>
        <w:tc>
          <w:tcPr>
            <w:tcW w:w="3552" w:type="dxa"/>
            <w:vAlign w:val="center"/>
          </w:tcPr>
          <w:p w14:paraId="762396EA" w14:textId="77777777" w:rsidR="00EC3B48" w:rsidRDefault="00000000">
            <w:r>
              <w:rPr>
                <w:sz w:val="17"/>
              </w:rPr>
              <w:t>Say &amp; Do</w:t>
            </w:r>
          </w:p>
        </w:tc>
        <w:tc>
          <w:tcPr>
            <w:tcW w:w="3552" w:type="dxa"/>
            <w:vAlign w:val="center"/>
          </w:tcPr>
          <w:p w14:paraId="4E61968D" w14:textId="77777777" w:rsidR="00EC3B48" w:rsidRDefault="00000000">
            <w:r>
              <w:rPr>
                <w:sz w:val="17"/>
              </w:rPr>
              <w:t>Creates and classifies incidents, assigns/reassigns them, uses knowledge, documents work, and creates related records when required.</w:t>
            </w:r>
          </w:p>
        </w:tc>
        <w:tc>
          <w:tcPr>
            <w:tcW w:w="3552" w:type="dxa"/>
            <w:vAlign w:val="center"/>
          </w:tcPr>
          <w:p w14:paraId="10D98FB1" w14:textId="77777777" w:rsidR="00EC3B48" w:rsidRDefault="00000000">
            <w:r>
              <w:rPr>
                <w:sz w:val="17"/>
              </w:rPr>
              <w:t>Represents the operational activities defined in the project scope.</w:t>
            </w:r>
          </w:p>
        </w:tc>
      </w:tr>
      <w:tr w:rsidR="00EC3B48" w14:paraId="6D1BB6A2" w14:textId="77777777">
        <w:trPr>
          <w:jc w:val="center"/>
        </w:trPr>
        <w:tc>
          <w:tcPr>
            <w:tcW w:w="3552" w:type="dxa"/>
            <w:vAlign w:val="center"/>
          </w:tcPr>
          <w:p w14:paraId="58F6556A" w14:textId="77777777" w:rsidR="00EC3B48" w:rsidRDefault="00000000">
            <w:r>
              <w:rPr>
                <w:sz w:val="17"/>
              </w:rPr>
              <w:t>Pain</w:t>
            </w:r>
          </w:p>
        </w:tc>
        <w:tc>
          <w:tcPr>
            <w:tcW w:w="3552" w:type="dxa"/>
            <w:vAlign w:val="center"/>
          </w:tcPr>
          <w:p w14:paraId="7D37B625" w14:textId="77777777" w:rsidR="00EC3B48" w:rsidRDefault="00000000">
            <w:r>
              <w:rPr>
                <w:sz w:val="17"/>
              </w:rPr>
              <w:t>Inconsistent intake/classification, unclear ownership, delayed escalation, limited SLA visibility, and manual coordination.</w:t>
            </w:r>
          </w:p>
        </w:tc>
        <w:tc>
          <w:tcPr>
            <w:tcW w:w="3552" w:type="dxa"/>
            <w:vAlign w:val="center"/>
          </w:tcPr>
          <w:p w14:paraId="5D53A632" w14:textId="77777777" w:rsidR="00EC3B48" w:rsidRDefault="00000000">
            <w:r>
              <w:rPr>
                <w:sz w:val="17"/>
              </w:rPr>
              <w:t>These are the project problems the ServiceNow lifecycle addresses.</w:t>
            </w:r>
          </w:p>
        </w:tc>
      </w:tr>
      <w:tr w:rsidR="00EC3B48" w14:paraId="6BCC0094" w14:textId="77777777">
        <w:trPr>
          <w:jc w:val="center"/>
        </w:trPr>
        <w:tc>
          <w:tcPr>
            <w:tcW w:w="3552" w:type="dxa"/>
            <w:vAlign w:val="center"/>
          </w:tcPr>
          <w:p w14:paraId="5B3A6953" w14:textId="77777777" w:rsidR="00EC3B48" w:rsidRDefault="00000000">
            <w:r>
              <w:rPr>
                <w:sz w:val="17"/>
              </w:rPr>
              <w:t>Gain</w:t>
            </w:r>
          </w:p>
        </w:tc>
        <w:tc>
          <w:tcPr>
            <w:tcW w:w="3552" w:type="dxa"/>
            <w:vAlign w:val="center"/>
          </w:tcPr>
          <w:p w14:paraId="6AE77462" w14:textId="77777777" w:rsidR="00EC3B48" w:rsidRDefault="00000000">
            <w:r>
              <w:rPr>
                <w:sz w:val="17"/>
              </w:rPr>
              <w:t>Standardized lifecycle, clear ownership, knowledge-supported resolution, Level 2 escalation, and improved SLA/related-record visibility.</w:t>
            </w:r>
          </w:p>
        </w:tc>
        <w:tc>
          <w:tcPr>
            <w:tcW w:w="3552" w:type="dxa"/>
            <w:vAlign w:val="center"/>
          </w:tcPr>
          <w:p w14:paraId="4C68CEA2" w14:textId="77777777" w:rsidR="00EC3B48" w:rsidRDefault="00000000">
            <w:r>
              <w:rPr>
                <w:sz w:val="17"/>
              </w:rPr>
              <w:t>These gains align with the stated project objectives and goals.</w:t>
            </w:r>
          </w:p>
        </w:tc>
      </w:tr>
    </w:tbl>
    <w:p w14:paraId="584809E7" w14:textId="77777777" w:rsidR="00091400" w:rsidRDefault="00091400">
      <w:pPr>
        <w:spacing w:after="80"/>
        <w:rPr>
          <w:b/>
          <w:sz w:val="22"/>
        </w:rPr>
      </w:pPr>
    </w:p>
    <w:p w14:paraId="0C3F24E8" w14:textId="0F33FB9A" w:rsidR="00EC3B48" w:rsidRDefault="00000000">
      <w:pPr>
        <w:spacing w:after="80"/>
      </w:pPr>
      <w:r>
        <w:rPr>
          <w:b/>
          <w:sz w:val="22"/>
        </w:rPr>
        <w:t>Empathy Map Outcome</w:t>
      </w:r>
    </w:p>
    <w:p w14:paraId="6D778490" w14:textId="77777777" w:rsidR="00EC3B48" w:rsidRDefault="00000000">
      <w:pPr>
        <w:spacing w:after="100" w:line="252" w:lineRule="auto"/>
      </w:pPr>
      <w:r>
        <w:t>The empathy mapping exercise identifies the Service Desk Agent’s needs and challenges within the incident lifecycle. It supports the project objective of standardizing and automating Incident Management in ServiceNow while maintaining clear ownership, escalation, knowledge support, related-record tracking, and SLA visibility.</w:t>
      </w:r>
    </w:p>
    <w:sectPr w:rsidR="00EC3B48" w:rsidSect="00034616">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152D3" w14:textId="77777777" w:rsidR="00161351" w:rsidRDefault="00161351">
      <w:pPr>
        <w:spacing w:after="0" w:line="240" w:lineRule="auto"/>
      </w:pPr>
      <w:r>
        <w:separator/>
      </w:r>
    </w:p>
  </w:endnote>
  <w:endnote w:type="continuationSeparator" w:id="0">
    <w:p w14:paraId="69B182CC" w14:textId="77777777" w:rsidR="00161351" w:rsidRDefault="00161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A52FC" w14:textId="77777777" w:rsidR="00161351" w:rsidRDefault="00161351">
      <w:pPr>
        <w:spacing w:after="0" w:line="240" w:lineRule="auto"/>
      </w:pPr>
      <w:r>
        <w:separator/>
      </w:r>
    </w:p>
  </w:footnote>
  <w:footnote w:type="continuationSeparator" w:id="0">
    <w:p w14:paraId="619A6AB1" w14:textId="77777777" w:rsidR="00161351" w:rsidRDefault="00161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8292151">
    <w:abstractNumId w:val="8"/>
  </w:num>
  <w:num w:numId="2" w16cid:durableId="1671711526">
    <w:abstractNumId w:val="6"/>
  </w:num>
  <w:num w:numId="3" w16cid:durableId="789322010">
    <w:abstractNumId w:val="5"/>
  </w:num>
  <w:num w:numId="4" w16cid:durableId="1513912369">
    <w:abstractNumId w:val="4"/>
  </w:num>
  <w:num w:numId="5" w16cid:durableId="308176599">
    <w:abstractNumId w:val="7"/>
  </w:num>
  <w:num w:numId="6" w16cid:durableId="1947300525">
    <w:abstractNumId w:val="3"/>
  </w:num>
  <w:num w:numId="7" w16cid:durableId="500395506">
    <w:abstractNumId w:val="2"/>
  </w:num>
  <w:num w:numId="8" w16cid:durableId="654381535">
    <w:abstractNumId w:val="1"/>
  </w:num>
  <w:num w:numId="9" w16cid:durableId="1416586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00"/>
    <w:rsid w:val="000973BF"/>
    <w:rsid w:val="0015074B"/>
    <w:rsid w:val="00161351"/>
    <w:rsid w:val="0029639D"/>
    <w:rsid w:val="00326F90"/>
    <w:rsid w:val="006F63FB"/>
    <w:rsid w:val="0082644D"/>
    <w:rsid w:val="00AA1D8D"/>
    <w:rsid w:val="00B47730"/>
    <w:rsid w:val="00CA6EB9"/>
    <w:rsid w:val="00CB0664"/>
    <w:rsid w:val="00EC3B48"/>
    <w:rsid w:val="00EF3B7B"/>
    <w:rsid w:val="00F751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76784E4-C298-49AD-9134-382D2D4C1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Komali Priya</cp:lastModifiedBy>
  <cp:revision>7</cp:revision>
  <dcterms:created xsi:type="dcterms:W3CDTF">2013-12-23T23:15:00Z</dcterms:created>
  <dcterms:modified xsi:type="dcterms:W3CDTF">2026-09-19T15:24:00Z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9e2e8cd2-b886-42f2-b1ba-bfd142fa4e85</vt:lpwstr>
  </property>
</Properties>
</file>