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57F" w:rsidRDefault="00F52A93" w:rsidP="00F52A93">
      <w:pPr>
        <w:pStyle w:val="Title"/>
      </w:pPr>
      <w:r w:rsidRPr="00F52A93">
        <w:t xml:space="preserve">Innovation Hubs - A Story of </w:t>
      </w:r>
      <w:r>
        <w:t>Cities and Patents —</w:t>
      </w:r>
    </w:p>
    <w:p w:rsidR="00F52A93" w:rsidRDefault="00F52A93" w:rsidP="00F52A93"/>
    <w:p w:rsidR="00F52A93" w:rsidRPr="00F52A93" w:rsidRDefault="00F52A93" w:rsidP="00F52A93">
      <w:pPr>
        <w:pStyle w:val="Heading1"/>
        <w:numPr>
          <w:ilvl w:val="0"/>
          <w:numId w:val="1"/>
        </w:numPr>
        <w:rPr>
          <w:b/>
          <w:color w:val="1F4E79" w:themeColor="accent1" w:themeShade="80"/>
        </w:rPr>
      </w:pPr>
      <w:r w:rsidRPr="00F52A93">
        <w:rPr>
          <w:b/>
          <w:color w:val="1F4E79" w:themeColor="accent1" w:themeShade="80"/>
        </w:rPr>
        <w:t>Overview</w:t>
      </w:r>
    </w:p>
    <w:p w:rsidR="00F52A93" w:rsidRPr="00F52A93" w:rsidRDefault="00F52A93" w:rsidP="00F52A93">
      <w:pPr>
        <w:spacing w:after="0" w:line="240" w:lineRule="auto"/>
        <w:rPr>
          <w:rFonts w:ascii="Calibri" w:eastAsia="Times New Roman" w:hAnsi="Calibri" w:cs="Calibri"/>
          <w:color w:val="000000"/>
        </w:rPr>
      </w:pPr>
      <w:r w:rsidRPr="00F52A93">
        <w:rPr>
          <w:rFonts w:ascii="Calibri" w:eastAsia="Times New Roman" w:hAnsi="Calibri" w:cs="Calibri"/>
          <w:color w:val="000000"/>
        </w:rPr>
        <w:t>This capstone project will investigate the factors that facili</w:t>
      </w:r>
      <w:r>
        <w:rPr>
          <w:rFonts w:ascii="Calibri" w:eastAsia="Times New Roman" w:hAnsi="Calibri" w:cs="Calibri"/>
          <w:color w:val="000000"/>
        </w:rPr>
        <w:t xml:space="preserve">tate innovation growth for a company </w:t>
      </w:r>
      <w:r w:rsidRPr="00F52A93">
        <w:rPr>
          <w:rFonts w:ascii="Calibri" w:eastAsia="Times New Roman" w:hAnsi="Calibri" w:cs="Calibri"/>
          <w:b/>
          <w:bCs/>
          <w:color w:val="000000"/>
        </w:rPr>
        <w:t>using publicly available patent data, regulatory factors and census data.</w:t>
      </w:r>
      <w:r w:rsidRPr="00F52A93">
        <w:rPr>
          <w:rFonts w:ascii="Calibri" w:eastAsia="Times New Roman" w:hAnsi="Calibri" w:cs="Calibri"/>
          <w:color w:val="000000"/>
        </w:rPr>
        <w:t xml:space="preserve"> </w:t>
      </w:r>
      <w:r>
        <w:rPr>
          <w:rFonts w:ascii="Calibri" w:eastAsia="Times New Roman" w:hAnsi="Calibri" w:cs="Calibri"/>
          <w:color w:val="000000"/>
        </w:rPr>
        <w:t>And then, we will aggregate the company’s data to city level, in order to predict the innovative cities as well.</w:t>
      </w:r>
      <w:r w:rsidRPr="00F52A93">
        <w:rPr>
          <w:rFonts w:ascii="Calibri" w:eastAsia="Times New Roman" w:hAnsi="Calibri" w:cs="Calibri"/>
          <w:color w:val="000000"/>
        </w:rPr>
        <w:br/>
        <w:t xml:space="preserve">- To understand how this process develops, we will analyze patent data in the United States from 2001-2020. </w:t>
      </w:r>
      <w:r w:rsidRPr="00F52A93">
        <w:rPr>
          <w:rFonts w:ascii="Calibri" w:eastAsia="Times New Roman" w:hAnsi="Calibri" w:cs="Calibri"/>
          <w:color w:val="000000"/>
        </w:rPr>
        <w:br/>
        <w:t>- The regression analysis will help in exploring many features that influence the growth of innovation.</w:t>
      </w:r>
      <w:r w:rsidRPr="00F52A93">
        <w:rPr>
          <w:rFonts w:ascii="Calibri" w:eastAsia="Times New Roman" w:hAnsi="Calibri" w:cs="Calibri"/>
          <w:color w:val="000000"/>
        </w:rPr>
        <w:br/>
        <w:t xml:space="preserve">- Upon running multiple analyses across the years we will find those few features that have higher influence on patent output amongst the top cities. </w:t>
      </w:r>
      <w:r w:rsidRPr="00F52A93">
        <w:rPr>
          <w:rFonts w:ascii="Calibri" w:eastAsia="Times New Roman" w:hAnsi="Calibri" w:cs="Calibri"/>
          <w:color w:val="000000"/>
        </w:rPr>
        <w:br/>
        <w:t xml:space="preserve">- We will also come to know if any of these feature is missing among cities with less patent output. </w:t>
      </w:r>
      <w:r w:rsidRPr="00F52A93">
        <w:rPr>
          <w:rFonts w:ascii="Calibri" w:eastAsia="Times New Roman" w:hAnsi="Calibri" w:cs="Calibri"/>
          <w:color w:val="000000"/>
        </w:rPr>
        <w:br/>
        <w:t>- What this experiment would recommend to cities desiring greater patent output is that they should invest in higher education, in earning Small Business Innovation Research (SBIR) grants, and looking into becoming empowerment zones.</w:t>
      </w:r>
      <w:r w:rsidRPr="00F52A93">
        <w:rPr>
          <w:rFonts w:ascii="Calibri" w:eastAsia="Times New Roman" w:hAnsi="Calibri" w:cs="Calibri"/>
          <w:color w:val="000000"/>
        </w:rPr>
        <w:br/>
        <w:t xml:space="preserve">- This way, we will identify how cities can invest in their economic future. This is accomplished by developing an innovation score. This will provide an understanding of the urban structure that facilitates the growth of innovation in the form of patent production. </w:t>
      </w:r>
    </w:p>
    <w:p w:rsidR="00F52A93" w:rsidRDefault="00F52A93" w:rsidP="00F52A93"/>
    <w:p w:rsidR="00F52A93" w:rsidRDefault="00F52A93" w:rsidP="00F52A93">
      <w:pPr>
        <w:pStyle w:val="Heading1"/>
        <w:numPr>
          <w:ilvl w:val="0"/>
          <w:numId w:val="1"/>
        </w:numPr>
        <w:rPr>
          <w:b/>
          <w:color w:val="1F4E79" w:themeColor="accent1" w:themeShade="80"/>
        </w:rPr>
      </w:pPr>
      <w:r w:rsidRPr="00F52A93">
        <w:rPr>
          <w:b/>
          <w:color w:val="1F4E79" w:themeColor="accent1" w:themeShade="80"/>
        </w:rPr>
        <w:t>Different Data points used for measuring Innovation</w:t>
      </w:r>
    </w:p>
    <w:p w:rsidR="00F52A93" w:rsidRDefault="00F52A93" w:rsidP="00B92902">
      <w:pPr>
        <w:pStyle w:val="Heading3"/>
        <w:numPr>
          <w:ilvl w:val="0"/>
          <w:numId w:val="5"/>
        </w:numPr>
        <w:rPr>
          <w:rFonts w:eastAsia="Times New Roman"/>
          <w:color w:val="auto"/>
        </w:rPr>
      </w:pPr>
      <w:r w:rsidRPr="00F52A93">
        <w:rPr>
          <w:b/>
        </w:rPr>
        <w:t xml:space="preserve">Patent Data: </w:t>
      </w:r>
      <w:r w:rsidRPr="00B92902">
        <w:rPr>
          <w:rFonts w:eastAsia="Times New Roman"/>
          <w:color w:val="auto"/>
        </w:rPr>
        <w:t xml:space="preserve">The patent data obtained is from </w:t>
      </w:r>
      <w:r w:rsidR="00080FA8">
        <w:rPr>
          <w:rFonts w:eastAsia="Times New Roman"/>
          <w:color w:val="auto"/>
        </w:rPr>
        <w:t>Patents View</w:t>
      </w:r>
      <w:bookmarkStart w:id="0" w:name="_GoBack"/>
      <w:bookmarkEnd w:id="0"/>
      <w:r w:rsidRPr="00B92902">
        <w:rPr>
          <w:rFonts w:eastAsia="Times New Roman"/>
          <w:color w:val="auto"/>
        </w:rPr>
        <w:t xml:space="preserve">. It contains detailed information on every patent assigned to a United States based organization. These are as follows: </w:t>
      </w:r>
      <w:r w:rsidRPr="00B92902">
        <w:rPr>
          <w:rFonts w:eastAsia="Times New Roman"/>
          <w:color w:val="auto"/>
        </w:rPr>
        <w:br/>
        <w:t xml:space="preserve">- a list of assignees (those who own the rights to the patent) </w:t>
      </w:r>
      <w:r w:rsidRPr="00B92902">
        <w:rPr>
          <w:rFonts w:eastAsia="Times New Roman"/>
          <w:color w:val="auto"/>
        </w:rPr>
        <w:br/>
        <w:t xml:space="preserve">- and a list of inventors </w:t>
      </w:r>
      <w:r w:rsidR="00B92902">
        <w:rPr>
          <w:rFonts w:eastAsia="Times New Roman"/>
          <w:color w:val="auto"/>
        </w:rPr>
        <w:t>(</w:t>
      </w:r>
      <w:r w:rsidRPr="00B92902">
        <w:rPr>
          <w:rFonts w:eastAsia="Times New Roman"/>
          <w:color w:val="auto"/>
        </w:rPr>
        <w:t xml:space="preserve">those who contributed to the innovation itself — each with an associated company and location) </w:t>
      </w:r>
      <w:r w:rsidRPr="00B92902">
        <w:rPr>
          <w:rFonts w:eastAsia="Times New Roman"/>
          <w:color w:val="auto"/>
        </w:rPr>
        <w:br/>
        <w:t xml:space="preserve">- Additionally, every patent contains a number of </w:t>
      </w:r>
      <w:proofErr w:type="gramStart"/>
      <w:r w:rsidRPr="00B92902">
        <w:rPr>
          <w:rFonts w:eastAsia="Times New Roman"/>
          <w:color w:val="auto"/>
        </w:rPr>
        <w:t>citations(</w:t>
      </w:r>
      <w:proofErr w:type="gramEnd"/>
      <w:r w:rsidRPr="00B92902">
        <w:rPr>
          <w:rFonts w:eastAsia="Times New Roman"/>
          <w:color w:val="auto"/>
        </w:rPr>
        <w:t xml:space="preserve"> the amount of new innovations built off of this patent). </w:t>
      </w:r>
      <w:r w:rsidRPr="00B92902">
        <w:rPr>
          <w:rFonts w:eastAsia="Times New Roman"/>
          <w:color w:val="auto"/>
        </w:rPr>
        <w:br/>
      </w:r>
      <w:r w:rsidRPr="00B92902">
        <w:rPr>
          <w:rFonts w:eastAsia="Times New Roman"/>
          <w:color w:val="auto"/>
        </w:rPr>
        <w:br/>
        <w:t>By aggregating the number of patents assigned and patents invented with their associated citations, two scores were generated that indicate innovative development: Patents</w:t>
      </w:r>
      <w:r w:rsidR="0020712F">
        <w:rPr>
          <w:rFonts w:eastAsia="Times New Roman"/>
          <w:color w:val="auto"/>
        </w:rPr>
        <w:t xml:space="preserve"> Assigned and Patents Invented.</w:t>
      </w:r>
    </w:p>
    <w:p w:rsidR="0020712F" w:rsidRPr="0020712F" w:rsidRDefault="0020712F" w:rsidP="0020712F"/>
    <w:p w:rsidR="002F170B" w:rsidRDefault="00F52A93" w:rsidP="00B92902">
      <w:pPr>
        <w:pStyle w:val="Heading3"/>
        <w:numPr>
          <w:ilvl w:val="0"/>
          <w:numId w:val="5"/>
        </w:numPr>
        <w:rPr>
          <w:rFonts w:eastAsia="Times New Roman"/>
        </w:rPr>
      </w:pPr>
      <w:r w:rsidRPr="00B92902">
        <w:rPr>
          <w:b/>
        </w:rPr>
        <w:t>Regulatory Factors:</w:t>
      </w:r>
      <w:r w:rsidRPr="00F52A93">
        <w:t xml:space="preserve"> </w:t>
      </w:r>
      <w:r w:rsidRPr="00B92902">
        <w:rPr>
          <w:rFonts w:eastAsia="Times New Roman"/>
          <w:color w:val="auto"/>
        </w:rPr>
        <w:t xml:space="preserve">The Regulatory Factor data includes three aspects. </w:t>
      </w:r>
    </w:p>
    <w:p w:rsidR="002F170B" w:rsidRDefault="002F170B" w:rsidP="002F170B">
      <w:pPr>
        <w:pStyle w:val="ListParagraph"/>
        <w:rPr>
          <w:rFonts w:ascii="Calibri" w:eastAsia="Times New Roman" w:hAnsi="Calibri" w:cs="Calibri"/>
          <w:color w:val="000000"/>
        </w:rPr>
      </w:pPr>
      <w:r>
        <w:rPr>
          <w:rFonts w:ascii="Calibri" w:eastAsia="Times New Roman" w:hAnsi="Calibri" w:cs="Calibri"/>
          <w:color w:val="000000"/>
        </w:rPr>
        <w:t>These are as follows:</w:t>
      </w:r>
    </w:p>
    <w:p w:rsidR="00F52A93" w:rsidRPr="002F170B" w:rsidRDefault="00F52A93" w:rsidP="002F170B">
      <w:pPr>
        <w:pStyle w:val="ListParagraph"/>
        <w:rPr>
          <w:rFonts w:ascii="Calibri" w:eastAsia="Times New Roman" w:hAnsi="Calibri" w:cs="Calibri"/>
          <w:b/>
          <w:color w:val="000000"/>
        </w:rPr>
      </w:pPr>
      <w:r w:rsidRPr="002F170B">
        <w:rPr>
          <w:rFonts w:ascii="Calibri" w:eastAsia="Times New Roman" w:hAnsi="Calibri" w:cs="Calibri"/>
          <w:color w:val="000000"/>
        </w:rPr>
        <w:t>- A federal award</w:t>
      </w:r>
      <w:r w:rsidR="002F170B">
        <w:rPr>
          <w:rFonts w:ascii="Calibri" w:eastAsia="Times New Roman" w:hAnsi="Calibri" w:cs="Calibri"/>
          <w:color w:val="000000"/>
        </w:rPr>
        <w:t xml:space="preserve"> data: This</w:t>
      </w:r>
      <w:r w:rsidRPr="002F170B">
        <w:rPr>
          <w:rFonts w:ascii="Calibri" w:eastAsia="Times New Roman" w:hAnsi="Calibri" w:cs="Calibri"/>
          <w:color w:val="000000"/>
        </w:rPr>
        <w:t xml:space="preserve"> can be defined as money the federal government has promised to pay to companies, organizations, government entities or individuals. This is done by contracts, </w:t>
      </w:r>
      <w:r w:rsidRPr="002F170B">
        <w:rPr>
          <w:rFonts w:ascii="Calibri" w:eastAsia="Times New Roman" w:hAnsi="Calibri" w:cs="Calibri"/>
          <w:color w:val="000000"/>
        </w:rPr>
        <w:lastRenderedPageBreak/>
        <w:t xml:space="preserve">grants, loans or direct payments. </w:t>
      </w:r>
      <w:r w:rsidRPr="002F170B">
        <w:rPr>
          <w:rFonts w:ascii="Calibri" w:eastAsia="Times New Roman" w:hAnsi="Calibri" w:cs="Calibri"/>
          <w:b/>
          <w:color w:val="000000"/>
        </w:rPr>
        <w:t>Federal awards dat</w:t>
      </w:r>
      <w:r w:rsidR="002F170B">
        <w:rPr>
          <w:rFonts w:ascii="Calibri" w:eastAsia="Times New Roman" w:hAnsi="Calibri" w:cs="Calibri"/>
          <w:b/>
          <w:color w:val="000000"/>
        </w:rPr>
        <w:t>a are available, with each year</w:t>
      </w:r>
      <w:r w:rsidRPr="002F170B">
        <w:rPr>
          <w:rFonts w:ascii="Calibri" w:eastAsia="Times New Roman" w:hAnsi="Calibri" w:cs="Calibri"/>
          <w:b/>
          <w:color w:val="000000"/>
        </w:rPr>
        <w:t xml:space="preserve"> having millions of awards. Each award has 260 features </w:t>
      </w:r>
      <w:r w:rsidRPr="002F170B">
        <w:rPr>
          <w:rFonts w:ascii="Calibri" w:eastAsia="Times New Roman" w:hAnsi="Calibri" w:cs="Calibri"/>
          <w:color w:val="000000"/>
        </w:rPr>
        <w:t xml:space="preserve">ranging from funding agency, federal obligation, to recipient, and performance center, and location. </w:t>
      </w:r>
      <w:r w:rsidRPr="002F170B">
        <w:rPr>
          <w:rFonts w:ascii="Calibri" w:eastAsia="Times New Roman" w:hAnsi="Calibri" w:cs="Calibri"/>
          <w:b/>
          <w:color w:val="000000"/>
        </w:rPr>
        <w:t>So, each year’s data will be aggregated to average amount of federal obligation and total number of awards based on recipient city and primary place of performance.</w:t>
      </w:r>
      <w:r w:rsidRPr="002F170B">
        <w:rPr>
          <w:rFonts w:ascii="Calibri" w:eastAsia="Times New Roman" w:hAnsi="Calibri" w:cs="Calibri"/>
          <w:color w:val="000000"/>
        </w:rPr>
        <w:t xml:space="preserve"> The average amount will be used instead of the total amount of federal obligation to account for the large variation in the sizes of cities being analyzed.</w:t>
      </w:r>
      <w:r w:rsidRPr="002F170B">
        <w:rPr>
          <w:rFonts w:ascii="Calibri" w:eastAsia="Times New Roman" w:hAnsi="Calibri" w:cs="Calibri"/>
          <w:color w:val="000000"/>
        </w:rPr>
        <w:br/>
      </w:r>
      <w:r w:rsidRPr="002F170B">
        <w:rPr>
          <w:rFonts w:ascii="Calibri" w:eastAsia="Times New Roman" w:hAnsi="Calibri" w:cs="Calibri"/>
          <w:color w:val="000000"/>
        </w:rPr>
        <w:br/>
        <w:t>- Additionally</w:t>
      </w:r>
      <w:r w:rsidR="002F170B">
        <w:rPr>
          <w:rFonts w:ascii="Calibri" w:eastAsia="Times New Roman" w:hAnsi="Calibri" w:cs="Calibri"/>
          <w:color w:val="000000"/>
        </w:rPr>
        <w:t>,</w:t>
      </w:r>
      <w:r w:rsidRPr="002F170B">
        <w:rPr>
          <w:rFonts w:ascii="Calibri" w:eastAsia="Times New Roman" w:hAnsi="Calibri" w:cs="Calibri"/>
          <w:color w:val="000000"/>
        </w:rPr>
        <w:t xml:space="preserve"> the Small Business Innovation Research (SBIR) program will be investigated as well. The SBIR program is a federal funding program that enables small businesses to get financial awards from federal agencies' R&amp;D budgets helping thousands of small businesses with over $100 million awarded every year since 1982. </w:t>
      </w:r>
      <w:r w:rsidRPr="002F170B">
        <w:rPr>
          <w:rFonts w:ascii="Calibri" w:eastAsia="Times New Roman" w:hAnsi="Calibri" w:cs="Calibri"/>
          <w:b/>
          <w:color w:val="000000"/>
        </w:rPr>
        <w:t xml:space="preserve">For the SBIR program, data </w:t>
      </w:r>
      <w:r w:rsidR="002F170B">
        <w:rPr>
          <w:rFonts w:ascii="Calibri" w:eastAsia="Times New Roman" w:hAnsi="Calibri" w:cs="Calibri"/>
          <w:b/>
          <w:color w:val="000000"/>
        </w:rPr>
        <w:t>is</w:t>
      </w:r>
      <w:r w:rsidRPr="002F170B">
        <w:rPr>
          <w:rFonts w:ascii="Calibri" w:eastAsia="Times New Roman" w:hAnsi="Calibri" w:cs="Calibri"/>
          <w:b/>
          <w:color w:val="000000"/>
        </w:rPr>
        <w:t xml:space="preserve"> available from 1983 to 2019 with an average of six thousand awards each year and each award containing general information of each business including its location, the amount of award the business receives, its funding agency and topic/field for each awarded project. The average amount of funding per business received and number of businesses awarded were calculated for each city in </w:t>
      </w:r>
      <w:r w:rsidR="002F170B">
        <w:rPr>
          <w:rFonts w:ascii="Calibri" w:eastAsia="Times New Roman" w:hAnsi="Calibri" w:cs="Calibri"/>
          <w:b/>
          <w:color w:val="000000"/>
        </w:rPr>
        <w:t>the</w:t>
      </w:r>
      <w:r w:rsidRPr="002F170B">
        <w:rPr>
          <w:rFonts w:ascii="Calibri" w:eastAsia="Times New Roman" w:hAnsi="Calibri" w:cs="Calibri"/>
          <w:b/>
          <w:color w:val="000000"/>
        </w:rPr>
        <w:t xml:space="preserve"> model. The goal is to measure if this program has encouraged innovation within cities.</w:t>
      </w:r>
      <w:r w:rsidRPr="002F170B">
        <w:rPr>
          <w:rFonts w:ascii="Calibri" w:eastAsia="Times New Roman" w:hAnsi="Calibri" w:cs="Calibri"/>
          <w:b/>
          <w:color w:val="000000"/>
        </w:rPr>
        <w:br/>
      </w:r>
      <w:r w:rsidRPr="002F170B">
        <w:rPr>
          <w:rFonts w:ascii="Calibri" w:eastAsia="Times New Roman" w:hAnsi="Calibri" w:cs="Calibri"/>
          <w:color w:val="000000"/>
        </w:rPr>
        <w:br/>
        <w:t>-The Empowerment Zone Initiative is a tax incentive and public funding program initiated by the US Department of Housing and Urban Development in 1994 that intended to revitalize economically distressed areas</w:t>
      </w:r>
      <w:r w:rsidRPr="002F170B">
        <w:rPr>
          <w:rFonts w:ascii="Calibri" w:eastAsia="Times New Roman" w:hAnsi="Calibri" w:cs="Calibri"/>
          <w:b/>
          <w:color w:val="000000"/>
        </w:rPr>
        <w:t>. Empowerment Zone data are available at city level and included in our model to see if these zones witnessed transformations into innovation hubs. For these empowerment zones, a binary variable was put in place to indicate if the city federal assistance.</w:t>
      </w:r>
    </w:p>
    <w:p w:rsidR="002F170B" w:rsidRPr="002F170B" w:rsidRDefault="002F170B" w:rsidP="002F170B">
      <w:pPr>
        <w:pStyle w:val="ListParagraph"/>
        <w:rPr>
          <w:rFonts w:ascii="Calibri" w:eastAsia="Times New Roman" w:hAnsi="Calibri" w:cs="Calibri"/>
          <w:color w:val="000000"/>
        </w:rPr>
      </w:pPr>
    </w:p>
    <w:p w:rsidR="00F52A93" w:rsidRDefault="002F170B" w:rsidP="00F52A93">
      <w:pPr>
        <w:pStyle w:val="Heading3"/>
        <w:numPr>
          <w:ilvl w:val="0"/>
          <w:numId w:val="5"/>
        </w:numPr>
        <w:rPr>
          <w:rFonts w:eastAsia="Times New Roman"/>
          <w:color w:val="auto"/>
        </w:rPr>
      </w:pPr>
      <w:r w:rsidRPr="002F170B">
        <w:rPr>
          <w:b/>
          <w:color w:val="1F4E79" w:themeColor="accent1" w:themeShade="80"/>
        </w:rPr>
        <w:lastRenderedPageBreak/>
        <w:t xml:space="preserve">City Diversity Data: </w:t>
      </w:r>
      <w:r w:rsidRPr="00B92902">
        <w:rPr>
          <w:rFonts w:eastAsia="Times New Roman"/>
          <w:color w:val="auto"/>
        </w:rPr>
        <w:t>Demographic and household data can be collected decennially going back to 1970 from the Census’ IPUMS National Historic GIS at the place levels for the entire U.S. Features of interest include total population, median household income, education, and nativity.</w:t>
      </w:r>
      <w:r w:rsidRPr="00B92902">
        <w:rPr>
          <w:rFonts w:eastAsia="Times New Roman"/>
          <w:color w:val="auto"/>
        </w:rPr>
        <w:br/>
      </w:r>
      <w:r w:rsidRPr="00B92902">
        <w:rPr>
          <w:rFonts w:eastAsia="Times New Roman"/>
          <w:color w:val="auto"/>
        </w:rPr>
        <w:br/>
        <w:t>In order to determine how many people fit Richard Florida’s creative class, we collected US Economic 5 Year Data from the Census API. Years available were 1997, 2002, 2007, and 2012. Data collected includes the number of employers and employees per each job title as described by North American Industry Classification System (NAICS) per Census designated place. Richard Florida describes the creative class as those in academia, arts, and other professions requiring an advanced degree. We mapped the job titles to create, or not, and summed the number of creative and non-creative employees per city in order to determine the size of each city’s creative class. Processing the US Economic Census data resulted in five features including the number of ‘creative’ and ‘regular’ employees and employers, and a unique city identifier.</w:t>
      </w:r>
    </w:p>
    <w:p w:rsidR="00A65C85" w:rsidRDefault="00A65C85" w:rsidP="00A65C85">
      <w:pPr>
        <w:pStyle w:val="Heading1"/>
        <w:numPr>
          <w:ilvl w:val="0"/>
          <w:numId w:val="1"/>
        </w:numPr>
      </w:pPr>
      <w:r>
        <w:t>Data Aggregation</w:t>
      </w:r>
    </w:p>
    <w:p w:rsidR="00A65C85" w:rsidRDefault="00A65C85" w:rsidP="00A65C85">
      <w:pPr>
        <w:ind w:left="360"/>
      </w:pPr>
      <w:r w:rsidRPr="00A65C85">
        <w:t xml:space="preserve">A unique code per each city was designed as such, city-state (ex. </w:t>
      </w:r>
      <w:proofErr w:type="spellStart"/>
      <w:r w:rsidRPr="00A65C85">
        <w:t>sanjose_ca</w:t>
      </w:r>
      <w:proofErr w:type="spellEnd"/>
      <w:r w:rsidRPr="00A65C85">
        <w:t>), among all datasets in order to join them. We then performed a left join on of our collected and processed data onto the patent data in order to keep as many of the original 1000 top paten</w:t>
      </w:r>
      <w:r>
        <w:t>t producing cities.</w:t>
      </w:r>
    </w:p>
    <w:p w:rsidR="00A65C85" w:rsidRDefault="00A65C85" w:rsidP="00A65C85">
      <w:pPr>
        <w:pStyle w:val="Heading1"/>
        <w:numPr>
          <w:ilvl w:val="0"/>
          <w:numId w:val="1"/>
        </w:numPr>
      </w:pPr>
      <w:r>
        <w:t>Model Selection</w:t>
      </w:r>
    </w:p>
    <w:p w:rsidR="00A65C85" w:rsidRDefault="00A65C85" w:rsidP="00A65C85">
      <w:r>
        <w:t>"Our analysis consists of creating a classification and using coefficients to understand each feature’s influence on the classes. To do this we applied a logistic regression to our given data, splitting our data into two classes. We defined the split at the 75th percentile of patent production and can tentatively say the top 25% of cities for each score constitute innovative centers. What this experiment hopes to do is to identify features, and subsequently policy decisions, the bottom 75% of cities might hope to enact for greater patent output. Multiple model scoring metrics were used to determine the model performance including log loss, area unde</w:t>
      </w:r>
      <w:r>
        <w:t xml:space="preserve">r curve (AUC), confusion matrix </w:t>
      </w:r>
      <w:r>
        <w:t>and precision-recall. After calculating the scores per feature per year, scores were formatted into a time series across our years of interest to highlight feature influence changes over time.</w:t>
      </w:r>
    </w:p>
    <w:p w:rsidR="00A65C85" w:rsidRDefault="00A65C85" w:rsidP="00A65C85">
      <w:r>
        <w:t xml:space="preserve">A random forest regression will be used to confirm and add a measure of robustness to the feature importance results from the logistic regression. Outside of the impurity scoring feature, importance given by sci-kit learn, we calculated the model score using a method that permuted the features and dropped a feature over multiple iterations. </w:t>
      </w:r>
    </w:p>
    <w:p w:rsidR="00A65C85" w:rsidRDefault="00A65C85" w:rsidP="00A65C85"/>
    <w:p w:rsidR="00080FA8" w:rsidRDefault="00A65C85" w:rsidP="00A65C85">
      <w:r>
        <w:t>As a result, we are able to determine each feature’s added value to the model."</w:t>
      </w:r>
      <w:r>
        <w:tab/>
      </w:r>
    </w:p>
    <w:p w:rsidR="00A65C85" w:rsidRDefault="00080FA8" w:rsidP="00080FA8">
      <w:pPr>
        <w:pStyle w:val="Heading1"/>
        <w:numPr>
          <w:ilvl w:val="0"/>
          <w:numId w:val="1"/>
        </w:numPr>
      </w:pPr>
      <w:r>
        <w:lastRenderedPageBreak/>
        <w:t>Limitations</w:t>
      </w:r>
    </w:p>
    <w:p w:rsidR="00080FA8" w:rsidRPr="00080FA8" w:rsidRDefault="00080FA8" w:rsidP="00080FA8">
      <w:pPr>
        <w:spacing w:after="0" w:line="240" w:lineRule="auto"/>
        <w:rPr>
          <w:rFonts w:ascii="Calibri" w:eastAsia="Times New Roman" w:hAnsi="Calibri" w:cs="Calibri"/>
          <w:color w:val="000000"/>
        </w:rPr>
      </w:pPr>
      <w:r w:rsidRPr="00080FA8">
        <w:rPr>
          <w:rFonts w:ascii="Calibri" w:eastAsia="Times New Roman" w:hAnsi="Calibri" w:cs="Calibri"/>
          <w:color w:val="000000"/>
        </w:rPr>
        <w:t>A major limitation faced by this experiment was the decline in number of municipalities through various stages of this study. With the original top 1,000 patent producing cities, the retention rate after all the joins with other datasets was found to be between 55%-80%. One reason this occurred was due to Patents View irregular use of geographies within the same location feature. For instance, New York City, NY and Woodlawn, IL -- a neighborhood within Chicago -- were both listed within the top 1,000 patent producing cities. Finding neighborhood level data across various data sources was not possible and, as a result, neighborhoods, towns, and small</w:t>
      </w:r>
      <w:r w:rsidRPr="00080FA8">
        <w:rPr>
          <w:rFonts w:ascii="Calibri" w:eastAsia="Times New Roman" w:hAnsi="Calibri" w:cs="Calibri"/>
          <w:color w:val="000000"/>
        </w:rPr>
        <w:br/>
        <w:t>municipalities were mostly dropped. This amount of data reduction allowed for limited model selection, with the random forest and logistic regressions as the best options.</w:t>
      </w:r>
      <w:r w:rsidRPr="00080FA8">
        <w:rPr>
          <w:rFonts w:ascii="Calibri" w:eastAsia="Times New Roman" w:hAnsi="Calibri" w:cs="Calibri"/>
          <w:color w:val="000000"/>
        </w:rPr>
        <w:br/>
        <w:t>External data sets not only limited the number of cities, but also the years of analysis. Patents View data went back to the 1970s, however, between all these external data sources, the window of analysis was shorted to 2001 through 2012. This window allows for the experiment to determine what features are significant to city patent production, but not how these cities became patent producing 'hubs'.</w:t>
      </w:r>
    </w:p>
    <w:p w:rsidR="00080FA8" w:rsidRPr="00080FA8" w:rsidRDefault="00080FA8" w:rsidP="00080FA8"/>
    <w:sectPr w:rsidR="00080FA8" w:rsidRPr="00080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6154"/>
    <w:multiLevelType w:val="hybridMultilevel"/>
    <w:tmpl w:val="26C80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2599B"/>
    <w:multiLevelType w:val="hybridMultilevel"/>
    <w:tmpl w:val="9E464B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F00BF"/>
    <w:multiLevelType w:val="hybridMultilevel"/>
    <w:tmpl w:val="3A5EA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3B0307"/>
    <w:multiLevelType w:val="hybridMultilevel"/>
    <w:tmpl w:val="48F8B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02402C"/>
    <w:multiLevelType w:val="hybridMultilevel"/>
    <w:tmpl w:val="224AE15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A93"/>
    <w:rsid w:val="00080FA8"/>
    <w:rsid w:val="0020712F"/>
    <w:rsid w:val="002F170B"/>
    <w:rsid w:val="0051157F"/>
    <w:rsid w:val="00A65C85"/>
    <w:rsid w:val="00B92902"/>
    <w:rsid w:val="00F52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CD577-AB13-434E-B3FC-254C4F35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2A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A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2A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A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A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2A9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52A93"/>
    <w:pPr>
      <w:ind w:left="720"/>
      <w:contextualSpacing/>
    </w:pPr>
  </w:style>
  <w:style w:type="character" w:customStyle="1" w:styleId="Heading2Char">
    <w:name w:val="Heading 2 Char"/>
    <w:basedOn w:val="DefaultParagraphFont"/>
    <w:link w:val="Heading2"/>
    <w:uiPriority w:val="9"/>
    <w:rsid w:val="00F52A9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2A9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525349">
      <w:bodyDiv w:val="1"/>
      <w:marLeft w:val="0"/>
      <w:marRight w:val="0"/>
      <w:marTop w:val="0"/>
      <w:marBottom w:val="0"/>
      <w:divBdr>
        <w:top w:val="none" w:sz="0" w:space="0" w:color="auto"/>
        <w:left w:val="none" w:sz="0" w:space="0" w:color="auto"/>
        <w:bottom w:val="none" w:sz="0" w:space="0" w:color="auto"/>
        <w:right w:val="none" w:sz="0" w:space="0" w:color="auto"/>
      </w:divBdr>
    </w:div>
    <w:div w:id="488442140">
      <w:bodyDiv w:val="1"/>
      <w:marLeft w:val="0"/>
      <w:marRight w:val="0"/>
      <w:marTop w:val="0"/>
      <w:marBottom w:val="0"/>
      <w:divBdr>
        <w:top w:val="none" w:sz="0" w:space="0" w:color="auto"/>
        <w:left w:val="none" w:sz="0" w:space="0" w:color="auto"/>
        <w:bottom w:val="none" w:sz="0" w:space="0" w:color="auto"/>
        <w:right w:val="none" w:sz="0" w:space="0" w:color="auto"/>
      </w:divBdr>
    </w:div>
    <w:div w:id="767309864">
      <w:bodyDiv w:val="1"/>
      <w:marLeft w:val="0"/>
      <w:marRight w:val="0"/>
      <w:marTop w:val="0"/>
      <w:marBottom w:val="0"/>
      <w:divBdr>
        <w:top w:val="none" w:sz="0" w:space="0" w:color="auto"/>
        <w:left w:val="none" w:sz="0" w:space="0" w:color="auto"/>
        <w:bottom w:val="none" w:sz="0" w:space="0" w:color="auto"/>
        <w:right w:val="none" w:sz="0" w:space="0" w:color="auto"/>
      </w:divBdr>
    </w:div>
    <w:div w:id="835612910">
      <w:bodyDiv w:val="1"/>
      <w:marLeft w:val="0"/>
      <w:marRight w:val="0"/>
      <w:marTop w:val="0"/>
      <w:marBottom w:val="0"/>
      <w:divBdr>
        <w:top w:val="none" w:sz="0" w:space="0" w:color="auto"/>
        <w:left w:val="none" w:sz="0" w:space="0" w:color="auto"/>
        <w:bottom w:val="none" w:sz="0" w:space="0" w:color="auto"/>
        <w:right w:val="none" w:sz="0" w:space="0" w:color="auto"/>
      </w:divBdr>
    </w:div>
    <w:div w:id="865212329">
      <w:bodyDiv w:val="1"/>
      <w:marLeft w:val="0"/>
      <w:marRight w:val="0"/>
      <w:marTop w:val="0"/>
      <w:marBottom w:val="0"/>
      <w:divBdr>
        <w:top w:val="none" w:sz="0" w:space="0" w:color="auto"/>
        <w:left w:val="none" w:sz="0" w:space="0" w:color="auto"/>
        <w:bottom w:val="none" w:sz="0" w:space="0" w:color="auto"/>
        <w:right w:val="none" w:sz="0" w:space="0" w:color="auto"/>
      </w:divBdr>
    </w:div>
    <w:div w:id="887761357">
      <w:bodyDiv w:val="1"/>
      <w:marLeft w:val="0"/>
      <w:marRight w:val="0"/>
      <w:marTop w:val="0"/>
      <w:marBottom w:val="0"/>
      <w:divBdr>
        <w:top w:val="none" w:sz="0" w:space="0" w:color="auto"/>
        <w:left w:val="none" w:sz="0" w:space="0" w:color="auto"/>
        <w:bottom w:val="none" w:sz="0" w:space="0" w:color="auto"/>
        <w:right w:val="none" w:sz="0" w:space="0" w:color="auto"/>
      </w:divBdr>
    </w:div>
    <w:div w:id="993490066">
      <w:bodyDiv w:val="1"/>
      <w:marLeft w:val="0"/>
      <w:marRight w:val="0"/>
      <w:marTop w:val="0"/>
      <w:marBottom w:val="0"/>
      <w:divBdr>
        <w:top w:val="none" w:sz="0" w:space="0" w:color="auto"/>
        <w:left w:val="none" w:sz="0" w:space="0" w:color="auto"/>
        <w:bottom w:val="none" w:sz="0" w:space="0" w:color="auto"/>
        <w:right w:val="none" w:sz="0" w:space="0" w:color="auto"/>
      </w:divBdr>
    </w:div>
    <w:div w:id="1539002559">
      <w:bodyDiv w:val="1"/>
      <w:marLeft w:val="0"/>
      <w:marRight w:val="0"/>
      <w:marTop w:val="0"/>
      <w:marBottom w:val="0"/>
      <w:divBdr>
        <w:top w:val="none" w:sz="0" w:space="0" w:color="auto"/>
        <w:left w:val="none" w:sz="0" w:space="0" w:color="auto"/>
        <w:bottom w:val="none" w:sz="0" w:space="0" w:color="auto"/>
        <w:right w:val="none" w:sz="0" w:space="0" w:color="auto"/>
      </w:divBdr>
    </w:div>
    <w:div w:id="1678187231">
      <w:bodyDiv w:val="1"/>
      <w:marLeft w:val="0"/>
      <w:marRight w:val="0"/>
      <w:marTop w:val="0"/>
      <w:marBottom w:val="0"/>
      <w:divBdr>
        <w:top w:val="none" w:sz="0" w:space="0" w:color="auto"/>
        <w:left w:val="none" w:sz="0" w:space="0" w:color="auto"/>
        <w:bottom w:val="none" w:sz="0" w:space="0" w:color="auto"/>
        <w:right w:val="none" w:sz="0" w:space="0" w:color="auto"/>
      </w:divBdr>
    </w:div>
    <w:div w:id="182592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143D0-E65A-4605-A65C-200274606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8176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Kshatri</dc:creator>
  <cp:keywords/>
  <dc:description/>
  <cp:lastModifiedBy>Komal Kshatri</cp:lastModifiedBy>
  <cp:revision>1</cp:revision>
  <dcterms:created xsi:type="dcterms:W3CDTF">2020-03-07T04:35:00Z</dcterms:created>
  <dcterms:modified xsi:type="dcterms:W3CDTF">2020-03-07T06:44:00Z</dcterms:modified>
</cp:coreProperties>
</file>