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 </w:t>
      </w:r>
      <w:r w:rsidDel="00000000" w:rsidR="00000000" w:rsidRPr="00000000">
        <w:rPr>
          <w:rtl w:val="0"/>
        </w:rPr>
        <w:t xml:space="preserve">November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Measuring the benefits of management actions</w:t>
      </w:r>
    </w:p>
    <w:p w:rsidR="00000000" w:rsidDel="00000000" w:rsidP="00000000" w:rsidRDefault="00000000" w:rsidRPr="00000000" w14:paraId="00000004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Monitoring Design Working Group –</w:t>
      </w:r>
    </w:p>
    <w:p w:rsidR="00000000" w:rsidDel="00000000" w:rsidP="00000000" w:rsidRDefault="00000000" w:rsidRPr="00000000" w14:paraId="00000005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Scenarios for Decision Support Tool development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4"/>
        </w:numPr>
        <w:ind w:left="432" w:hanging="43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Scope and Aim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document summarises catchment and land management mitigation scenarios used by WG1 for the development of conceptual Decision Support Tools to guide monitoring design recommendations.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scenarios may be used by WG2 to identify technologies available to undertake the monitoring programme.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ind w:left="432" w:hanging="43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scenario, the following is described: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right="565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Nature of catchment and receiving environment, including key contaminant pathways, and lag/transport times where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right="565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Key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right="565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Key issues (i.e. what values are degraded and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right="565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description and aims of the land mitigation/management 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  <w:sectPr>
          <w:headerReference r:id="rId6" w:type="default"/>
          <w:footerReference r:id="rId7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  <w:t xml:space="preserve">The intent is to develop scenarios that cover a wide enough range of catchment characteristics and mitigation action types to test our thinking with regards to the development of the conceptual DST(s).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7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7639"/>
        <w:gridCol w:w="4866"/>
        <w:gridCol w:w="11"/>
        <w:tblGridChange w:id="0">
          <w:tblGrid>
            <w:gridCol w:w="1555"/>
            <w:gridCol w:w="7639"/>
            <w:gridCol w:w="4866"/>
            <w:gridCol w:w="11"/>
          </w:tblGrid>
        </w:tblGridChange>
      </w:tblGrid>
      <w:tr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3 – Lake mitigation – Glacial lakes</w:t>
            </w:r>
            <w:r w:rsidDel="00000000" w:rsidR="00000000" w:rsidRPr="00000000">
              <w:rPr>
                <w:b w:val="1"/>
                <w:rtl w:val="0"/>
              </w:rPr>
              <w:t xml:space="preserve"> (oligotrophic)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Current state</w:t>
            </w:r>
          </w:p>
        </w:tc>
      </w:tr>
      <w:tr>
        <w:trPr>
          <w:trHeight w:val="1447" w:hRule="atLeast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characteristics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Large freshwater lake. Monomictic, naturally oligotrophic, low phytoplankton, very high visual clarity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Surface and groundwater inputs /pathways into the lake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Natural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low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from glacial origin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Mainly natural catchments, some pressures from local urban exp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ansion and intensification of pastoral land use in headwater catchments (close to streams and lake)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Values 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Ecological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Naturally oligotrophic, low TLI, high clarity. Naturally supports healthy macrophytes, shellfish (kakahi) and fish.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Public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Primary contact, swimming, waterskiing etc. in lake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Recreational fishing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internationally valued trout fishery, supported by natural spawning in tributaries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Mahinga Kai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Eeling, koura and kakahi in stream network and lake but often disconnect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 due to dams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issues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Invasive macrophytes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Lagarosiphon major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Elodea canadensis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Invasive algae (lake snot,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Cyclotella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Danger of increased eutrophication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Objectives of mitigation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quo; no increase in catchment nutrient loads, maintain status quo of trophic state, avoid long-term deterioration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Mitigations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Control of invasives –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long-term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weed removal by NIWA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Riparian restoration - protection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restoration of riparian land around streams and lakes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management practices for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pastoral catchment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Localised pressures from urban settlements: education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questions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Invasives: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Status monitoring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Water quality: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Avoid long-term deterioration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scales of response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long-term monitoring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ottom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water DO, low chlorophyll, low cyanobacteria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high clarity, may have high reflectance (enhanced blue colour) from glacial flour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Site location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Throughout water column, sediments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Monthly monitoring (water 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olumn), 5-yearly bottom sediments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Issues: monitoring very low levels of PO4, TP for detection of change (clarity and chlorophyll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may be more reliable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Methods/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minimum bottom DO critical indicator. Consider development of methods for low-level phosphorus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Desire to  maintain current trophic status, i.e., no further deterioration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 existing invasive weedbeds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407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8220"/>
        <w:gridCol w:w="4285"/>
        <w:gridCol w:w="11"/>
        <w:tblGridChange w:id="0">
          <w:tblGrid>
            <w:gridCol w:w="1555"/>
            <w:gridCol w:w="8220"/>
            <w:gridCol w:w="4285"/>
            <w:gridCol w:w="11"/>
          </w:tblGrid>
        </w:tblGridChange>
      </w:tblGrid>
      <w:tr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3 – Lake mitigation  - Smaller glacial lakes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Current state</w:t>
            </w:r>
          </w:p>
        </w:tc>
      </w:tr>
      <w:tr>
        <w:trPr>
          <w:trHeight w:val="1035" w:hRule="atLeast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characteristics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Mid-size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freshwater lake. Monomictic, high phytoplankton, blooms (cyanobacteria, dinofa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gellates like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Ceratium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reduced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visual clarity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be multiple 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urface and groundwater inputs /pathways into the lake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had been modified in various ways, physically and chemically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Pastoral grazing is extensive in catchment; long-term pressure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Emerging pressure of increased human settlement, vineyards in some instances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Values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Ecological health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Naturally oligo-meso-trophic, elevated TLI, reduced clarity. Naturally supports healthy macrophytes, shellfish (kakahi) and fish. 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Public health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Primary contact, swimming, waterskiing, etc. in lake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Recreational fishing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valued trout fishery, may be stocked by F&amp;G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Mahinga Kai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Eeling, koura and kakahi in stream network and lake but often disconnected due to dams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issues</w:t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Elevated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TLI, reduced visual clarity over last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 years, sustained anoxia (&gt;50 years) in bottom wat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ers during stratification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Elevated or 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ising N and P concentrations in both lake water column and inflow streams.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Cyanobacteria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algae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blooms and associated effects/concerns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contact recreation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Invasive zooplankton (although may be associated with reduction in trophic state)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ake: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hosphorus inactivation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 catchment: Regional plan/ limit-setting process led to FEP/compulsory development of FEPs and implementation of BMPs. Full implementation over 10 year period (started 5 years ago)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Stated objectives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e.g., 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40% reduction in N inputs into lake from both groundwater and surface water. Relatively detailed information is available re. baseline and future 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reductions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at farm/enterprise scale.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questions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Restoration monitoring:  post restoration activities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P, N, DO, macrophytes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Site location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Throughout water column, sediments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Nutrients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term (monthly) – measurements in the water column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term (days) – monitoring of flocculation (sediment traps + visual survey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phosphorus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+ 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larity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Long term (every 5 years) – monitoring of P trends in sediment – is P re-released?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Biota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LakeSP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and zooplankton monitoring (e.g., rotifer TLI)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– once a year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Methods/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 negative effects: short term acute effects, long-term chemical legacies in biota and sediments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Reduced sustainable trophic level, reduced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incidence of blooms, recovery of DO in bottom waters throughout 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407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8220"/>
        <w:gridCol w:w="4285"/>
        <w:gridCol w:w="11"/>
        <w:tblGridChange w:id="0">
          <w:tblGrid>
            <w:gridCol w:w="1555"/>
            <w:gridCol w:w="8220"/>
            <w:gridCol w:w="4285"/>
            <w:gridCol w:w="11"/>
          </w:tblGrid>
        </w:tblGridChange>
      </w:tblGrid>
      <w:tr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3 – Lake mitigation – Volcanic lakes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Current state</w:t>
            </w:r>
          </w:p>
        </w:tc>
      </w:tr>
      <w:tr>
        <w:trPr>
          <w:trHeight w:val="1034" w:hRule="atLeast"/>
        </w:trP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characteristics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Medium/large freshwater lakes. Polymictic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nd monomictic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range of trophic states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cyanobacteria blooms in several lakes. Loss of DO in bottom waters of monomictic lakes over ~50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Surface and groundwater inputs /pathways into the lake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Natural/ geo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logically-derived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elevated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 levels, aquifers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progressively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enriched in N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Intensively grazed in many catchments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&gt;50% in some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catchments)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Effects of plantation forestry may not be benign, especially at harvest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4" w:hRule="atLeast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Values 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Ecological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Variable,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impacted by eutrophication, invasive macrophytes, catfish incursion (Rotorua/Rotoiti)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Public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Cyanobacteria health warnings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Recreational fishing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Internationally recognised trout fisher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in some lakes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Mahinga Kai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Reactivation of inter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 in cultural havests (koura), also relevant: kakahi, kokopu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issues</w:t>
            </w:r>
          </w:p>
        </w:tc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Rising N and P concentrations in both lake water column and inflow streams.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Rising N trend in groundwater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Cyanobacteria blooms and associated effects/concerns on public health /swimming and fish/shellfish suitability for consumption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Mitigations</w:t>
            </w:r>
          </w:p>
        </w:tc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In-Lake: Phosphorus inactivation, inflow diversion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 catchment: Regional plan/ limit-setting process led to FEP/compulsory development of FEPs and implementation of BMPs. Full implementation over 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year period (started 5 years ago). 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ule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11 (Rotorua)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implementation of rules in regional Water and Land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Stated objectives are a 40% reduction in N inputs into lake from both groundwater and surface water. Relatively detailed information is available re. baseline and future N loss at farm/enterprise scale.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Bubble plume destratification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questions</w:t>
            </w:r>
          </w:p>
        </w:tc>
        <w:tc>
          <w:tcPr/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Establish full nutrient balance and quantify fluxes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Evaluate effects of inflow diversions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cultural health monitoring to restoration actions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 of effectiveness of actions designed to be temporary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Loads in and out of the lake/including 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P/N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Water quantity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Sediment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Site location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Throughout water column, sediments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Nutrients</w:t>
            </w:r>
          </w:p>
          <w:p w:rsidR="00000000" w:rsidDel="00000000" w:rsidP="00000000" w:rsidRDefault="00000000" w:rsidRPr="00000000" w14:paraId="000000C7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term (monthly) – measurements in the water column</w:t>
            </w:r>
          </w:p>
          <w:p w:rsidR="00000000" w:rsidDel="00000000" w:rsidP="00000000" w:rsidRDefault="00000000" w:rsidRPr="00000000" w14:paraId="000000C8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Shorter term (days) – monitoring of flocculation (sediment traps + visual survey + phosphorus + clarity)</w:t>
            </w:r>
          </w:p>
          <w:p w:rsidR="00000000" w:rsidDel="00000000" w:rsidP="00000000" w:rsidRDefault="00000000" w:rsidRPr="00000000" w14:paraId="000000C9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term (every 5 years) – monitoring of P trends in sediment – is P re-released?</w:t>
            </w:r>
          </w:p>
          <w:p w:rsidR="00000000" w:rsidDel="00000000" w:rsidP="00000000" w:rsidRDefault="00000000" w:rsidRPr="00000000" w14:paraId="000000CA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Biota</w:t>
            </w:r>
          </w:p>
          <w:p w:rsidR="00000000" w:rsidDel="00000000" w:rsidP="00000000" w:rsidRDefault="00000000" w:rsidRPr="00000000" w14:paraId="000000CB">
            <w:pP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LakeSPI and zooplankton monitoring (e.g., rotifer TLI) – once a year</w:t>
            </w:r>
          </w:p>
          <w:p w:rsidR="00000000" w:rsidDel="00000000" w:rsidP="00000000" w:rsidRDefault="00000000" w:rsidRPr="00000000" w14:paraId="000000CC">
            <w:pPr>
              <w:spacing w:after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Cultural health monitoring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Methods/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Issues with Si and Hg interference with nutrients, some inconsistencies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Existing extensive network of real-time monitoring in many of the lakes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Reduced nutrient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levels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, recover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of taonga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biota,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restoring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DO to bottom waters, reduced algal blooms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07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4"/>
        <w:gridCol w:w="3820"/>
        <w:gridCol w:w="3820"/>
        <w:gridCol w:w="4866"/>
        <w:gridCol w:w="11"/>
        <w:tblGridChange w:id="0">
          <w:tblGrid>
            <w:gridCol w:w="1554"/>
            <w:gridCol w:w="3820"/>
            <w:gridCol w:w="3820"/>
            <w:gridCol w:w="4866"/>
            <w:gridCol w:w="11"/>
          </w:tblGrid>
        </w:tblGridChange>
      </w:tblGrid>
      <w:tr>
        <w:tc>
          <w:tcPr>
            <w:gridSpan w:val="5"/>
            <w:shd w:fill="b7dde8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3 – Lake mitigation – Riverine lakes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Current state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characteristics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Medium/large freshwater lakes. Polymictic, highly eutropic/supertrophic, high phytoplankton, 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nobacteria blooms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Surface and groundwater inputs /pathways into the lake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and P loads highly elevated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some cases, wastewater inputs into lakes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Values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Ecological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Generally poor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Public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Not advi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sed for primary contact recreation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Recreational fishing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Some recreation fishing for exotic species (e.g., koi carp)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Mahinga Kai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Taonga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species: longfin and shortfin eel. Kakahi.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issues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Disconnection from 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Cyanobacterial blooms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Deoxygenation despite shallowness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Pest fish, invasive plants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(if present - most of now devegetated)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Historical loss of wetlands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Wind induced resuspension of sediment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Lakes become very shallow from very high rates of sedimentation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Main option: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Flushing flows (get residenc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time below 30 days, resuspend and fl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sediment)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Reduce external load by 50% or more for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effectiveness of in-lake remediation options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Restore macrophyte beds decimated by pest fish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wind resuspension and loss of clarity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Mitigate stock access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Control invasive plants during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remediation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large biomass of benthivorous pest fish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questions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Baseline monitoring   2. Modeling/monitoring of flushing flows  3. Inflow diversion monitoring. 4. Ability to achieve effective pest fish removals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 establish regime flushing regime:</w:t>
              <w:br w:type="textWrapping"/>
              <w:t xml:space="preserve">Loads in and out of the lake/including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P/N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Water quantity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Sediment</w:t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 monitor post restoration: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Macrophyte recovery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Benthos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Pest fish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Site location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Throughout water column, sediments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Establishment: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High frequency year long P/N, water quality, sediment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Post restoration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Annual/twice a year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Methods/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technologies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Real-time monitoring to capture variability from polymictic and eutrophic character of lake. Effective assessment tools for pest fish biomass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Reduced nutrients and sediments, macrophyte cover return, taong species recovery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7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7639"/>
        <w:gridCol w:w="4866"/>
        <w:gridCol w:w="11"/>
        <w:tblGridChange w:id="0">
          <w:tblGrid>
            <w:gridCol w:w="1555"/>
            <w:gridCol w:w="7639"/>
            <w:gridCol w:w="4866"/>
            <w:gridCol w:w="11"/>
          </w:tblGrid>
        </w:tblGridChange>
      </w:tblGrid>
      <w:tr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3 – Lake mitigation - Peat lakes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Current state</w:t>
            </w:r>
          </w:p>
        </w:tc>
      </w:tr>
      <w:tr>
        <w:trPr>
          <w:trHeight w:val="1447" w:hRule="atLeast"/>
        </w:trPr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characteristics</w:t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Small/mid sized freshwater lakes. 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Polymictic, highly eutropic/supertrophic, high phytoplankton 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Dairy pasture, high nutrient loading.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rtl w:val="0"/>
                </w:rPr>
                <w:t xml:space="preserve">https://www.waikato.ac.nz/__data/assets/pdf_file/0010/416845/ERI_Report_94_FINAL.pdf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Values </w:t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Ecological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Generally poor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Public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Recreational fishing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Mahinga Kai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issues</w:t>
            </w:r>
          </w:p>
        </w:tc>
        <w:tc>
          <w:tcPr/>
          <w:p w:rsidR="00000000" w:rsidDel="00000000" w:rsidP="00000000" w:rsidRDefault="00000000" w:rsidRPr="00000000" w14:paraId="00000141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very high levels of nutrients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high levels of microscopic algae (phytoplankton)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high levels of suspended sediment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Ngaroto – high degree of regulation – reversal of water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Mitigations</w:t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Phase 1 – mitigation: 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restoration/riparian replanting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Koi carp (pest fish) control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Phase 2 – restoration after threat mitigation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Geochemical engineering to remove nutrients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questions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Does mitigation work (nutrient balances, koi carp)?  2. Does restoration provide stable nutrient levels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Both phases: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Thermistor chain, bottom DO sensor to monitor anoxic sediments, remote sensing of water colour (green: pre-restoration algae, brown: return to original state)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Additional Phase 1: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of Koi carp control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Additional Phase 2: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Geochemical effects on macrophytes/benthos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Site location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Remote sensing and autonomous sensors: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continuous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Biological monitoring: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biannual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Methods/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Reduced nutrients, reduced koi carp numbers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407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7639"/>
        <w:gridCol w:w="4866"/>
        <w:gridCol w:w="11"/>
        <w:tblGridChange w:id="0">
          <w:tblGrid>
            <w:gridCol w:w="1555"/>
            <w:gridCol w:w="7639"/>
            <w:gridCol w:w="4866"/>
            <w:gridCol w:w="11"/>
          </w:tblGrid>
        </w:tblGridChange>
      </w:tblGrid>
      <w:tr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Scenario 3 – Lake mitigation – Shoreline lakes (Waituna, Forsythe, Onok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, Ellesmere, Wainono lagoon)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Current state</w:t>
            </w:r>
          </w:p>
        </w:tc>
      </w:tr>
      <w:tr>
        <w:trPr>
          <w:trHeight w:val="1447" w:hRule="atLeast"/>
        </w:trPr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Catchment characteristics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Small/mid sized estuarine lakes 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Variable trophic status from mesotrophic  to highly eutrophic. 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</w:rPr>
              <w:drawing>
                <wp:inline distB="0" distT="0" distL="0" distR="0">
                  <wp:extent cx="1127725" cy="1189300"/>
                  <wp:effectExtent b="0" l="0" r="0" t="0"/>
                  <wp:docPr descr="Improving lake to national standard would  have 'severe social and economic'  consequences  Charlie Mitchell 20:16. Aug og 2017  Lake Ellesmere is one of the most polluted lakes in the country.  00000  &quot;.LLKEA,'STJFF  Nearly every dairy farm in the Selwyn district would need to be shut down for  a polluted lake to meet national water quality standards, Environment  Canterbury (ECan) has told the Government. " id="1" name="image1.png"/>
                  <a:graphic>
                    <a:graphicData uri="http://schemas.openxmlformats.org/drawingml/2006/picture">
                      <pic:pic>
                        <pic:nvPicPr>
                          <pic:cNvPr descr="Improving lake to national standard would  have 'severe social and economic'  consequences  Charlie Mitchell 20:16. Aug og 2017  Lake Ellesmere is one of the most polluted lakes in the country.  00000  &quot;.LLKEA,'STJFF  Nearly every dairy farm in the Selwyn district would need to be shut down for  a polluted lake to meet national water quality standards, Environment  Canterbury (ECan) has told the Government. 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25" cy="11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</w:rPr>
              <w:drawing>
                <wp:inline distB="0" distT="0" distL="0" distR="0">
                  <wp:extent cx="3252021" cy="411025"/>
                  <wp:effectExtent b="0" l="0" r="0" t="0"/>
                  <wp:docPr descr="Improving lake to national standard would  have 'severe social and economic'  consequences  Charlie Mitchell 20:16. Aug og 2017  Lake Ellesmere is one of the most polluted lakes in the country.  00000  &quot;.LLKEA,'STJFF  Nearly every dairy farm in the Selwyn district would need to be shut down for  a polluted lake to meet national water quality standards, Environment  Canterbury (ECan) has told the Government. " id="3" name="image2.png"/>
                  <a:graphic>
                    <a:graphicData uri="http://schemas.openxmlformats.org/drawingml/2006/picture">
                      <pic:pic>
                        <pic:nvPicPr>
                          <pic:cNvPr descr="Improving lake to national standard would  have 'severe social and economic'  consequences  Charlie Mitchell 20:16. Aug og 2017  Lake Ellesmere is one of the most polluted lakes in the country.  00000  &quot;.LLKEA,'STJFF  Nearly every dairy farm in the Selwyn district would need to be shut down for  a polluted lake to meet national water quality standards, Environment  Canterbury (ECan) has told the Government. 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88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021" cy="41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Values 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Ecological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Generally poor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Public health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Recreational fishing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  <w:rtl w:val="0"/>
              </w:rPr>
              <w:t xml:space="preserve">Mahinga Kai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issues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Rule="auto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rtl w:val="0"/>
              </w:rPr>
              <w:t xml:space="preserve">Dual threats from runoff and reduced inflows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Intensification of agriculture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Drawdown of inflow waters for irrigation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1"/>
              </w:numPr>
              <w:spacing w:after="0" w:lineRule="auto"/>
              <w:ind w:left="540" w:hanging="36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color w:val="444142"/>
                <w:sz w:val="20"/>
                <w:szCs w:val="20"/>
                <w:highlight w:val="white"/>
                <w:rtl w:val="0"/>
              </w:rPr>
              <w:t xml:space="preserve">Climate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1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Mitigations</w:t>
            </w:r>
          </w:p>
        </w:tc>
        <w:tc>
          <w:tcPr/>
          <w:p w:rsidR="00000000" w:rsidDel="00000000" w:rsidP="00000000" w:rsidRDefault="00000000" w:rsidRPr="00000000" w14:paraId="0000018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Runoff mitigation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Extended riparian planting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Dredging/ICOLL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Control water extraction by users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Macrophyte restoration 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Outflow management regimes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Monitoring Plan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 questions</w:t>
            </w:r>
          </w:p>
        </w:tc>
        <w:tc>
          <w:tcPr/>
          <w:p w:rsidR="00000000" w:rsidDel="00000000" w:rsidP="00000000" w:rsidRDefault="00000000" w:rsidRPr="00000000" w14:paraId="0000018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Does opening the outflow change water quality (yes in Waituna, no in Ellesmere - see Schallenberg et al.)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Can macrophytes be restored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Automated: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Salinity, temperature (detecting temporary stratification which can lead to anoxia)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Direct effects: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Macrophyte restoration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Additional benefits: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monitoring for eels/migratory fish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Site location</w:t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Methods/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Restored macrophyte beds, reduced nutrient loads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731510" cy="93599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35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NZ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ind w:left="720" w:hanging="36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993"/>
      </w:tabs>
      <w:spacing w:after="120" w:before="200" w:lineRule="auto"/>
      <w:ind w:left="1440" w:hanging="360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pos="1134"/>
      </w:tabs>
      <w:spacing w:before="120" w:lineRule="auto"/>
      <w:ind w:left="2160" w:hanging="360"/>
    </w:pPr>
    <w:rPr>
      <w:rFonts w:ascii="Times New Roman" w:cs="Times New Roman" w:eastAsia="Times New Roman" w:hAnsi="Times New Roman"/>
      <w:i w:val="1"/>
      <w:u w:val="single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Rule="auto"/>
      <w:ind w:left="4320" w:hanging="360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Cambria" w:cs="Cambria" w:eastAsia="Cambria" w:hAnsi="Cambria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waikato.ac.nz/__data/assets/pdf_file/0010/416845/ERI_Report_94_FINAL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