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8.0.0 -->
  <w:body>
    <w:p>
      <w:pPr>
        <w:pStyle w:val="Heading1"/>
        <w:keepNext w:val="0"/>
        <w:spacing w:before="0" w:after="322"/>
        <w:outlineLvl w:val="9"/>
        <w:rPr>
          <w:rFonts w:ascii="宋体" w:eastAsia="宋体" w:hAnsi="宋体" w:cs="宋体"/>
          <w:b/>
          <w:bCs/>
          <w:sz w:val="48"/>
          <w:szCs w:val="48"/>
        </w:rPr>
      </w:pPr>
      <w:r>
        <w:rPr>
          <w:rFonts w:ascii="宋体" w:eastAsia="宋体" w:hAnsi="宋体" w:cs="宋体"/>
          <w:i w:val="0"/>
        </w:rPr>
        <w:t>油罐车车云协同防侧翻系统答辩会议纪要</w:t>
      </w:r>
    </w:p>
    <w:p>
      <w:pPr>
        <w:numPr>
          <w:ilvl w:val="0"/>
          <w:numId w:val="1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会议主题</w:t>
      </w:r>
      <w:r>
        <w:rPr>
          <w:rFonts w:ascii="宋体" w:eastAsia="宋体" w:hAnsi="宋体" w:cs="宋体"/>
        </w:rPr>
        <w:t>：油罐车车云协同防侧翻控制策略及液体动力学建模研究答辩</w:t>
      </w:r>
    </w:p>
    <w:p>
      <w:pPr>
        <w:numPr>
          <w:ilvl w:val="0"/>
          <w:numId w:val="1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主要议题</w:t>
      </w:r>
      <w:r>
        <w:rPr>
          <w:rFonts w:ascii="宋体" w:eastAsia="宋体" w:hAnsi="宋体" w:cs="宋体"/>
        </w:rPr>
        <w:t>：车云协同任务分配、云端预测时延与稳定性、液体晃动动力学建模与验证、创新点界定</w:t>
      </w:r>
    </w:p>
    <w:p>
      <w:pPr>
        <w:numPr>
          <w:ilvl w:val="0"/>
          <w:numId w:val="1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关键人员</w:t>
      </w:r>
      <w:r>
        <w:rPr>
          <w:rFonts w:ascii="宋体" w:eastAsia="宋体" w:hAnsi="宋体" w:cs="宋体"/>
        </w:rPr>
        <w:t>：答辩学生（说话人3）、评审专家（说话人1, 2, 4, 5）</w:t>
      </w:r>
    </w:p>
    <w:p>
      <w:pPr>
        <w:pStyle w:val="Heading2"/>
        <w:keepNext w:val="0"/>
        <w:spacing w:before="299" w:after="299"/>
        <w:outlineLvl w:val="9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/>
          <w:i w:val="0"/>
          <w:iCs w:val="0"/>
        </w:rPr>
        <w:t>1. 核心技术与创新点阐述</w:t>
      </w:r>
    </w:p>
    <w:p>
      <w:pPr>
        <w:pStyle w:val="Heading3"/>
        <w:keepNext w:val="0"/>
        <w:spacing w:before="281" w:after="281"/>
        <w:outlineLvl w:val="9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i w:val="0"/>
        </w:rPr>
        <w:t>1.1 车云协同架构与任务分配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本研究提出基于车云协同的油罐车防侧翻控制体系，旨在从源头规避事故而非仅在危险发生时进行补救 。</w:t>
      </w:r>
    </w:p>
    <w:p>
      <w:pPr>
        <w:numPr>
          <w:ilvl w:val="0"/>
          <w:numId w:val="2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云端职责</w:t>
      </w:r>
      <w:r>
        <w:rPr>
          <w:rFonts w:ascii="宋体" w:eastAsia="宋体" w:hAnsi="宋体" w:cs="宋体"/>
        </w:rPr>
        <w:t>：负责长时域决策。利用路测设备获取实时交通数据，构建数字孪生交通图，进行未来20秒的交互式预测 。云端以1Hz频率运行，下发秒级精度的预测性轨迹（如换道建议、速度推荐），以规避潜在冲突 。</w:t>
      </w:r>
    </w:p>
    <w:p>
      <w:pPr>
        <w:numPr>
          <w:ilvl w:val="0"/>
          <w:numId w:val="2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车端职责</w:t>
      </w:r>
      <w:r>
        <w:rPr>
          <w:rFonts w:ascii="宋体" w:eastAsia="宋体" w:hAnsi="宋体" w:cs="宋体"/>
        </w:rPr>
        <w:t>：负责短时域实时控制与兜底。保留独立的决策规划能力，当云端指令因时延、丢包不可用或周围车辆意图突变时，车端自主执行避障应急轨迹规划 。最底层为防侧翻稳定性控制，作为最终安全兜底 。</w:t>
      </w:r>
    </w:p>
    <w:p>
      <w:pPr>
        <w:numPr>
          <w:ilvl w:val="0"/>
          <w:numId w:val="2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协同逻辑</w:t>
      </w:r>
      <w:r>
        <w:rPr>
          <w:rFonts w:ascii="宋体" w:eastAsia="宋体" w:hAnsi="宋体" w:cs="宋体"/>
        </w:rPr>
        <w:t>：云端通过提前规避高风险场景，减少车辆进入极限工况的概率，从而降低对车端紧急控制的依赖 。</w:t>
      </w:r>
    </w:p>
    <w:p>
      <w:pPr>
        <w:pStyle w:val="Heading3"/>
        <w:keepNext w:val="0"/>
        <w:spacing w:before="281" w:after="281"/>
        <w:outlineLvl w:val="9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i w:val="0"/>
        </w:rPr>
        <w:t>1.2 液体晃动动力学建模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针对传统摆模型仅考虑横向晃动的局限，本研究提出了新的“滑动伸缩天平液体晃动模型” 。</w:t>
      </w:r>
    </w:p>
    <w:p>
      <w:pPr>
        <w:numPr>
          <w:ilvl w:val="0"/>
          <w:numId w:val="3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模型特点</w:t>
      </w:r>
      <w:r>
        <w:rPr>
          <w:rFonts w:ascii="宋体" w:eastAsia="宋体" w:hAnsi="宋体" w:cs="宋体"/>
        </w:rPr>
        <w:t>：在6个自由度下实现惯性耦合力矩输出，不仅考虑横向侧倾，还涵盖纵向加减速引起的液体转移及横摆晃动对横向的影响 。</w:t>
      </w:r>
    </w:p>
    <w:p>
      <w:pPr>
        <w:numPr>
          <w:ilvl w:val="0"/>
          <w:numId w:val="3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等效方法</w:t>
      </w:r>
      <w:r>
        <w:rPr>
          <w:rFonts w:ascii="宋体" w:eastAsia="宋体" w:hAnsi="宋体" w:cs="宋体"/>
        </w:rPr>
        <w:t>：采用机械等效模型，将液体表征为在碗形曲面上滑动的质点，并沿前后方向滑轨运动，以黑盒形式表征加速度输入下的力和力矩反馈 。</w:t>
      </w:r>
    </w:p>
    <w:p>
      <w:pPr>
        <w:numPr>
          <w:ilvl w:val="0"/>
          <w:numId w:val="3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优势</w:t>
      </w:r>
      <w:r>
        <w:rPr>
          <w:rFonts w:ascii="宋体" w:eastAsia="宋体" w:hAnsi="宋体" w:cs="宋体"/>
        </w:rPr>
        <w:t>：相比计算流体力学（CFD）仿真，该模型在保证较高精度的同时，满足实时控制所需的计算效率 。</w:t>
      </w:r>
    </w:p>
    <w:p>
      <w:pPr>
        <w:pStyle w:val="Heading2"/>
        <w:keepNext w:val="0"/>
        <w:spacing w:before="299" w:after="299"/>
        <w:outlineLvl w:val="9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/>
          <w:i w:val="0"/>
          <w:iCs w:val="0"/>
        </w:rPr>
        <w:t>2. 关键技术问答与论证</w:t>
      </w:r>
    </w:p>
    <w:p>
      <w:pPr>
        <w:pStyle w:val="Heading3"/>
        <w:keepNext w:val="0"/>
        <w:spacing w:before="281" w:after="281"/>
        <w:outlineLvl w:val="9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i w:val="0"/>
        </w:rPr>
        <w:t>2.1 云端时延与系统稳定性</w:t>
      </w:r>
    </w:p>
    <w:p>
      <w:pPr>
        <w:numPr>
          <w:ilvl w:val="0"/>
          <w:numId w:val="4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时延指标</w:t>
      </w:r>
      <w:r>
        <w:rPr>
          <w:rFonts w:ascii="宋体" w:eastAsia="宋体" w:hAnsi="宋体" w:cs="宋体"/>
        </w:rPr>
        <w:t>：云端通信时延按最恶劣情况估算为200毫秒（0.2秒） 。</w:t>
      </w:r>
    </w:p>
    <w:p>
      <w:pPr>
        <w:numPr>
          <w:ilvl w:val="0"/>
          <w:numId w:val="4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稳定性分析</w:t>
      </w:r>
      <w:r>
        <w:rPr>
          <w:rFonts w:ascii="宋体" w:eastAsia="宋体" w:hAnsi="宋体" w:cs="宋体"/>
        </w:rPr>
        <w:t>：车辆最小动态响应时间约为4~6秒，远大于云端时延。根据系统稳定性理论，云端以秒级单位下发覆盖未来20秒的轨迹决策，能够保证系统稳定 。</w:t>
      </w:r>
    </w:p>
    <w:p>
      <w:pPr>
        <w:numPr>
          <w:ilvl w:val="0"/>
          <w:numId w:val="4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数据基础</w:t>
      </w:r>
      <w:r>
        <w:rPr>
          <w:rFonts w:ascii="宋体" w:eastAsia="宋体" w:hAnsi="宋体" w:cs="宋体"/>
        </w:rPr>
        <w:t>：依托现有的云端技术平台，已实现路段交通数据的实时数字孪生，具备获取周边车辆及道路信息的能力 。</w:t>
      </w:r>
    </w:p>
    <w:p>
      <w:pPr>
        <w:pStyle w:val="Heading3"/>
        <w:keepNext w:val="0"/>
        <w:spacing w:before="281" w:after="281"/>
        <w:outlineLvl w:val="9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i w:val="0"/>
        </w:rPr>
        <w:t>2.2 模型验证与局限性</w:t>
      </w:r>
    </w:p>
    <w:p>
      <w:pPr>
        <w:numPr>
          <w:ilvl w:val="0"/>
          <w:numId w:val="5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验证方式</w:t>
      </w:r>
      <w:r>
        <w:rPr>
          <w:rFonts w:ascii="宋体" w:eastAsia="宋体" w:hAnsi="宋体" w:cs="宋体"/>
        </w:rPr>
        <w:t>：目前主要在数学模型层面进行开环推演验证，以高精度CFD仿真作为基准对比 。</w:t>
      </w:r>
    </w:p>
    <w:p>
      <w:pPr>
        <w:numPr>
          <w:ilvl w:val="0"/>
          <w:numId w:val="5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闭环观测进展</w:t>
      </w:r>
      <w:r>
        <w:rPr>
          <w:rFonts w:ascii="宋体" w:eastAsia="宋体" w:hAnsi="宋体" w:cs="宋体"/>
        </w:rPr>
        <w:t>：针对开环验证无法精确模拟复杂干扰状态的局限，研究引入了液体自由液面观测器以实现闭环观测 。最新进展提出基于Q办频率理论的算法，通过测量挂车侧倾晃动频率间接避免关键频率激发，无需直接测量液体相位 。</w:t>
      </w:r>
    </w:p>
    <w:p>
      <w:pPr>
        <w:numPr>
          <w:ilvl w:val="0"/>
          <w:numId w:val="5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物理实验</w:t>
      </w:r>
      <w:r>
        <w:rPr>
          <w:rFonts w:ascii="宋体" w:eastAsia="宋体" w:hAnsi="宋体" w:cs="宋体"/>
        </w:rPr>
        <w:t>：搭建了1:14缩微模型，在亦庄日新楼车库室内环境中进行了初步实验 。</w:t>
      </w:r>
    </w:p>
    <w:p>
      <w:pPr>
        <w:pStyle w:val="Heading3"/>
        <w:keepNext w:val="0"/>
        <w:spacing w:before="281" w:after="281"/>
        <w:outlineLvl w:val="9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i w:val="0"/>
        </w:rPr>
        <w:t>2.3 与传统ABS/ESC系统的对比</w:t>
      </w:r>
    </w:p>
    <w:p>
      <w:pPr>
        <w:numPr>
          <w:ilvl w:val="0"/>
          <w:numId w:val="6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必要性论证</w:t>
      </w:r>
      <w:r>
        <w:rPr>
          <w:rFonts w:ascii="宋体" w:eastAsia="宋体" w:hAnsi="宋体" w:cs="宋体"/>
        </w:rPr>
        <w:t>：单纯的制动系统（如ABS/ESC）在障碍物出现突然、制动距离不足时存在失效风险 。</w:t>
      </w:r>
    </w:p>
    <w:p>
      <w:pPr>
        <w:numPr>
          <w:ilvl w:val="0"/>
          <w:numId w:val="6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协同优势</w:t>
      </w:r>
      <w:r>
        <w:rPr>
          <w:rFonts w:ascii="宋体" w:eastAsia="宋体" w:hAnsi="宋体" w:cs="宋体"/>
        </w:rPr>
        <w:t>：车云协同通过云端预测提前进行转向或联合避障，从源头上避免进入需要紧急制动的极限工况，比单独制动更安全有效 。</w:t>
      </w:r>
    </w:p>
    <w:p>
      <w:pPr>
        <w:pStyle w:val="Heading2"/>
        <w:keepNext w:val="0"/>
        <w:spacing w:before="299" w:after="299"/>
        <w:outlineLvl w:val="9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/>
          <w:i w:val="0"/>
          <w:iCs w:val="0"/>
        </w:rPr>
        <w:t>3. 评审专家意见与建议</w:t>
      </w:r>
    </w:p>
    <w:p>
      <w:pPr>
        <w:pStyle w:val="Heading3"/>
        <w:keepNext w:val="0"/>
        <w:spacing w:before="281" w:after="281"/>
        <w:outlineLvl w:val="9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i w:val="0"/>
        </w:rPr>
        <w:t>3.1 逻辑与章节完善</w:t>
      </w:r>
    </w:p>
    <w:p>
      <w:pPr>
        <w:numPr>
          <w:ilvl w:val="0"/>
          <w:numId w:val="7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强化逻辑关联</w:t>
      </w:r>
      <w:r>
        <w:rPr>
          <w:rFonts w:ascii="宋体" w:eastAsia="宋体" w:hAnsi="宋体" w:cs="宋体"/>
        </w:rPr>
        <w:t>：需进一步厘清云端预测时间与动力学控制的时间尺度关系。若云端能提前3秒以上预测并规避，则后续动力学控制不再介入；若预测时间短于1秒，则必须紧密耦合动力学控制（如限制转向速率） 。建议在第一章和最后一章补充相关逻辑论述 。</w:t>
      </w:r>
    </w:p>
    <w:p>
      <w:pPr>
        <w:numPr>
          <w:ilvl w:val="0"/>
          <w:numId w:val="7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工作量界定</w:t>
      </w:r>
      <w:r>
        <w:rPr>
          <w:rFonts w:ascii="宋体" w:eastAsia="宋体" w:hAnsi="宋体" w:cs="宋体"/>
        </w:rPr>
        <w:t>：需明确区分本科与硕士阶段的工作贡献。除仿真平台搭建涉及本科工作外，核心模型与控制策略均为硕士期间完成 。</w:t>
      </w:r>
    </w:p>
    <w:p>
      <w:pPr>
        <w:pStyle w:val="Heading3"/>
        <w:keepNext w:val="0"/>
        <w:spacing w:before="281" w:after="281"/>
        <w:outlineLvl w:val="9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i w:val="0"/>
        </w:rPr>
        <w:t>3.2 模型创新性说明</w:t>
      </w:r>
    </w:p>
    <w:p>
      <w:pPr>
        <w:numPr>
          <w:ilvl w:val="0"/>
          <w:numId w:val="8"/>
        </w:numPr>
        <w:spacing w:before="240"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文献对比</w:t>
      </w:r>
      <w:r>
        <w:rPr>
          <w:rFonts w:ascii="宋体" w:eastAsia="宋体" w:hAnsi="宋体" w:cs="宋体"/>
        </w:rPr>
        <w:t>：液罐车液体动力学建模已有大量成熟研究及CFD应用。建议增加与现有经典模型的对比分析，或在文献综述中明确本简化模型相对于传统模型的适用性与改进点，以增强说服力 。</w:t>
      </w:r>
    </w:p>
    <w:p>
      <w:pPr>
        <w:pStyle w:val="Heading2"/>
        <w:keepNext w:val="0"/>
        <w:spacing w:before="299" w:after="299"/>
        <w:outlineLvl w:val="9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/>
          <w:i w:val="0"/>
          <w:iCs w:val="0"/>
        </w:rPr>
        <w:t>4. 后续行动项</w:t>
      </w:r>
    </w:p>
    <w:p>
      <w:pPr>
        <w:numPr>
          <w:ilvl w:val="0"/>
          <w:numId w:val="9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修改论文结构</w:t>
      </w:r>
      <w:r>
        <w:rPr>
          <w:rFonts w:ascii="宋体" w:eastAsia="宋体" w:hAnsi="宋体" w:cs="宋体"/>
        </w:rPr>
        <w:t>：在一周内重点补充第一章和最后一章，清晰阐述云端预测时域与车端动力学控制的逻辑衔接 。</w:t>
      </w:r>
    </w:p>
    <w:p>
      <w:pPr>
        <w:numPr>
          <w:ilvl w:val="0"/>
          <w:numId w:val="9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完善模型论证</w:t>
      </w:r>
      <w:r>
        <w:rPr>
          <w:rFonts w:ascii="宋体" w:eastAsia="宋体" w:hAnsi="宋体" w:cs="宋体"/>
        </w:rPr>
        <w:t>：在讨论部分增加本研究与现有文献中液体动力学模型的对比，明确简化模型的合理性及边界条件 。</w:t>
      </w:r>
    </w:p>
    <w:p>
      <w:pPr>
        <w:numPr>
          <w:ilvl w:val="0"/>
          <w:numId w:val="9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准备最终答辩</w:t>
      </w:r>
      <w:r>
        <w:rPr>
          <w:rFonts w:ascii="宋体" w:eastAsia="宋体" w:hAnsi="宋体" w:cs="宋体"/>
        </w:rPr>
        <w:t>：结合其他同学答辩情况，集体决定最终结果 。</w:t>
      </w:r>
    </w:p>
    <w:sectPr>
      <w:foot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bottom w:val="single" w:sz="2" w:space="0" w:color="auto"/>
      </w:pBdr>
      <w:jc w:val="center"/>
    </w:pPr>
    <w:r>
      <w:rPr>
        <w:rFonts w:ascii="宋体 (中文正文)" w:eastAsia="宋体 (中文正文)" w:hAnsi="宋体 (中文正文)" w:cs="宋体 (中文正文)"/>
        <w:sz w:val="18"/>
      </w:rPr>
      <w:t>以上内容由AI生成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webSettings.xml" Type="http://schemas.openxmlformats.org/officeDocument/2006/relationships/webSettings"/><Relationship Id="rId3" Target="fontTable.xml" Type="http://schemas.openxmlformats.org/officeDocument/2006/relationships/fontTable"/><Relationship Id="rId4" Target="footer1.xml" Type="http://schemas.openxmlformats.org/officeDocument/2006/relationships/footer"/><Relationship Id="rId5" Target="numbering.xml" Type="http://schemas.openxmlformats.org/officeDocument/2006/relationships/numbering"/><Relationship Id="rId6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AIGC">
    <vt:lpwstr>{"ContentPropagator":"001191340000711771143J00000","Label":"1","ReservedCode1":"1779957254207","ProduceID":"WebAdp_506785455951314948_1779957254207","ReservedCode2":"1779957254207","PropagateID":"WebAdp_506785455951314948_1779957254207","ContentProducer":"001191340000711771143J00000"}</vt:lpwstr>
  </property>
</Properties>
</file>