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Agente de trading con aprendizaje por refuerzo — TEAM_01</w:t>
      </w:r>
    </w:p>
    <w:p>
      <w:pPr>
        <w:jc w:val="left"/>
      </w:pPr>
      <w:r>
        <w:rPr>
          <w:i/>
          <w:color w:val="555555"/>
        </w:rPr>
        <w:t>Equipo: Team 1 · Integrantes: Daniel Palacios, Sofia Ariza</w:t>
        <w:br/>
        <w:t>Qué hicimos para mejorar el modelo, por qué elegimos el modelo final y qué hace</w:t>
      </w:r>
    </w:p>
    <w:p>
      <w:pPr>
        <w:pStyle w:val="Heading1"/>
      </w:pPr>
      <w:r>
        <w:t>1. Objetivo</w:t>
      </w:r>
    </w:p>
    <w:p>
      <w:r>
        <w:t>Entrenar con aprendizaje por refuerzo una política de trading que recibe 16 variables del mercado y elige una de 9 acciones: mantener, o comprar/vender con orden de mercado o límite, en tamaño pequeño (10 acciones) o grande (50). El modelo se entrega como TorchScript en TEAM_01.zip.</w:t>
      </w:r>
    </w:p>
    <w:p>
      <w:r>
        <w:t>El profesor lo evalúa en ABIDES-NG con semillas y escenarios ocultos: mercado normal, crisis, baja liquidez y competencia entre equipos. La nota se reparte así: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Peso</w:t>
            </w:r>
          </w:p>
        </w:tc>
      </w:tr>
      <w:tr>
        <w:tc>
          <w:tcPr>
            <w:tcW w:type="dxa" w:w="4320"/>
          </w:tcPr>
          <w:p>
            <w:r>
              <w:t>Rentabilidad media</w:t>
            </w:r>
          </w:p>
        </w:tc>
        <w:tc>
          <w:tcPr>
            <w:tcW w:type="dxa" w:w="4320"/>
          </w:tcPr>
          <w:p>
            <w:r>
              <w:t>50 %</w:t>
            </w:r>
          </w:p>
        </w:tc>
      </w:tr>
      <w:tr>
        <w:tc>
          <w:tcPr>
            <w:tcW w:type="dxa" w:w="4320"/>
          </w:tcPr>
          <w:p>
            <w:r>
              <w:t>Control del riesgo (máximo drawdown)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Robustez entre escenarios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Comportamiento operativo (órdenes inválidas, exposición excesiva, insolvencia)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</w:tbl>
    <w:p/>
    <w:p>
      <w:r>
        <w:t>Por eso no buscamos el modelo que más gana en una simulación, sino el que gana de forma consistente y controla el riesgo.</w:t>
      </w:r>
    </w:p>
    <w:p>
      <w:pPr>
        <w:pStyle w:val="Heading1"/>
      </w:pPr>
      <w:r>
        <w:t>2. Punto de partida: el DQN inicial</w:t>
      </w:r>
    </w:p>
    <w:p>
      <w:r>
        <w:t>El DQN del kit tenía tres problemas:</w:t>
      </w:r>
    </w:p>
    <w:p>
      <w:pPr>
        <w:pStyle w:val="ListBullet"/>
      </w:pPr>
      <w:r>
        <w:rPr>
          <w:b/>
        </w:rPr>
        <w:t xml:space="preserve">Sesgo comprador. </w:t>
      </w:r>
      <w:r>
        <w:t>Los tres mercados de práctica nunca bajan, así que aprendió a comprar siempre: ganaba +13 % en tendencia alcista y perdía −6 % en caída y −2 % en tendencia bajista.</w:t>
      </w:r>
    </w:p>
    <w:p>
      <w:pPr>
        <w:pStyle w:val="ListBullet"/>
      </w:pPr>
      <w:r>
        <w:rPr>
          <w:b/>
        </w:rPr>
        <w:t xml:space="preserve">Choque constante con el límite de posición. </w:t>
      </w:r>
      <w:r>
        <w:t>Unas 40 órdenes rechazadas por cada 100 pasos, lo que penaliza el 10 % operativo.</w:t>
      </w:r>
    </w:p>
    <w:p>
      <w:pPr>
        <w:pStyle w:val="ListBullet"/>
      </w:pPr>
      <w:r>
        <w:rPr>
          <w:b/>
        </w:rPr>
        <w:t xml:space="preserve">Mucha varianza. </w:t>
      </w:r>
      <w:r>
        <w:t>Con la misma receta y otra semilla, una versión perdía −7 % en crisis y otra ganaba +14 %.</w:t>
      </w:r>
    </w:p>
    <w:p>
      <w:pPr>
        <w:pStyle w:val="Heading1"/>
      </w:pPr>
      <w:r>
        <w:t>3. Qué hicimos</w:t>
      </w:r>
    </w:p>
    <w:p>
      <w:pPr>
        <w:pStyle w:val="Heading2"/>
      </w:pPr>
      <w:r>
        <w:t>Paso 0: infraestructura de evaluación</w:t>
      </w:r>
    </w:p>
    <w:p>
      <w:r>
        <w:t>Antes de mejorar nada creamos un protocolo fijo:</w:t>
      </w:r>
    </w:p>
    <w:p>
      <w:pPr>
        <w:pStyle w:val="ListBullet"/>
      </w:pPr>
      <w:r>
        <w:rPr>
          <w:b/>
        </w:rPr>
        <w:t xml:space="preserve">Escenarios: </w:t>
      </w:r>
      <w:r>
        <w:t>los 3 oficiales más 4 de estrés propios (crash, tendencia bajista, baja liquidez y mercado errático), con episodios de 300 y 1000 pasos.</w:t>
      </w:r>
    </w:p>
    <w:p>
      <w:pPr>
        <w:pStyle w:val="ListBullet"/>
      </w:pPr>
      <w:r>
        <w:rPr>
          <w:b/>
        </w:rPr>
        <w:t xml:space="preserve">Tres conjuntos de semillas separados: </w:t>
      </w:r>
      <w:r>
        <w:t>tuning (para comparar experimentos entre sí), validation (para decidir entre rondas) y holdout (se usa una sola vez, para la elección final).</w:t>
      </w:r>
    </w:p>
    <w:p>
      <w:pPr>
        <w:pStyle w:val="ListBullet"/>
      </w:pPr>
      <w:r>
        <w:rPr>
          <w:b/>
        </w:rPr>
        <w:t xml:space="preserve">Una puntuación que imita la rúbrica: </w:t>
      </w:r>
      <w:r>
        <w:t>50/20/20/10.</w:t>
      </w:r>
    </w:p>
    <w:p>
      <w:r>
        <w:t>Comparamos siempre contra dos referencias: "no hacer nada" (HOLD) y una regla de momentum. También construimos un simulador que ejecuta nuestro modelo dentro de ABIDES-NG, porque el test del kit no lo hacía.</w:t>
      </w:r>
    </w:p>
    <w:p>
      <w:pPr>
        <w:pStyle w:val="Heading2"/>
      </w:pPr>
      <w:r>
        <w:t>Ronda 1: cuatro ideas en paralelo</w:t>
      </w:r>
    </w:p>
    <w:p>
      <w:r>
        <w:t>En cada ronda probamos varias ideas a la vez y las comparamos con el mismo protocolo.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Recompensa con penalización de riesgo (drawdown, rotación, inventario)</w:t>
            </w:r>
          </w:p>
        </w:tc>
        <w:tc>
          <w:tcPr>
            <w:tcW w:type="dxa" w:w="4320"/>
          </w:tcPr>
          <w:p>
            <w:r>
              <w:t>Mejora moderada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Entrenar en mercados aleatorios (tendencia al alza y a la baja, volatilidad, spread, liquidez, rellenos de órdenes límite menos favorables)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 mayor mejora: puntuación 0,63 frente a 0,31; ganancias en crash (+5,2 %) y en tendencia bajista (+4,1 %)</w:t>
            </w:r>
          </w:p>
        </w:tc>
      </w:tr>
      <w:tr>
        <w:tc>
          <w:tcPr>
            <w:tcW w:type="dxa" w:w="4320"/>
          </w:tcPr>
          <w:p>
            <w:r>
              <w:t>DQN mejorado (Double, Dueling, n-step)</w:t>
            </w:r>
          </w:p>
        </w:tc>
        <w:tc>
          <w:tcPr>
            <w:tcW w:type="dxa" w:w="4320"/>
          </w:tcPr>
          <w:p>
            <w:r>
              <w:t>Sin mejora</w:t>
            </w:r>
          </w:p>
        </w:tc>
      </w:tr>
      <w:tr>
        <w:tc>
          <w:tcPr>
            <w:tcW w:type="dxa" w:w="4320"/>
          </w:tcPr>
          <w:p>
            <w:r>
              <w:t>PPO</w:t>
            </w:r>
          </w:p>
        </w:tc>
        <w:tc>
          <w:tcPr>
            <w:tcW w:type="dxa" w:w="4320"/>
          </w:tcPr>
          <w:p>
            <w:r>
              <w:t>Fracasó: acabó comprando el 98 % del tiempo y perdiendo −15 % en crisis</w:t>
            </w:r>
          </w:p>
        </w:tc>
      </w:tr>
    </w:tbl>
    <w:p/>
    <w:p>
      <w:r>
        <w:rPr>
          <w:b/>
        </w:rPr>
        <w:t xml:space="preserve">Conclusión: </w:t>
      </w:r>
      <w:r>
        <w:t>lo importante era la variedad de mercados en el entrenamiento, no el algoritmo.</w:t>
      </w:r>
    </w:p>
    <w:p>
      <w:pPr>
        <w:pStyle w:val="Heading2"/>
      </w:pPr>
      <w:r>
        <w:t>Ronda 2: combinaciones</w:t>
      </w:r>
    </w:p>
    <w:p>
      <w:r>
        <w:t>Mercados aleatorios más recompensa de riesgo, con 5 semillas cada una. Descubrimos algo clave:</w:t>
      </w:r>
    </w:p>
    <w:p>
      <w:pPr>
        <w:pStyle w:val="ListBullet"/>
      </w:pPr>
      <w:r>
        <w:rPr>
          <w:b/>
        </w:rPr>
        <w:t xml:space="preserve">El mejor modelo individual no generaliza. </w:t>
      </w:r>
      <w:r>
        <w:t>El mejor en tuning bajó de 0,84 a 0,52 con semillas nuevas.</w:t>
      </w:r>
    </w:p>
    <w:p>
      <w:pPr>
        <w:pStyle w:val="ListBullet"/>
      </w:pPr>
      <w:r>
        <w:rPr>
          <w:b/>
        </w:rPr>
        <w:t xml:space="preserve">Un ensamble sí generaliza. </w:t>
      </w:r>
      <w:r>
        <w:t>Promediar varias semillas buenas llegó a 0,79 en validación.</w:t>
      </w:r>
    </w:p>
    <w:p>
      <w:pPr>
        <w:pStyle w:val="Heading2"/>
      </w:pPr>
      <w:r>
        <w:t>Ronda 3: ABIDES-NG reveló riesgos que la práctica ocultaba</w:t>
      </w:r>
    </w:p>
    <w:p>
      <w:pPr>
        <w:pStyle w:val="ListBullet"/>
      </w:pPr>
      <w:r>
        <w:t>La acción cuesta unos 1000 $ en vez de 100 $. Con 100 000 $ de capital, 400 acciones suponen cuatro veces el patrimonio en apalancamiento.</w:t>
      </w:r>
    </w:p>
    <w:p>
      <w:pPr>
        <w:pStyle w:val="ListBullet"/>
      </w:pPr>
      <w:r>
        <w:t>Los mercados tranquilos son 5–10 veces más calmados y el spread es mucho menor.</w:t>
      </w:r>
    </w:p>
    <w:p>
      <w:pPr>
        <w:pStyle w:val="ListBullet"/>
      </w:pPr>
      <w:r>
        <w:t>En stress_test el libro de órdenes puede vaciarse: el precio llegó a caer de 1000 $ a 0,24 $.</w:t>
      </w:r>
    </w:p>
    <w:p>
      <w:r>
        <w:t>Para estos riesgos diseñamos una capa de seguridad que se puso a prueba en ABIDES: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Protección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Efecto medido</w:t>
            </w:r>
          </w:p>
        </w:tc>
      </w:tr>
      <w:tr>
        <w:tc>
          <w:tcPr>
            <w:tcW w:type="dxa" w:w="4320"/>
          </w:tcPr>
          <w:p>
            <w:r>
              <w:t>Exposición máxima ≈ 30 % del patrimonio, medida con el efectivo y válida a cualquier precio</w:t>
            </w:r>
          </w:p>
        </w:tc>
        <w:tc>
          <w:tcPr>
            <w:tcW w:type="dxa" w:w="4320"/>
          </w:tcPr>
          <w:p>
            <w:r>
              <w:t>Rentabilidad en ABIDES de −5,9 % a +2,3 %; drawdown máximo de 107 % a 7,6 %</w:t>
            </w:r>
          </w:p>
        </w:tc>
      </w:tr>
      <w:tr>
        <w:tc>
          <w:tcPr>
            <w:tcW w:type="dxa" w:w="4320"/>
          </w:tcPr>
          <w:p>
            <w:r>
              <w:t>Freno de pérdidas: con el patrimonio por debajo de −5 % solo reduce posición</w:t>
            </w:r>
          </w:p>
        </w:tc>
        <w:tc>
          <w:tcPr>
            <w:tcW w:type="dxa" w:w="4320"/>
          </w:tcPr>
          <w:p>
            <w:r>
              <w:t>Un caso de insolvencia (−428 %) quedó en −25 %</w:t>
            </w:r>
          </w:p>
        </w:tc>
      </w:tr>
      <w:tr>
        <w:tc>
          <w:tcPr>
            <w:tcW w:type="dxa" w:w="4320"/>
          </w:tcPr>
          <w:p>
            <w:r>
              <w:t>Libro roto: con spread &gt; 100 pb no abre más exposición</w:t>
            </w:r>
          </w:p>
        </w:tc>
        <w:tc>
          <w:tcPr>
            <w:tcW w:type="dxa" w:w="4320"/>
          </w:tcPr>
          <w:p>
            <w:r>
              <w:t>Drawdown máximo en estrés de 189 % a 21,6 %</w:t>
            </w:r>
          </w:p>
        </w:tc>
      </w:tr>
    </w:tbl>
    <w:p/>
    <w:p>
      <w:r>
        <w:t>También entrenamos modelos con mercados "tipo ABIDES". Solos no mejoraron, pero dos de ellos (los más estables) sumaron diversidad al ensamble final.</w:t>
      </w:r>
    </w:p>
    <w:p>
      <w:pPr>
        <w:pStyle w:val="Heading1"/>
      </w:pPr>
      <w:r>
        <w:t>4. Por qué elegimos el modelo final</w:t>
      </w:r>
    </w:p>
    <w:p>
      <w:r>
        <w:t>Elegimos un ensamble de 7 DQN con la capa de seguridad. Las razones:</w:t>
      </w:r>
    </w:p>
    <w:p>
      <w:pPr>
        <w:pStyle w:val="ListNumber"/>
      </w:pPr>
      <w:r>
        <w:rPr>
          <w:b/>
        </w:rPr>
        <w:t xml:space="preserve">Ganó en las semillas holdout, </w:t>
      </w:r>
      <w:r>
        <w:t>que nunca se usaron para elegir.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Modelo (holdout práctica, 280 episodios)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Puntuación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Rentab.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Drawdown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Peor escenario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Ep. rentables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Modelo final (7 miembros)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0,713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+2,23 %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1,35 %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−0,17 %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76 %</w:t>
            </w:r>
          </w:p>
        </w:tc>
      </w:tr>
      <w:tr>
        <w:tc>
          <w:tcPr>
            <w:tcW w:type="dxa" w:w="1440"/>
          </w:tcPr>
          <w:p>
            <w:r>
              <w:t>Regla de momentum</w:t>
            </w:r>
          </w:p>
        </w:tc>
        <w:tc>
          <w:tcPr>
            <w:tcW w:type="dxa" w:w="1440"/>
          </w:tcPr>
          <w:p>
            <w:r>
              <w:t>0,688</w:t>
            </w:r>
          </w:p>
        </w:tc>
        <w:tc>
          <w:tcPr>
            <w:tcW w:type="dxa" w:w="1440"/>
          </w:tcPr>
          <w:p>
            <w:r>
              <w:t>+3,15 %</w:t>
            </w:r>
          </w:p>
        </w:tc>
        <w:tc>
          <w:tcPr>
            <w:tcW w:type="dxa" w:w="1440"/>
          </w:tcPr>
          <w:p>
            <w:r>
              <w:t>1,80 %</w:t>
            </w:r>
          </w:p>
        </w:tc>
        <w:tc>
          <w:tcPr>
            <w:tcW w:type="dxa" w:w="1440"/>
          </w:tcPr>
          <w:p>
            <w:r>
              <w:t>−1,49 %</w:t>
            </w:r>
          </w:p>
        </w:tc>
        <w:tc>
          <w:tcPr>
            <w:tcW w:type="dxa" w:w="1440"/>
          </w:tcPr>
          <w:p>
            <w:r>
              <w:t>60 %</w:t>
            </w:r>
          </w:p>
        </w:tc>
      </w:tr>
      <w:tr>
        <w:tc>
          <w:tcPr>
            <w:tcW w:type="dxa" w:w="1440"/>
          </w:tcPr>
          <w:p>
            <w:r>
              <w:t>Versión de 5 miembros</w:t>
            </w:r>
          </w:p>
        </w:tc>
        <w:tc>
          <w:tcPr>
            <w:tcW w:type="dxa" w:w="1440"/>
          </w:tcPr>
          <w:p>
            <w:r>
              <w:t>0,588</w:t>
            </w:r>
          </w:p>
        </w:tc>
        <w:tc>
          <w:tcPr>
            <w:tcW w:type="dxa" w:w="1440"/>
          </w:tcPr>
          <w:p>
            <w:r>
              <w:t>+2,07 %</w:t>
            </w:r>
          </w:p>
        </w:tc>
        <w:tc>
          <w:tcPr>
            <w:tcW w:type="dxa" w:w="1440"/>
          </w:tcPr>
          <w:p>
            <w:r>
              <w:t>1,09 %</w:t>
            </w:r>
          </w:p>
        </w:tc>
        <w:tc>
          <w:tcPr>
            <w:tcW w:type="dxa" w:w="1440"/>
          </w:tcPr>
          <w:p>
            <w:r>
              <w:t>−0,59 %</w:t>
            </w:r>
          </w:p>
        </w:tc>
        <w:tc>
          <w:tcPr>
            <w:tcW w:type="dxa" w:w="1440"/>
          </w:tcPr>
          <w:p>
            <w:r>
              <w:t>75 %</w:t>
            </w:r>
          </w:p>
        </w:tc>
      </w:tr>
      <w:tr>
        <w:tc>
          <w:tcPr>
            <w:tcW w:type="dxa" w:w="1440"/>
          </w:tcPr>
          <w:p>
            <w:r>
              <w:t>HOLD (no hacer nada)</w:t>
            </w:r>
          </w:p>
        </w:tc>
        <w:tc>
          <w:tcPr>
            <w:tcW w:type="dxa" w:w="1440"/>
          </w:tcPr>
          <w:p>
            <w:r>
              <w:t>0,488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0 %</w:t>
            </w:r>
          </w:p>
        </w:tc>
        <w:tc>
          <w:tcPr>
            <w:tcW w:type="dxa" w:w="1440"/>
          </w:tcPr>
          <w:p>
            <w:r>
              <w:t>0 %</w:t>
            </w:r>
          </w:p>
        </w:tc>
      </w:tr>
      <w:tr>
        <w:tc>
          <w:tcPr>
            <w:tcW w:type="dxa" w:w="1440"/>
          </w:tcPr>
          <w:p>
            <w:r>
              <w:t>DQN inicial</w:t>
            </w:r>
          </w:p>
        </w:tc>
        <w:tc>
          <w:tcPr>
            <w:tcW w:type="dxa" w:w="1440"/>
          </w:tcPr>
          <w:p>
            <w:r>
              <w:t>0,025</w:t>
            </w:r>
          </w:p>
        </w:tc>
        <w:tc>
          <w:tcPr>
            <w:tcW w:type="dxa" w:w="1440"/>
          </w:tcPr>
          <w:p>
            <w:r>
              <w:t>−0,17 %</w:t>
            </w:r>
          </w:p>
        </w:tc>
        <w:tc>
          <w:tcPr>
            <w:tcW w:type="dxa" w:w="1440"/>
          </w:tcPr>
          <w:p>
            <w:r>
              <w:t>4,39 %</w:t>
            </w:r>
          </w:p>
        </w:tc>
        <w:tc>
          <w:tcPr>
            <w:tcW w:type="dxa" w:w="1440"/>
          </w:tcPr>
          <w:p>
            <w:r>
              <w:t>−7,26 %</w:t>
            </w:r>
          </w:p>
        </w:tc>
        <w:tc>
          <w:tcPr>
            <w:tcW w:type="dxa" w:w="1440"/>
          </w:tcPr>
          <w:p>
            <w:r>
              <w:t>41 %</w:t>
            </w:r>
          </w:p>
        </w:tc>
      </w:tr>
    </w:tbl>
    <w:p/>
    <w:p>
      <w:r>
        <w:t>Además, 0 órdenes inválidas.</w:t>
      </w:r>
    </w:p>
    <w:p>
      <w:pPr>
        <w:pStyle w:val="ListNumber"/>
      </w:pPr>
      <w:r>
        <w:rPr>
          <w:b/>
        </w:rPr>
        <w:t xml:space="preserve">Fue el mejor en los tres escenarios normales de ABIDES </w:t>
      </w:r>
      <w:r>
        <w:t>(estable, volátil y baja liquidez).</w:t>
      </w:r>
    </w:p>
    <w:p>
      <w:pPr>
        <w:pStyle w:val="ListNumber"/>
      </w:pPr>
      <w:r>
        <w:rPr>
          <w:b/>
        </w:rPr>
        <w:t>Pasó una última prueba en semillas de ABIDES nunca vistas.</w:t>
      </w:r>
      <w:r/>
    </w:p>
    <w:p>
      <w:pPr>
        <w:pStyle w:val="ListNumber"/>
      </w:pPr>
      <w:r>
        <w:rPr>
          <w:b/>
        </w:rPr>
        <w:t xml:space="preserve">Carga y da resultados idénticos en PyTorch 2.2, </w:t>
      </w:r>
      <w:r>
        <w:t>por si el profesor usa una versión antigua.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ABIDES, semillas nunca vistas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Rentabilidad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Drawdown medio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Drawdown máximo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Modelo final (individual)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+2,19 %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1,2 %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8,9 %</w:t>
            </w:r>
          </w:p>
        </w:tc>
      </w:tr>
      <w:tr>
        <w:tc>
          <w:tcPr>
            <w:tcW w:type="dxa" w:w="2160"/>
          </w:tcPr>
          <w:p>
            <w:r>
              <w:t>Regla de momentum (individual)</w:t>
            </w:r>
          </w:p>
        </w:tc>
        <w:tc>
          <w:tcPr>
            <w:tcW w:type="dxa" w:w="2160"/>
          </w:tcPr>
          <w:p>
            <w:r>
              <w:t>−5,4 %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  <w:tc>
          <w:tcPr>
            <w:tcW w:type="dxa" w:w="2160"/>
          </w:tcPr>
          <w:p>
            <w:r>
              <w:t>88 %</w:t>
            </w:r>
          </w:p>
        </w:tc>
      </w:tr>
      <w:tr>
        <w:tc>
          <w:tcPr>
            <w:tcW w:type="dxa" w:w="2160"/>
          </w:tcPr>
          <w:p>
            <w:r>
              <w:t>Modelo final, copia A (competitivo)</w:t>
            </w:r>
          </w:p>
        </w:tc>
        <w:tc>
          <w:tcPr>
            <w:tcW w:type="dxa" w:w="2160"/>
          </w:tcPr>
          <w:p>
            <w:r>
              <w:t>+4,7 %</w:t>
            </w:r>
          </w:p>
        </w:tc>
        <w:tc>
          <w:tcPr>
            <w:tcW w:type="dxa" w:w="2160"/>
          </w:tcPr>
          <w:p>
            <w:r>
              <w:t>2,9 %</w:t>
            </w:r>
          </w:p>
        </w:tc>
        <w:tc>
          <w:tcPr>
            <w:tcW w:type="dxa" w:w="2160"/>
          </w:tcPr>
          <w:p>
            <w:r>
              <w:t>18,3 %</w:t>
            </w:r>
          </w:p>
        </w:tc>
      </w:tr>
      <w:tr>
        <w:tc>
          <w:tcPr>
            <w:tcW w:type="dxa" w:w="2160"/>
          </w:tcPr>
          <w:p>
            <w:r>
              <w:t>Modelo final, copia B (competitivo)</w:t>
            </w:r>
          </w:p>
        </w:tc>
        <w:tc>
          <w:tcPr>
            <w:tcW w:type="dxa" w:w="2160"/>
          </w:tcPr>
          <w:p>
            <w:r>
              <w:t>+3,1 %</w:t>
            </w:r>
          </w:p>
        </w:tc>
        <w:tc>
          <w:tcPr>
            <w:tcW w:type="dxa" w:w="2160"/>
          </w:tcPr>
          <w:p>
            <w:r>
              <w:t>3,0 %</w:t>
            </w:r>
          </w:p>
        </w:tc>
        <w:tc>
          <w:tcPr>
            <w:tcW w:type="dxa" w:w="2160"/>
          </w:tcPr>
          <w:p>
            <w:r>
              <w:t>15,8 %</w:t>
            </w:r>
          </w:p>
        </w:tc>
      </w:tr>
      <w:tr>
        <w:tc>
          <w:tcPr>
            <w:tcW w:type="dxa" w:w="2160"/>
          </w:tcPr>
          <w:p>
            <w:r>
              <w:t>Regla de momentum (competitivo)</w:t>
            </w:r>
          </w:p>
        </w:tc>
        <w:tc>
          <w:tcPr>
            <w:tcW w:type="dxa" w:w="2160"/>
          </w:tcPr>
          <w:p>
            <w:r>
              <w:t>+2,4 %</w:t>
            </w:r>
          </w:p>
        </w:tc>
        <w:tc>
          <w:tcPr>
            <w:tcW w:type="dxa" w:w="2160"/>
          </w:tcPr>
          <w:p>
            <w:r>
              <w:t>6,1 %</w:t>
            </w:r>
          </w:p>
        </w:tc>
        <w:tc>
          <w:tcPr>
            <w:tcW w:type="dxa" w:w="2160"/>
          </w:tcPr>
          <w:p>
            <w:r>
              <w:t>43 %</w:t>
            </w:r>
          </w:p>
        </w:tc>
      </w:tr>
    </w:tbl>
    <w:p/>
    <w:p>
      <w:r>
        <w:rPr>
          <w:b/>
        </w:rPr>
        <w:t xml:space="preserve">Nota de honestidad: </w:t>
      </w:r>
      <w:r>
        <w:t>el DQN inicial obtuvo de media más rentabilidad bruta en ABIDES. Pero eran apuestas apalancadas en libros rotos: mediana ≈ 0 %, drawdown de hasta 96 % y unas 135 órdenes inválidas por simulación. Con la rúbrica, eso es justo lo que se penaliza.</w:t>
      </w:r>
    </w:p>
    <w:p>
      <w:pPr>
        <w:pStyle w:val="Heading1"/>
      </w:pPr>
      <w:r>
        <w:t>5. Qué hace el modelo, paso a paso</w:t>
      </w:r>
    </w:p>
    <w:p>
      <w:pPr>
        <w:pStyle w:val="ListNumber"/>
      </w:pPr>
      <w:r>
        <w:rPr>
          <w:b/>
        </w:rPr>
        <w:t xml:space="preserve">Recibe 16 variables. </w:t>
      </w:r>
      <w:r>
        <w:t>Del mercado: rentabilidades a 1, 5 y 20 pasos, volatilidad, spread, desequilibrio del libro, profundidad y precio frente a sus medias. De la cartera propia: inventario, efectivo, rentabilidad del patrimonio, tiempo transcurrido y órdenes abiertas.</w:t>
      </w:r>
    </w:p>
    <w:p>
      <w:pPr>
        <w:pStyle w:val="ListNumber"/>
      </w:pPr>
      <w:r>
        <w:rPr>
          <w:b/>
        </w:rPr>
        <w:t xml:space="preserve">Siete redes neuronales (16→64→64→9) </w:t>
      </w:r>
      <w:r>
        <w:t>estiman el valor (Q) de cada una de las 9 acciones, y se promedian. Así se reduce el error de cualquier red individual.</w:t>
      </w:r>
    </w:p>
    <w:p>
      <w:pPr>
        <w:pStyle w:val="ListNumber"/>
      </w:pPr>
      <w:r>
        <w:rPr>
          <w:b/>
        </w:rPr>
        <w:t xml:space="preserve">La capa de seguridad anula las acciones que </w:t>
      </w:r>
      <w:r>
        <w:t>superarían 400 acciones de inventario, llevarían la exposición a más del 30 % del patrimonio, aumentarían la posición estando en −5 % (en ese caso obliga a reducirla) o abrirían posición con el libro roto.</w:t>
      </w:r>
    </w:p>
    <w:p>
      <w:pPr>
        <w:pStyle w:val="ListNumber"/>
      </w:pPr>
      <w:r>
        <w:rPr>
          <w:b/>
        </w:rPr>
        <w:t xml:space="preserve">La acción final es la de mayor valor (argmax), </w:t>
      </w:r>
      <w:r>
        <w:t>siempre válida.</w:t>
      </w:r>
    </w:p>
    <w:p>
      <w:r>
        <w:t>En la práctica, el modelo opera de forma moderada a ambos lados del mercado: gana en caídas y no depende de que el mercado suba.</w:t>
      </w:r>
    </w:p>
    <w:p>
      <w:pPr>
        <w:pStyle w:val="Heading1"/>
      </w:pPr>
      <w:r>
        <w:t>6. Limitaciones</w:t>
      </w:r>
    </w:p>
    <w:p>
      <w:pPr>
        <w:pStyle w:val="ListBullet"/>
      </w:pPr>
      <w:r>
        <w:rPr>
          <w:b/>
        </w:rPr>
        <w:t xml:space="preserve">Sacrifica la ganancia en tendencias alcistas: </w:t>
      </w:r>
      <w:r>
        <w:t>+0,5 % frente a +9 % de la regla. Es el precio de eliminar el sesgo comprador.</w:t>
      </w:r>
    </w:p>
    <w:p>
      <w:pPr>
        <w:pStyle w:val="ListBullet"/>
      </w:pPr>
      <w:r>
        <w:rPr>
          <w:b/>
        </w:rPr>
        <w:t xml:space="preserve">El escenario stress_test de ABIDES sigue siendo muy aleatorio. </w:t>
      </w:r>
      <w:r>
        <w:t>Las protecciones limitan la pérdida pero no la hacen predecible.</w:t>
      </w:r>
    </w:p>
    <w:p>
      <w:pPr>
        <w:pStyle w:val="ListBullet"/>
      </w:pPr>
      <w:r>
        <w:rPr>
          <w:b/>
        </w:rPr>
        <w:t xml:space="preserve">No conocemos el adaptador exacto del profesor: </w:t>
      </w:r>
      <w:r>
        <w:t>cómo mide la profundidad, cada cuánto actúa el agente y la escala de precios.</w:t>
      </w:r>
    </w:p>
    <w:p>
      <w:pPr>
        <w:pStyle w:val="Heading1"/>
      </w:pPr>
      <w:r>
        <w:t>7. Proceso</w:t>
      </w:r>
    </w:p>
    <w:p>
      <w:r>
        <w:t>Usamos varios agentes de IA en paralelo, cada uno con un experimento. Un orquestador comparaba todos los resultados con el mismo protocolo y decidía la siguiente ronda. Todo, incluidos los experimentos fallidos, está registrado en student_work/EXPERIMENTS.md.</w:t>
      </w:r>
    </w:p>
    <w:p>
      <w:pPr>
        <w:pStyle w:val="Heading1"/>
      </w:pPr>
      <w:r>
        <w:t>8. Segunda etapa: rondas 5 a 7</w:t>
      </w:r>
    </w:p>
    <w:p>
      <w:r>
        <w:t>Con más tiempo antes de la presentación repetimos el proceso partiendo del modelo v1. Antes de mirar ningún resultado nuevo fijamos semillas nuevas (tuning, validación y una prueba final holdout2 que solo se usa una vez) y las reglas para sustituir a v1.</w:t>
      </w:r>
    </w:p>
    <w:p>
      <w:pPr>
        <w:pStyle w:val="Heading2"/>
      </w:pPr>
      <w:r>
        <w:t>Ronda 5: diagnóstico en ABIDES con más escenarios</w:t>
      </w:r>
    </w:p>
    <w:p>
      <w:r>
        <w:t>Probamos v1 en 11 escenarios de ABIDES en vez de 4, incluidos un día con tendencia, mercados líquidos y poco profundos, y un agente que compra o vende 1,2 millones de acciones (presión compradora o vendedora). Resultado: v1 quedaba por debajo de no hacer nada (rentabilidad media −0,31 %). Las pérdidas venían de la ejecución, no de la predicción:</w:t>
      </w:r>
    </w:p>
    <w:p>
      <w:pPr>
        <w:pStyle w:val="ListBullet"/>
      </w:pPr>
      <w:r>
        <w:rPr>
          <w:b/>
        </w:rPr>
        <w:t xml:space="preserve">Órdenes en espera: </w:t>
      </w:r>
      <w:r>
        <w:t>varias órdenes límite grandes se ejecutaban a la vez y la posición llegaba a 120–170 acciones (más del 100 % del patrimonio), aunque la capa de seguridad apuntaba al 30 %.</w:t>
      </w:r>
    </w:p>
    <w:p>
      <w:pPr>
        <w:pStyle w:val="ListBullet"/>
      </w:pPr>
      <w:r>
        <w:rPr>
          <w:b/>
        </w:rPr>
        <w:t xml:space="preserve">Ventas forzadas en un libro vacío: </w:t>
      </w:r>
      <w:r>
        <w:t>con presión vendedora, el freno de pérdidas vendía a mercado sin compradores y perdía un −31 % aunque el precio acababa igual.</w:t>
      </w:r>
    </w:p>
    <w:p>
      <w:pPr>
        <w:pStyle w:val="ListBullet"/>
      </w:pPr>
      <w:r>
        <w:rPr>
          <w:b/>
        </w:rPr>
        <w:t xml:space="preserve">Rasgos fuera de rango: </w:t>
      </w:r>
      <w:r>
        <w:t>en ABIDES el desequilibrio del libro llega a ±0,6–0,85, cuando en práctica es ±0,15, así que las redes extrapolaban.</w:t>
      </w:r>
    </w:p>
    <w:p>
      <w:pPr>
        <w:pStyle w:val="Heading2"/>
      </w:pPr>
      <w:r>
        <w:t>Ronda 6: cuatro agentes en paralelo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Redes que siguen tendencias en ambos sentidos</w:t>
            </w:r>
          </w:p>
        </w:tc>
        <w:tc>
          <w:tcPr>
            <w:tcW w:type="dxa" w:w="4320"/>
          </w:tcPr>
          <w:p>
            <w:r>
              <w:t>Solas sí siguen la tendencia, pero dentro del ensamble las demás redes las anulan. Descartada.</w:t>
            </w:r>
          </w:p>
        </w:tc>
      </w:tr>
      <w:tr>
        <w:tc>
          <w:tcPr>
            <w:tcW w:type="dxa" w:w="4320"/>
          </w:tcPr>
          <w:p>
            <w:r>
              <w:t>30 redes nuevas con las recetas que ya funcionaban</w:t>
            </w:r>
          </w:p>
        </w:tc>
        <w:tc>
          <w:tcPr>
            <w:tcW w:type="dxa" w:w="4320"/>
          </w:tcPr>
          <w:p>
            <w:r>
              <w:t>14 de 30 pasan el filtro; dos de ellas se añaden al ensamble (9 redes).</w:t>
            </w:r>
          </w:p>
        </w:tc>
      </w:tr>
      <w:tr>
        <w:tc>
          <w:tcPr>
            <w:tcW w:type="dxa" w:w="4320"/>
          </w:tcPr>
          <w:p>
            <w:r>
              <w:t>Guardia de órdenes en espera</w:t>
            </w:r>
          </w:p>
        </w:tc>
        <w:tc>
          <w:tcPr>
            <w:tcW w:type="dxa" w:w="4320"/>
          </w:tcPr>
          <w:p>
            <w:r>
              <w:t>Arregla los dos casos de pérdida grande en ABIDES; cuesta algo de rentabilidad en el mercado de práctica.</w:t>
            </w:r>
          </w:p>
        </w:tc>
      </w:tr>
      <w:tr>
        <w:tc>
          <w:tcPr>
            <w:tcW w:type="dxa" w:w="4320"/>
          </w:tcPr>
          <w:p>
            <w:r>
              <w:t>Neutralizar los rasgos del libro de órdenes</w:t>
            </w:r>
          </w:p>
        </w:tc>
        <w:tc>
          <w:tcPr>
            <w:tcW w:type="dxa" w:w="4320"/>
          </w:tcPr>
          <w:p>
            <w:r>
              <w:t>Igual en práctica y mucho mejor en ABIDES.</w:t>
            </w:r>
          </w:p>
        </w:tc>
      </w:tr>
    </w:tbl>
    <w:p/>
    <w:p>
      <w:pPr>
        <w:pStyle w:val="Heading2"/>
      </w:pPr>
      <w:r>
        <w:t>Ronda 7: combinación y validación</w:t>
      </w:r>
    </w:p>
    <w:p>
      <w:r>
        <w:t>Ninguna pieza sola es suficiente. En la validación de ABIDES (55 simulaciones con semillas nuevas), solo la combinación de las dos mejoras es a la vez rentable y segura:</w:t>
      </w:r>
    </w:p>
    <w:p>
      <w:r>
        <w:drawing>
          <wp:inline xmlns:a="http://schemas.openxmlformats.org/drawingml/2006/main" xmlns:pic="http://schemas.openxmlformats.org/drawingml/2006/picture">
            <wp:extent cx="5760720" cy="2050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bides_abl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candidato v2 es: 9 redes (las 7 de v1 más 2 nuevas) + guardia de órdenes en espera (bloquea las órdenes grandes que aumentan la posición mientras hay órdenes sin ejecutar) + rasgos del libro neutralizados. Las protecciones de v1 se mantienen.</w:t>
      </w:r>
    </w:p>
    <w:p>
      <w:pPr>
        <w:pStyle w:val="Heading1"/>
      </w:pPr>
      <w:r>
        <w:t>9. Prueba final y decisión</w:t>
      </w:r>
    </w:p>
    <w:p>
      <w:r>
        <w:t>Las reglas para sustituir a v1 se escribieron antes de ver ningún resultado de la prueba final. v2 tenía que cumplir las cuatro: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Criterio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¿Cumple?</w:t>
            </w:r>
          </w:p>
        </w:tc>
      </w:tr>
      <w:tr>
        <w:tc>
          <w:tcPr>
            <w:tcW w:type="dxa" w:w="2160"/>
          </w:tcPr>
          <w:p>
            <w:r>
              <w:t>1. Práctica (holdout2): puntuación ≥ v1</w:t>
            </w:r>
          </w:p>
        </w:tc>
        <w:tc>
          <w:tcPr>
            <w:tcW w:type="dxa" w:w="2160"/>
          </w:tcPr>
          <w:p>
            <w:r>
              <w:t>0,6375</w:t>
            </w:r>
          </w:p>
        </w:tc>
        <w:tc>
          <w:tcPr>
            <w:tcW w:type="dxa" w:w="2160"/>
          </w:tcPr>
          <w:p>
            <w:r>
              <w:t>0,6375</w:t>
            </w:r>
          </w:p>
        </w:tc>
        <w:tc>
          <w:tcPr>
            <w:tcW w:type="dxa" w:w="2160"/>
          </w:tcPr>
          <w:p>
            <w:r>
              <w:t>Sí (empate exacto)</w:t>
            </w:r>
          </w:p>
        </w:tc>
      </w:tr>
      <w:tr>
        <w:tc>
          <w:tcPr>
            <w:tcW w:type="dxa" w:w="2160"/>
          </w:tcPr>
          <w:p>
            <w:r>
              <w:t>2a. ABIDES, 110 simulaciones: rentabilidad media ≥ v1</w:t>
            </w:r>
          </w:p>
        </w:tc>
        <w:tc>
          <w:tcPr>
            <w:tcW w:type="dxa" w:w="2160"/>
          </w:tcPr>
          <w:p>
            <w:r>
              <w:t>+3,25 %</w:t>
            </w:r>
          </w:p>
        </w:tc>
        <w:tc>
          <w:tcPr>
            <w:tcW w:type="dxa" w:w="2160"/>
          </w:tcPr>
          <w:p>
            <w:r>
              <w:t>+0,60 %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2b. ABIDES: drawdown medio ≤ 1,25 × v1</w:t>
            </w:r>
          </w:p>
        </w:tc>
        <w:tc>
          <w:tcPr>
            <w:tcW w:type="dxa" w:w="2160"/>
          </w:tcPr>
          <w:p>
            <w:r>
              <w:t>4,9 %</w:t>
            </w:r>
          </w:p>
        </w:tc>
        <w:tc>
          <w:tcPr>
            <w:tcW w:type="dxa" w:w="2160"/>
          </w:tcPr>
          <w:p>
            <w:r>
              <w:t>4,1 %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2c. ABIDES: drawdown máximo ≤ el de v1</w:t>
            </w:r>
          </w:p>
        </w:tc>
        <w:tc>
          <w:tcPr>
            <w:tcW w:type="dxa" w:w="2160"/>
          </w:tcPr>
          <w:p>
            <w:r>
              <w:t>116 %</w:t>
            </w:r>
          </w:p>
        </w:tc>
        <w:tc>
          <w:tcPr>
            <w:tcW w:type="dxa" w:w="2160"/>
          </w:tcPr>
          <w:p>
            <w:r>
              <w:t>98 %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3. ABIDES competitivo: rentabilidad ≥ v1 y drawdown máx. ≤ 20 %</w:t>
            </w:r>
          </w:p>
        </w:tc>
        <w:tc>
          <w:tcPr>
            <w:tcW w:type="dxa" w:w="2160"/>
          </w:tcPr>
          <w:p>
            <w:r>
              <w:t>+3,31 % / 15 %</w:t>
            </w:r>
          </w:p>
        </w:tc>
        <w:tc>
          <w:tcPr>
            <w:tcW w:type="dxa" w:w="2160"/>
          </w:tcPr>
          <w:p>
            <w:r>
              <w:t>+0,75 % / 16 %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4. Compatible con PyTorch 2.2</w:t>
            </w:r>
          </w:p>
        </w:tc>
        <w:tc>
          <w:tcPr>
            <w:tcW w:type="dxa" w:w="2160"/>
          </w:tcPr>
          <w:p>
            <w:r>
              <w:t>idéntico</w:t>
            </w:r>
          </w:p>
        </w:tc>
        <w:tc>
          <w:tcPr>
            <w:tcW w:type="dxa" w:w="2160"/>
          </w:tcPr>
          <w:p>
            <w:r>
              <w:t>idéntico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2906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ides_prueba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85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bides_competi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Decisión: </w:t>
      </w:r>
      <w:r>
        <w:t>v2 no pasó la prueba: en una sola simulación (volátil + momentum) perdió un −126 %. Por eso el modelo entregado sigue siendo v1 (TEAM_01.zip no cambia). Respetamos la regla aunque v2 sea mejor en casi todas las medias, porque elegir después de ver el resultado sería hacer trampa con nuestra propia prueba.</w:t>
      </w:r>
    </w:p>
    <w:p>
      <w:r>
        <w:rPr>
          <w:b/>
        </w:rPr>
        <w:t xml:space="preserve">Por qué falló: </w:t>
      </w:r>
      <w:r>
        <w:t>en esa simulación el libro de órdenes se vació (spread de 87 $). El freno de pérdidas obliga a cerrar la posición con una orden a mercado, y sin contrapartida esa orden se ejecuta a precios absurdos. v1 tiene el mismo punto débil (−97 % con presión compradora). El siguiente paso sería que el freno espere (HOLD) mientras el libro está roto, y probarlo con semillas nuevas.</w:t>
      </w:r>
    </w:p>
    <w:p>
      <w:r>
        <w:rPr>
          <w:b/>
        </w:rPr>
        <w:t xml:space="preserve">Lo que aprendimos: </w:t>
      </w:r>
      <w:r>
        <w:t>una prueba previa y honesta puede rechazar un modelo que parece mejor. El drawdown máximo es un 20 % de la nota y un solo episodio catastrófico pesa mucho, así que preferimos el modelo cuyo peor caso ya conocemos.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