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Rule="auto" w:line="276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RASMIY SAVOLLAR RO'YXATI</w:t>
      </w:r>
    </w:p>
    <w:p>
      <w:pPr>
        <w:keepNext/>
        <w:spacing w:before="0" w:after="200" w:lineRule="auto" w:line="276"/>
        <w:jc w:val="center"/>
        <w:pBdr>
          <w:bottom w:val="single" w:sz="8" w:space="1" w:color="000000"/>
        </w:pBdr>
      </w:pPr>
      <w:r>
        <w:rPr>
          <w:rFonts w:ascii="Times New Roman" w:hAnsi="Times New Roman" w:cs="Times New Roman" w:eastAsia="Times New Roman"/>
          <w:b/>
          <w:sz w:val="25"/>
        </w:rPr>
        <w:t>TT-2026-001 bo'yicha ochiq qarorlarni yopish uchun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3301"/>
        <w:gridCol w:w="6053"/>
      </w:tblGrid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Yuboruvchi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Axborot texnologiyalari departamenti (Z. Orifxo'jayev)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Qabul qiluvchi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Kichik biznes departamenti (KBD) boshlig'i (J. Makhmudov)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Asos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TT-2026-001 v0.1, 23-bo'lim (Ochiq qarorlar) va 21-bo'lim (Buyurtmachi topshiqlari); BT-2026-001 v1.0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Javob muddati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Har bir savolga ko'rsatilgan sana gacha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Javob shakli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Xat bilan (qog'oz yoki e-imzo). Har javob — savol raqami + tanlangan variant (masalan: «J-3 — B variant») yoki yozma izoh.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Nega bu muhim.</w:t>
      </w:r>
      <w:r>
        <w:rPr>
          <w:rFonts w:ascii="Times New Roman" w:hAnsi="Times New Roman" w:cs="Times New Roman" w:eastAsia="Times New Roman"/>
          <w:sz w:val="24"/>
        </w:rPr>
        <w:t xml:space="preserve"> TT-2026-001 hozircha v0.1 loyihadir: 23-bo'lim talabiga ko'ra ochiq qarorlar yopilmasa hujjat imzolangan hisoblanmaydi va loyiha ish boshlanish sanasi siljiydi (TT 25.3). Har savol tagida </w:t>
      </w:r>
      <w:r>
        <w:rPr>
          <w:rFonts w:ascii="Times New Roman" w:hAnsi="Times New Roman" w:cs="Times New Roman" w:eastAsia="Times New Roman"/>
          <w:b/>
          <w:sz w:val="24"/>
        </w:rPr>
        <w:t>javob kelmasa kuchga kiradigan default</w:t>
      </w:r>
      <w:r>
        <w:rPr>
          <w:rFonts w:ascii="Times New Roman" w:hAnsi="Times New Roman" w:cs="Times New Roman" w:eastAsia="Times New Roman"/>
          <w:sz w:val="24"/>
        </w:rPr>
        <w:t xml:space="preserve"> yozilgan — javobsizlik ham qaror, lekin eng noqulay variant sifatida.</w:t>
      </w: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80" w:after="120" w:lineRule="auto" w:line="276"/>
        <w:outlineLvl w:val="0"/>
      </w:pPr>
      <w:r>
        <w:rPr>
          <w:rFonts w:ascii="Times New Roman" w:hAnsi="Times New Roman" w:cs="Times New Roman" w:eastAsia="Times New Roman"/>
          <w:b/>
          <w:sz w:val="25"/>
        </w:rPr>
        <w:t>BLOK A. Taqqoslash metodologiyasi (eng og'ir savollar)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J-1. Qaysi parametrlar bo'yicha va qanday og'irlikda «eng zomin/eng yaxshi» deb baholanadi?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OD-1, D-3, 9.3-bo'lim.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Tizim har bir bank mahsulotini 12 parametr bo'yicha raqamlaydi, lekin «ustunlik» xulosasi uchun parametrlarning </w:t>
      </w:r>
      <w:r>
        <w:rPr>
          <w:rFonts w:ascii="Times New Roman" w:hAnsi="Times New Roman" w:cs="Times New Roman" w:eastAsia="Times New Roman"/>
          <w:b/>
          <w:sz w:val="24"/>
        </w:rPr>
        <w:t>nisbiy ahamiyati</w:t>
      </w:r>
      <w:r>
        <w:rPr>
          <w:rFonts w:ascii="Times New Roman" w:hAnsi="Times New Roman" w:cs="Times New Roman" w:eastAsia="Times New Roman"/>
          <w:sz w:val="24"/>
        </w:rPr>
        <w:t xml:space="preserve"> kerak. Bu texnik emas — biznes qarori. Ijrochi buni o'zi belgilasa, natija «sizning savolingizga javob bermadi» deb rad etilishi mumkin.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3301"/>
        <w:gridCol w:w="6053"/>
      </w:tblGrid>
      <w:tr>
        <w:trPr>
          <w:tblHeader/>
          <w:cantSplit/>
        </w:trPr>
        <w:tc>
          <w:tcPr>
            <w:tcW w:type="dxa" w:w="4677"/>
            <w:tcW w:w="3301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Variant</w:t>
            </w:r>
          </w:p>
        </w:tc>
        <w:tc>
          <w:tcPr>
            <w:tcW w:type="dxa" w:w="4677"/>
            <w:tcW w:w="6053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Mazmun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A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Barcha 12 parametr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teng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ahamiyatda (default — kuchsiz, real biznes mantig'iga ko'p hollarda to'g'ri kelmaydi)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KBD og'irliklarni o'zi belgilaydi: stavka __%, ta'minot __%, muddat __%, summa __%, komissiya __%, imtiyozli davr __% (yig'indisi 100%)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C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KBD parametrlarni faqat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darajalar</w:t>
            </w:r>
            <w:r>
              <w:rPr>
                <w:rFonts w:ascii="Times New Roman" w:hAnsi="Times New Roman" w:cs="Times New Roman" w:eastAsia="Times New Roman"/>
                <w:sz w:val="21"/>
              </w:rPr>
              <w:t>ga saralaydi (kritik / muhim / ikkinchi daraja), og'irlikni biz bir tekis taqsimlaymiz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A variant (teng taqsimot) va reyting ustiga «og'irliklar kelishilmagan» yozuvi chiqadi. Reyting bo'limi qabul qilinmaydi deb hisoblanadi (TT BRB-03).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J-2. Taqqoslash qanday «guruhlar» ichida o'tkaziladi?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D-3, 9.3.1-bo'lim. Muddat: J-1 bilan birga.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>Har xil mahsulotlarni bitta jadvalga solish noto'g'ri natija beradi. Quyidagi guruhlash qoidasini tasdiqlang yoki to'g'rilang: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 xml:space="preserve">1. Mahsulot turlari bo'yicha alohida (aylanma kapital, investitsion kredit, lizing, kafolat va h.k.) — </w:t>
      </w:r>
      <w:r>
        <w:rPr>
          <w:rFonts w:ascii="Times New Roman" w:hAnsi="Times New Roman" w:cs="Times New Roman" w:eastAsia="Times New Roman"/>
          <w:b/>
          <w:sz w:val="24"/>
        </w:rPr>
        <w:t>KBD 1-turdagi mahsulot turlari ro'yxatini berishi kerak</w:t>
      </w:r>
      <w:r>
        <w:rPr>
          <w:rFonts w:ascii="Times New Roman" w:hAnsi="Times New Roman" w:cs="Times New Roman" w:eastAsia="Times New Roman"/>
          <w:sz w:val="24"/>
        </w:rPr>
        <w:t xml:space="preserve"> (ro'yxat hozircha yo'q, bu ham shu javobning bir qismi);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>2. Segment bo'yicha alohida (yuridik shaxs / KHB);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>3. Summa va muddat oralig'i kesishmagandagina taqqoslash;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>4. Guruhda 3 tadan kam taklif bo'lsa — «taqqoslash uchun asos yo'q» deb ko'rsatiladi, majburiy birlashtirish qilinmaydi.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biz BT matnidan chiqarilgan taxminiy 6 ta tur ro'yxati bilan ishlaymiz — xato bo'lsa, Faza III qayta ishlanadi (jadval +3-4 hafta).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J-3. BRB o'z mahsulotlari ma'lumoti tizimga qayerdan keladi?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 xml:space="preserve">TT bog'lanish: OD-2, BRB-05. Muddat: </w:t>
      </w:r>
      <w:r>
        <w:rPr>
          <w:rFonts w:ascii="Times New Roman" w:hAnsi="Times New Roman" w:cs="Times New Roman" w:eastAsia="Times New Roman"/>
          <w:i/>
          <w:sz w:val="24"/>
        </w:rPr>
        <w:t>loyiha boshlanishigacha</w:t>
      </w:r>
      <w:r>
        <w:rPr>
          <w:rFonts w:ascii="Times New Roman" w:hAnsi="Times New Roman" w:cs="Times New Roman" w:eastAsia="Times New Roman"/>
          <w:i/>
          <w:sz w:val="24"/>
        </w:rPr>
        <w:t xml:space="preserve"> — kechikish kritik yo'lni uzaytiradi.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>Raqobatchilarni o'z mahsulotimiz bilan solishtiramiz — demak BRB tomoni ham tizimda aniq turishi kerak.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2315"/>
        <w:gridCol w:w="2795"/>
        <w:gridCol w:w="4244"/>
      </w:tblGrid>
      <w:tr>
        <w:trPr>
          <w:tblHeader/>
          <w:cantSplit/>
        </w:trPr>
        <w:tc>
          <w:tcPr>
            <w:tcW w:type="dxa" w:w="3118"/>
            <w:tcW w:w="2315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Variant</w:t>
            </w:r>
          </w:p>
        </w:tc>
        <w:tc>
          <w:tcPr>
            <w:tcW w:type="dxa" w:w="3118"/>
            <w:tcW w:w="2795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Mazmun</w:t>
            </w:r>
          </w:p>
        </w:tc>
        <w:tc>
          <w:tcPr>
            <w:tcW w:type="dxa" w:w="3118"/>
            <w:tcW w:w="4244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Narx / muddat ta'siri</w:t>
            </w:r>
          </w:p>
        </w:tc>
      </w:tr>
      <w:tr>
        <w:trPr>
          <w:cantSplit/>
        </w:trPr>
        <w:tc>
          <w:tcPr>
            <w:tcW w:type="dxa" w:w="3118"/>
            <w:tcW w:w="231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A</w:t>
            </w:r>
          </w:p>
        </w:tc>
        <w:tc>
          <w:tcPr>
            <w:tcW w:type="dxa" w:w="3118"/>
            <w:tcW w:w="279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KBD xodimi admin UI orqali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qo'lda kiritadi/yangilaydi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(default)</w:t>
            </w:r>
          </w:p>
        </w:tc>
        <w:tc>
          <w:tcPr>
            <w:tcW w:type="dxa" w:w="3118"/>
            <w:tcW w:w="424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0 PD; lekin aniqlik va yangilanish uchun javobgarlik KBD'da — mas'ul xodim va yangilash chastotasi ko'rsatilishi shart</w:t>
            </w:r>
          </w:p>
        </w:tc>
      </w:tr>
      <w:tr>
        <w:trPr>
          <w:cantSplit/>
        </w:trPr>
        <w:tc>
          <w:tcPr>
            <w:tcW w:type="dxa" w:w="3118"/>
            <w:tcW w:w="231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</w:t>
            </w:r>
          </w:p>
        </w:tc>
        <w:tc>
          <w:tcPr>
            <w:tcW w:type="dxa" w:w="3118"/>
            <w:tcW w:w="279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iABS read-only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ulanish orqali avtomatik</w:t>
            </w:r>
          </w:p>
        </w:tc>
        <w:tc>
          <w:tcPr>
            <w:tcW w:type="dxa" w:w="3118"/>
            <w:tcW w:w="424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13 PD + atamalar hisobi va tarmoq ruxsati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1-haftada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boshlanishi shart (BRB-05)</w:t>
            </w:r>
          </w:p>
        </w:tc>
      </w:tr>
      <w:tr>
        <w:trPr>
          <w:cantSplit/>
        </w:trPr>
        <w:tc>
          <w:tcPr>
            <w:tcW w:type="dxa" w:w="3118"/>
            <w:tcW w:w="231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C</w:t>
            </w:r>
          </w:p>
        </w:tc>
        <w:tc>
          <w:tcPr>
            <w:tcW w:type="dxa" w:w="3118"/>
            <w:tcW w:w="279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DWH-DS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orqali (texnik kanal tayyor)</w:t>
            </w:r>
          </w:p>
        </w:tc>
        <w:tc>
          <w:tcPr>
            <w:tcW w:type="dxa" w:w="3118"/>
            <w:tcW w:w="424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~3 PD; lekin DWH'da kredit shartlari (ta'minot, komissiya, imtiyoz) bormi — tekshiruv kerak, javobingizdan keyin 3 kun ish</w:t>
            </w:r>
          </w:p>
        </w:tc>
      </w:tr>
      <w:tr>
        <w:trPr>
          <w:cantSplit/>
        </w:trPr>
        <w:tc>
          <w:tcPr>
            <w:tcW w:type="dxa" w:w="3118"/>
            <w:tcW w:w="231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D</w:t>
            </w:r>
          </w:p>
        </w:tc>
        <w:tc>
          <w:tcPr>
            <w:tcW w:type="dxa" w:w="3118"/>
            <w:tcW w:w="279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brb.uz saytimizni ham skreypering qilamiz</w:t>
            </w:r>
          </w:p>
        </w:tc>
        <w:tc>
          <w:tcPr>
            <w:tcW w:type="dxa" w:w="3118"/>
            <w:tcW w:w="424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o'z mahsulotimiz uchun ikkinchi, nazoratsiz manba ochiladi (bir ma'lumot ikki xil yo'l bilan yangilanadi); tavsiya etilmaydi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A variant kuchga kiradi va «BRB ma'lumoti eskirgan» da'vosi qabuldan keyingi kelishmovchilik hisoblanmaydi (aktga yoziladi).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J-4. Birinchi bosqich qamrovi: faqat yuridik shaxslar + KHBmi?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OD-3, 2.1-bo'lim.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3301"/>
        <w:gridCol w:w="6053"/>
      </w:tblGrid>
      <w:tr>
        <w:trPr>
          <w:tblHeader/>
          <w:cantSplit/>
        </w:trPr>
        <w:tc>
          <w:tcPr>
            <w:tcW w:type="dxa" w:w="4677"/>
            <w:tcW w:w="3301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Variant</w:t>
            </w:r>
          </w:p>
        </w:tc>
        <w:tc>
          <w:tcPr>
            <w:tcW w:type="dxa" w:w="4677"/>
            <w:tcW w:w="6053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Mazmun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A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Faza 1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— yuridik shaxslar + KHB kreditlari; jismoniy shaxslar — 2-bosqich (default, tavsiya)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Bir bosqichda hammasi, jismoniy shaxslar bilan. Manba soni ~2 barobar oshadi, jadval ≈ +6-8 hafta, baho +35-45 PD</w:t>
            </w:r>
          </w:p>
        </w:tc>
      </w:tr>
      <w:tr>
        <w:trPr>
          <w:cantSplit/>
        </w:trPr>
        <w:tc>
          <w:tcPr>
            <w:tcW w:type="dxa" w:w="4677"/>
            <w:tcW w:w="3301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C</w:t>
            </w:r>
          </w:p>
        </w:tc>
        <w:tc>
          <w:tcPr>
            <w:tcW w:type="dxa" w:w="4677"/>
            <w:tcW w:w="6053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Faqat yuridik shaxslar (KHB ham keyin). Jadval −2 hafta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A.</w:t>
      </w: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80" w:after="120" w:lineRule="auto" w:line="276"/>
        <w:outlineLvl w:val="0"/>
      </w:pPr>
      <w:r>
        <w:rPr>
          <w:rFonts w:ascii="Times New Roman" w:hAnsi="Times New Roman" w:cs="Times New Roman" w:eastAsia="Times New Roman"/>
          <w:b/>
          <w:sz w:val="25"/>
        </w:rPr>
        <w:t>BLOK B. AI qatlamiga oid savollar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J-5. «AI tavsiyalar» (FR-09) o'rniga nima bo'ladi?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OD-8, 9.4–9.5-bo'limlar.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BT'da «AI mahsulot tavsiyalari» bor, lekin qabul mezoni yo'q va tavsiyaga asoslanib biznes qaror qilingan taqdirda javobgarlik belgilanmagan. Biz buni </w:t>
      </w:r>
      <w:r>
        <w:rPr>
          <w:rFonts w:ascii="Times New Roman" w:hAnsi="Times New Roman" w:cs="Times New Roman" w:eastAsia="Times New Roman"/>
          <w:b/>
          <w:sz w:val="24"/>
        </w:rPr>
        <w:t>raqamli tahlil</w:t>
      </w:r>
      <w:r>
        <w:rPr>
          <w:rFonts w:ascii="Times New Roman" w:hAnsi="Times New Roman" w:cs="Times New Roman" w:eastAsia="Times New Roman"/>
          <w:sz w:val="24"/>
        </w:rPr>
        <w:t xml:space="preserve"> bilan almashtirishni taklif qilamiz: «foiz stavkangiz guruh medianasidan +3.2 p.p. yuqori — 11 tadan 9 tasi past» kabi aniq, tekshiriladigan xulosalar (har xulosa tagida manba va sana).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2440"/>
        <w:gridCol w:w="2440"/>
        <w:gridCol w:w="4474"/>
      </w:tblGrid>
      <w:tr>
        <w:trPr>
          <w:tblHeader/>
          <w:cantSplit/>
        </w:trPr>
        <w:tc>
          <w:tcPr>
            <w:tcW w:type="dxa" w:w="3118"/>
            <w:tcW w:w="2440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Variant</w:t>
            </w:r>
          </w:p>
        </w:tc>
        <w:tc>
          <w:tcPr>
            <w:tcW w:type="dxa" w:w="3118"/>
            <w:tcW w:w="2440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Mazmun</w:t>
            </w:r>
          </w:p>
        </w:tc>
        <w:tc>
          <w:tcPr>
            <w:tcW w:type="dxa" w:w="3118"/>
            <w:tcW w:w="4474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Narx / shart</w:t>
            </w:r>
          </w:p>
        </w:tc>
      </w:tr>
      <w:tr>
        <w:trPr>
          <w:cantSplit/>
        </w:trPr>
        <w:tc>
          <w:tcPr>
            <w:tcW w:type="dxa" w:w="3118"/>
            <w:tcW w:w="2440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A</w:t>
            </w:r>
          </w:p>
        </w:tc>
        <w:tc>
          <w:tcPr>
            <w:tcW w:type="dxa" w:w="3118"/>
            <w:tcW w:w="2440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Raqamli gap-analysis yetarli (default, tavsiya)</w:t>
            </w:r>
          </w:p>
        </w:tc>
        <w:tc>
          <w:tcPr>
            <w:tcW w:type="dxa" w:w="3118"/>
            <w:tcW w:w="447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0 qo'shimcha PD</w:t>
            </w:r>
          </w:p>
        </w:tc>
      </w:tr>
      <w:tr>
        <w:trPr>
          <w:cantSplit/>
        </w:trPr>
        <w:tc>
          <w:tcPr>
            <w:tcW w:type="dxa" w:w="3118"/>
            <w:tcW w:w="2440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</w:t>
            </w:r>
          </w:p>
        </w:tc>
        <w:tc>
          <w:tcPr>
            <w:tcW w:type="dxa" w:w="3118"/>
            <w:tcW w:w="2440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Generativ matnli tavsiyalar ham kerak</w:t>
            </w:r>
          </w:p>
        </w:tc>
        <w:tc>
          <w:tcPr>
            <w:tcW w:type="dxa" w:w="3118"/>
            <w:tcW w:w="447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Ichki LLM gateway shart (OD-7, AT tomoniga alohida so'raladi) + har tavsiya yoniga «bu AI taxmini, qaror javobgarligi foydalanuvchida» degan yozuv + Yurist kelishuvi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A. B varianti keyin ochilsa — alohida o'zgarish so'rovi orqali.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J-6. Qo'lda tekshirish navbati (review queue) uchun KBD resursi — kim va qancha vaqt?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BRB-02, 18.2-bo'lim.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Model ishonchsiz topilgalarni va etalon to'plamni inson tasdiqlaydi. Bu KBD'ning </w:t>
      </w:r>
      <w:r>
        <w:rPr>
          <w:rFonts w:ascii="Times New Roman" w:hAnsi="Times New Roman" w:cs="Times New Roman" w:eastAsia="Times New Roman"/>
          <w:b/>
          <w:sz w:val="24"/>
        </w:rPr>
        <w:t>eng katta doimiy ishtiroki</w:t>
      </w:r>
      <w:r>
        <w:rPr>
          <w:rFonts w:ascii="Times New Roman" w:hAnsi="Times New Roman" w:cs="Times New Roman" w:eastAsia="Times New Roman"/>
          <w:sz w:val="24"/>
        </w:rPr>
        <w:t>: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 xml:space="preserve">1. Etalon to'plam: </w:t>
      </w:r>
      <w:r>
        <w:rPr>
          <w:rFonts w:ascii="Times New Roman" w:hAnsi="Times New Roman" w:cs="Times New Roman" w:eastAsia="Times New Roman"/>
          <w:b/>
          <w:sz w:val="24"/>
        </w:rPr>
        <w:t>2 belgilovchi + 1 hakam</w:t>
      </w:r>
      <w:r>
        <w:rPr>
          <w:rFonts w:ascii="Times New Roman" w:hAnsi="Times New Roman" w:cs="Times New Roman" w:eastAsia="Times New Roman"/>
          <w:sz w:val="24"/>
        </w:rPr>
        <w:t xml:space="preserve">, jami ≈ </w:t>
      </w:r>
      <w:r>
        <w:rPr>
          <w:rFonts w:ascii="Times New Roman" w:hAnsi="Times New Roman" w:cs="Times New Roman" w:eastAsia="Times New Roman"/>
          <w:b/>
          <w:sz w:val="24"/>
        </w:rPr>
        <w:t>120 soat</w:t>
      </w:r>
      <w:r>
        <w:rPr>
          <w:rFonts w:ascii="Times New Roman" w:hAnsi="Times New Roman" w:cs="Times New Roman" w:eastAsia="Times New Roman"/>
          <w:sz w:val="24"/>
        </w:rPr>
        <w:t>, Faza I davomida (haftasiga ~8-10 soat/odam);</w:t>
      </w:r>
    </w:p>
    <w:p>
      <w:pPr>
        <w:spacing w:before="0" w:after="60" w:lineRule="auto" w:line="276"/>
        <w:ind w:left="510" w:hanging="510"/>
      </w:pPr>
      <w:r>
        <w:rPr>
          <w:rFonts w:ascii="Times New Roman" w:hAnsi="Times New Roman" w:cs="Times New Roman" w:eastAsia="Times New Roman"/>
          <w:sz w:val="24"/>
        </w:rPr>
        <w:t>2. Doimiy rejim: review queue uchun haftasiga ≈ 3-5 soat (taxmin — real hajm Faza II'da aniqlanadi).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Iltimos javob bering: </w:t>
      </w:r>
      <w:r>
        <w:rPr>
          <w:rFonts w:ascii="Times New Roman" w:hAnsi="Times New Roman" w:cs="Times New Roman" w:eastAsia="Times New Roman"/>
          <w:b/>
          <w:sz w:val="24"/>
        </w:rPr>
        <w:t>(a)</w:t>
      </w:r>
      <w:r>
        <w:rPr>
          <w:rFonts w:ascii="Times New Roman" w:hAnsi="Times New Roman" w:cs="Times New Roman" w:eastAsia="Times New Roman"/>
          <w:sz w:val="24"/>
        </w:rPr>
        <w:t xml:space="preserve"> belgilovchilarning familiyalari va ularning bandligiga rozilik; </w:t>
      </w:r>
      <w:r>
        <w:rPr>
          <w:rFonts w:ascii="Times New Roman" w:hAnsi="Times New Roman" w:cs="Times New Roman" w:eastAsia="Times New Roman"/>
          <w:b/>
          <w:sz w:val="24"/>
        </w:rPr>
        <w:t>(b)</w:t>
      </w:r>
      <w:r>
        <w:rPr>
          <w:rFonts w:ascii="Times New Roman" w:hAnsi="Times New Roman" w:cs="Times New Roman" w:eastAsia="Times New Roman"/>
          <w:sz w:val="24"/>
        </w:rPr>
        <w:t xml:space="preserve"> haftalik ~3-5 soatlik doimiy yuk KBD uchun qabul qilinganmi?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etalon yig'ilmaydi → «98% aniqlik» mezoni </w:t>
      </w:r>
      <w:r>
        <w:rPr>
          <w:rFonts w:ascii="Times New Roman" w:hAnsi="Times New Roman" w:cs="Times New Roman" w:eastAsia="Times New Roman"/>
          <w:b/>
          <w:sz w:val="24"/>
        </w:rPr>
        <w:t>o'lchansiz</w:t>
      </w:r>
      <w:r>
        <w:rPr>
          <w:rFonts w:ascii="Times New Roman" w:hAnsi="Times New Roman" w:cs="Times New Roman" w:eastAsia="Times New Roman"/>
          <w:sz w:val="24"/>
        </w:rPr>
        <w:t xml:space="preserve"> qoladi → qabul testini o'tkazib bo'lmaydi. Bu — loyihadagi KBD ixtiyoridagi yagona almashtirib bo'lmaydigan javob.</w:t>
      </w: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J-7. Alertlarni nima «muhim» deb hisoblaydi?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TT bog'lanish: 10.2–10.3-bo'limlar (shovqin chegarasi va kvotalar).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3118"/>
            <w:tcW w:w="311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Sozlama</w:t>
            </w:r>
          </w:p>
        </w:tc>
        <w:tc>
          <w:tcPr>
            <w:tcW w:type="dxa" w:w="3118"/>
            <w:tcW w:w="311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Bizning default</w:t>
            </w:r>
          </w:p>
        </w:tc>
        <w:tc>
          <w:tcPr>
            <w:tcW w:type="dxa" w:w="3118"/>
            <w:tcW w:w="311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J-7 bo'yicha KBD javobi (e/yoq yoki o'z qiymatingiz)</w:t>
            </w:r>
          </w:p>
        </w:tc>
      </w:tr>
      <w:tr>
        <w:trPr>
          <w:cantSplit/>
        </w:trPr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Stavka o'zgarishi bo'yicha minimal sezgirlik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0.3 p.p. dan kichik o'zgarish xabar qilmaydi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e / yoq / son: ____</w:t>
            </w:r>
          </w:p>
        </w:tc>
      </w:tr>
      <w:tr>
        <w:trPr>
          <w:cantSplit/>
        </w:trPr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SMS limiti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1 kishiga kuniga 20 ta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e / yoq / son: ____</w:t>
            </w:r>
          </w:p>
        </w:tc>
      </w:tr>
      <w:tr>
        <w:trPr>
          <w:cantSplit/>
        </w:trPr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Tinch soatlar (xabar yuborilmaydi)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21:00–07:00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e / yoq / oralik: ____</w:t>
            </w:r>
          </w:p>
        </w:tc>
      </w:tr>
      <w:tr>
        <w:trPr>
          <w:cantSplit/>
        </w:trPr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«Mahsulot olib tashlandi» xabari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2 ta ketma-ket siklda tasdiqlangan keyin</w:t>
            </w:r>
          </w:p>
        </w:tc>
        <w:tc>
          <w:tcPr>
            <w:tcW w:type="dxa" w:w="3118"/>
            <w:tcW w:w="311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e / yoq</w:t>
            </w:r>
          </w:p>
        </w:tc>
      </w:tr>
    </w:tbl>
    <w:p>
      <w:pPr>
        <w:spacing w:before="0" w:after="80" w:lineRule="auto" w:line="276"/>
      </w:pP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b/>
          <w:sz w:val="24"/>
        </w:rPr>
        <w:t>Javob kelmasa:</w:t>
      </w:r>
      <w:r>
        <w:rPr>
          <w:rFonts w:ascii="Times New Roman" w:hAnsi="Times New Roman" w:cs="Times New Roman" w:eastAsia="Times New Roman"/>
          <w:sz w:val="24"/>
        </w:rPr>
        <w:t xml:space="preserve"> defaultlar; «ko'p xabar keldi / yetib kelmadi» shikoyati asossiz hisoblanadi.</w:t>
      </w: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80" w:after="120" w:lineRule="auto" w:line="276"/>
        <w:outlineLvl w:val="0"/>
      </w:pPr>
      <w:r>
        <w:rPr>
          <w:rFonts w:ascii="Times New Roman" w:hAnsi="Times New Roman" w:cs="Times New Roman" w:eastAsia="Times New Roman"/>
          <w:b/>
          <w:sz w:val="25"/>
        </w:rPr>
        <w:t>BLOK C. Qabul shartlarini yozma tasdiqlash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Bular «savol» emas, </w:t>
      </w:r>
      <w:r>
        <w:rPr>
          <w:rFonts w:ascii="Times New Roman" w:hAnsi="Times New Roman" w:cs="Times New Roman" w:eastAsia="Times New Roman"/>
          <w:b/>
          <w:sz w:val="24"/>
        </w:rPr>
        <w:t>imzo talab qiladigan e'lonlardir</w:t>
      </w:r>
      <w:r>
        <w:rPr>
          <w:rFonts w:ascii="Times New Roman" w:hAnsi="Times New Roman" w:cs="Times New Roman" w:eastAsia="Times New Roman"/>
          <w:sz w:val="24"/>
        </w:rPr>
        <w:t xml:space="preserve"> — TT 22-bo'limida batafsil asoslangan. Har biriga «tasdiqlayman (1) / tasdiqlamayman + sabab (2)» deb javob bering.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2004"/>
        <w:gridCol w:w="3675"/>
        <w:gridCol w:w="3675"/>
      </w:tblGrid>
      <w:tr>
        <w:trPr>
          <w:tblHeader/>
          <w:cantSplit/>
        </w:trPr>
        <w:tc>
          <w:tcPr>
            <w:tcW w:type="dxa" w:w="3118"/>
            <w:tcW w:w="2004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№</w:t>
            </w:r>
          </w:p>
        </w:tc>
        <w:tc>
          <w:tcPr>
            <w:tcW w:type="dxa" w:w="3118"/>
            <w:tcW w:w="3675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Band</w:t>
            </w:r>
          </w:p>
        </w:tc>
        <w:tc>
          <w:tcPr>
            <w:tcW w:type="dxa" w:w="3118"/>
            <w:tcW w:w="3675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Tasdiqlanmasa nima bo'ladi</w:t>
            </w:r>
          </w:p>
        </w:tc>
      </w:tr>
      <w:tr>
        <w:trPr>
          <w:cantSplit/>
        </w:trPr>
        <w:tc>
          <w:tcPr>
            <w:tcW w:type="dxa" w:w="3118"/>
            <w:tcW w:w="200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T-1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12 oylik tarix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(AC-07) qabul aktida «tarix yig'ish mexanizmi ishlaydi» deb qabul qilinadi; to'liq 12 oy natural ravishda 12 oydan keyin hosil bo'ladi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Qabul aktida AC-07 yopilolmaydi — tizim texnik jihatdan tayyor bo'lsa ham</w:t>
            </w:r>
          </w:p>
        </w:tc>
      </w:tr>
      <w:tr>
        <w:trPr>
          <w:cantSplit/>
        </w:trPr>
        <w:tc>
          <w:tcPr>
            <w:tcW w:type="dxa" w:w="3118"/>
            <w:tcW w:w="200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T-2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O'zgarishdan xabar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SLA: 45 daqiqa (aniqlash) + 5 daqiqa (yetkazish), faqat 07:00–21:00 oynasi ichida (tungi sayt o'zgarishi ertalab sanaladi)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FR-10'ning 24/7 talabi bajarilmaydigan band sifatida hujjatga tushadi, bahs aktga qadar cho'ziladi</w:t>
            </w:r>
          </w:p>
        </w:tc>
      </w:tr>
      <w:tr>
        <w:trPr>
          <w:cantSplit/>
        </w:trPr>
        <w:tc>
          <w:tcPr>
            <w:tcW w:type="dxa" w:w="3118"/>
            <w:tcW w:w="200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T-3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Bank sayti anti-bot bilan to'ssa — biz to'siqni aylanib o'tmaymiz; manba «bloklangan» holatiga o'tadi va qo'lda kiritish kanali ishlaydi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Huquqiy va bloklanish riski bahslari bizning blokimizga qoladi</w:t>
            </w:r>
          </w:p>
        </w:tc>
      </w:tr>
      <w:tr>
        <w:trPr>
          <w:cantSplit/>
        </w:trPr>
        <w:tc>
          <w:tcPr>
            <w:tcW w:type="dxa" w:w="3118"/>
            <w:tcW w:w="2004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T-4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 xml:space="preserve">Muvaffaqiyat mezonlari (M-1…M-6) qabul aktida </w:t>
            </w:r>
            <w:r>
              <w:rPr>
                <w:rFonts w:ascii="Times New Roman" w:hAnsi="Times New Roman" w:cs="Times New Roman" w:eastAsia="Times New Roman"/>
                <w:b/>
                <w:sz w:val="21"/>
              </w:rPr>
              <w:t>tizim ekrani hisobotlari</w:t>
            </w:r>
            <w:r>
              <w:rPr>
                <w:rFonts w:ascii="Times New Roman" w:hAnsi="Times New Roman" w:cs="Times New Roman" w:eastAsia="Times New Roman"/>
                <w:sz w:val="21"/>
              </w:rPr>
              <w:t xml:space="preserve"> bilan tasdiqlanadi; M-6 — 5 nafar xodimning 4 haftalik piloti + so'rovnoma (BRB-08: 5+ xodim, 4 hafta — bandlikka rozilikmii?)</w:t>
            </w:r>
          </w:p>
        </w:tc>
        <w:tc>
          <w:tcPr>
            <w:tcW w:type="dxa" w:w="3118"/>
            <w:tcW w:w="3675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Qabul subyektiv bahoga aylanadi va imzo cho'ziladi</w:t>
            </w:r>
          </w:p>
        </w:tc>
      </w:tr>
    </w:tbl>
    <w:p>
      <w:pPr>
        <w:spacing w:before="0" w:after="80" w:lineRule="auto" w:line="276"/>
      </w:pP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80" w:after="120" w:lineRule="auto" w:line="276"/>
        <w:outlineLvl w:val="0"/>
      </w:pPr>
      <w:r>
        <w:rPr>
          <w:rFonts w:ascii="Times New Roman" w:hAnsi="Times New Roman" w:cs="Times New Roman" w:eastAsia="Times New Roman"/>
          <w:b/>
          <w:sz w:val="25"/>
        </w:rPr>
        <w:t>JAVOB VARAQASI (shu jadvalni to'ldirib qaytaring)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2338"/>
        <w:gridCol w:w="2338"/>
        <w:gridCol w:w="2338"/>
        <w:gridCol w:w="2338"/>
      </w:tblGrid>
      <w:tr>
        <w:trPr>
          <w:tblHeader/>
          <w:cantSplit/>
        </w:trPr>
        <w:tc>
          <w:tcPr>
            <w:tcW w:type="dxa" w:w="2339"/>
            <w:tcW w:w="233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Savol</w:t>
            </w:r>
          </w:p>
        </w:tc>
        <w:tc>
          <w:tcPr>
            <w:tcW w:type="dxa" w:w="2339"/>
            <w:tcW w:w="233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Javob (variant/son/matn)</w:t>
            </w:r>
          </w:p>
        </w:tc>
        <w:tc>
          <w:tcPr>
            <w:tcW w:type="dxa" w:w="2339"/>
            <w:tcW w:w="233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Javobgar</w:t>
            </w:r>
          </w:p>
        </w:tc>
        <w:tc>
          <w:tcPr>
            <w:tcW w:type="dxa" w:w="2339"/>
            <w:tcW w:w="2338" w:type="dxa"/>
            <w:vAlign w:val="top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b/>
                <w:sz w:val="21"/>
              </w:rPr>
              <w:t>«Kechiktiriladi» bo'lsa — sanasi</w:t>
            </w: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J-1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J-2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J-3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J-4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J-5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J-6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J-7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  <w:tr>
        <w:trPr>
          <w:cantSplit/>
        </w:trPr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T-1…T-4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(har biri uchun 1 yoki 2 + sabab)</w:t>
            </w: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  <w:tc>
          <w:tcPr>
            <w:tcW w:type="dxa" w:w="2339"/>
            <w:tcW w:w="2338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</w:p>
        </w:tc>
      </w:tr>
    </w:tbl>
    <w:p>
      <w:pPr>
        <w:spacing w:before="0" w:after="80" w:lineRule="auto" w:line="276"/>
      </w:pP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00" w:after="80" w:lineRule="auto" w:line="276"/>
        <w:outlineLvl w:val="1"/>
      </w:pPr>
      <w:r>
        <w:rPr>
          <w:rFonts w:ascii="Times New Roman" w:hAnsi="Times New Roman" w:cs="Times New Roman" w:eastAsia="Times New Roman"/>
          <w:b/>
          <w:sz w:val="24"/>
        </w:rPr>
        <w:t>KBD ixtiyorida bo'lmagan savollar (alohida yuboriladi)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sz w:val="24"/>
        </w:rPr>
        <w:t xml:space="preserve">Qolgan 5 ochiq qaror boshqa mas'ullarga yozma so'raladi — KBD javobsizligi ularni bloklamasin: </w:t>
      </w:r>
      <w:r>
        <w:rPr>
          <w:rFonts w:ascii="Times New Roman" w:hAnsi="Times New Roman" w:cs="Times New Roman" w:eastAsia="Times New Roman"/>
          <w:b/>
          <w:sz w:val="24"/>
        </w:rPr>
        <w:t>OD-4</w:t>
      </w:r>
      <w:r>
        <w:rPr>
          <w:rFonts w:ascii="Times New Roman" w:hAnsi="Times New Roman" w:cs="Times New Roman" w:eastAsia="Times New Roman"/>
          <w:sz w:val="24"/>
        </w:rPr>
        <w:t xml:space="preserve"> (Yurist boshqarmasi — manbalar huquqiy xulosasi, TT BRB-04), </w:t>
      </w:r>
      <w:r>
        <w:rPr>
          <w:rFonts w:ascii="Times New Roman" w:hAnsi="Times New Roman" w:cs="Times New Roman" w:eastAsia="Times New Roman"/>
          <w:b/>
          <w:sz w:val="24"/>
        </w:rPr>
        <w:t>OD-5/OD-6</w:t>
      </w:r>
      <w:r>
        <w:rPr>
          <w:rFonts w:ascii="Times New Roman" w:hAnsi="Times New Roman" w:cs="Times New Roman" w:eastAsia="Times New Roman"/>
          <w:sz w:val="24"/>
        </w:rPr>
        <w:t xml:space="preserve"> (AT + Xavfsizlik xizmati — stek va arxitektura varianti), </w:t>
      </w:r>
      <w:r>
        <w:rPr>
          <w:rFonts w:ascii="Times New Roman" w:hAnsi="Times New Roman" w:cs="Times New Roman" w:eastAsia="Times New Roman"/>
          <w:b/>
          <w:sz w:val="24"/>
        </w:rPr>
        <w:t>OD-7</w:t>
      </w:r>
      <w:r>
        <w:rPr>
          <w:rFonts w:ascii="Times New Roman" w:hAnsi="Times New Roman" w:cs="Times New Roman" w:eastAsia="Times New Roman"/>
          <w:sz w:val="24"/>
        </w:rPr>
        <w:t xml:space="preserve"> (AT — ichki LLM gateway, BRB-06), </w:t>
      </w:r>
      <w:r>
        <w:rPr>
          <w:rFonts w:ascii="Times New Roman" w:hAnsi="Times New Roman" w:cs="Times New Roman" w:eastAsia="Times New Roman"/>
          <w:b/>
          <w:sz w:val="24"/>
        </w:rPr>
        <w:t>OD-9</w:t>
      </w:r>
      <w:r>
        <w:rPr>
          <w:rFonts w:ascii="Times New Roman" w:hAnsi="Times New Roman" w:cs="Times New Roman" w:eastAsia="Times New Roman"/>
          <w:sz w:val="24"/>
        </w:rPr>
        <w:t xml:space="preserve"> (AT — SMTP/SMS kanallari, BRB-07).</w:t>
      </w:r>
    </w:p>
    <w:p>
      <w:pPr>
        <w:spacing w:before="0" w:after="120" w:lineRule="auto" w:line="276"/>
        <w:jc w:val="both"/>
      </w:pPr>
      <w:r>
        <w:rPr>
          <w:rFonts w:ascii="Times New Roman" w:hAnsi="Times New Roman" w:cs="Times New Roman" w:eastAsia="Times New Roman"/>
          <w:i/>
          <w:sz w:val="24"/>
        </w:rPr>
        <w:t>Eslatma: «javob kelmasa default» mexanizmi hujjatni cheksiz kutishdan saqlaydi, majburiyot tug'maydi. Defaultlarning barchasi ongli ravishda eng past qulaylikdagi variantlar etib tanlangan — ulardan birortasi qaytarilishi faqat yozma «keling, boshqacha qilib ko'ramiz» javobi bilan mumkin.</w:t>
      </w:r>
    </w:p>
    <w:p>
      <w:pPr>
        <w:spacing w:before="80" w:after="160" w:lineRule="auto" w:line="276"/>
        <w:pBdr>
          <w:bottom w:val="single" w:sz="6" w:space="1" w:color="808080"/>
        </w:pBdr>
      </w:pPr>
    </w:p>
    <w:p>
      <w:pPr>
        <w:keepNext/>
        <w:spacing w:before="280" w:after="120" w:lineRule="auto" w:line="276"/>
        <w:outlineLvl w:val="0"/>
      </w:pPr>
      <w:r>
        <w:rPr>
          <w:rFonts w:ascii="Times New Roman" w:hAnsi="Times New Roman" w:cs="Times New Roman" w:eastAsia="Times New Roman"/>
          <w:b/>
          <w:sz w:val="25"/>
        </w:rPr>
        <w:t>IMZO</w:t>
      </w:r>
    </w:p>
    <w:tbl>
      <w:tblPr>
        <w:jc w:val="center"/>
        <w:tblLook w:firstColumn="1" w:firstRow="1" w:lastColumn="0" w:lastRow="0" w:noHBand="0" w:noVBand="1" w:val="04A0"/>
        <w:tblW w:w="9355" w:type="dxa"/>
        <w:tblLayout w:type="fixed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</w:tblPr>
      <w:tblGrid>
        <w:gridCol w:w="4097"/>
        <w:gridCol w:w="5257"/>
      </w:tblGrid>
      <w:tr>
        <w:trPr>
          <w:cantSplit/>
        </w:trPr>
        <w:tc>
          <w:tcPr>
            <w:tcW w:type="dxa" w:w="4677"/>
            <w:tcW w:w="4097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Ma'lumot uchun:</w:t>
            </w:r>
            <w:r>
              <w:br/>
            </w:r>
            <w:r>
              <w:rPr>
                <w:rFonts w:ascii="Times New Roman" w:hAnsi="Times New Roman" w:cs="Times New Roman" w:eastAsia="Times New Roman"/>
                <w:sz w:val="21"/>
              </w:rPr>
              <w:t>Z. Orifxo'jayev</w:t>
            </w:r>
            <w:r>
              <w:br/>
            </w:r>
            <w:r>
              <w:rPr>
                <w:rFonts w:ascii="Times New Roman" w:hAnsi="Times New Roman" w:cs="Times New Roman" w:eastAsia="Times New Roman"/>
                <w:sz w:val="21"/>
              </w:rPr>
              <w:t>AT departamenti</w:t>
            </w:r>
          </w:p>
        </w:tc>
        <w:tc>
          <w:tcPr>
            <w:tcW w:type="dxa" w:w="4677"/>
            <w:tcW w:w="5257" w:type="dxa"/>
            <w:vAlign w:val="top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before="0" w:after="0" w:lineRule="auto" w:line="252"/>
            </w:pPr>
            <w:r>
              <w:rPr>
                <w:rFonts w:ascii="Times New Roman" w:hAnsi="Times New Roman" w:cs="Times New Roman" w:eastAsia="Times New Roman"/>
                <w:sz w:val="21"/>
              </w:rPr>
              <w:t>«___» ______________ 2026 y.</w:t>
            </w:r>
            <w:r>
              <w:br/>
            </w:r>
            <w:r>
              <w:br/>
            </w:r>
            <w:r>
              <w:rPr>
                <w:rFonts w:ascii="Times New Roman" w:hAnsi="Times New Roman" w:cs="Times New Roman" w:eastAsia="Times New Roman"/>
                <w:sz w:val="21"/>
              </w:rPr>
              <w:t>_________________________ (imzo)</w:t>
            </w:r>
          </w:p>
        </w:tc>
      </w:tr>
    </w:tbl>
    <w:p>
      <w:pPr>
        <w:spacing w:before="0" w:after="80" w:lineRule="auto" w:line="276"/>
      </w:pPr>
    </w:p>
    <w:p>
      <w:pPr>
        <w:spacing w:before="80" w:after="0" w:lineRule="auto" w:line="276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Rule="auto" w:line="276"/>
      <w:jc w:val="center"/>
    </w:pPr>
    <w:r>
      <w:rPr>
        <w:rFonts w:ascii="Times New Roman" w:hAnsi="Times New Roman" w:cs="Times New Roman" w:eastAsia="Times New Roman"/>
        <w:i/>
        <w:sz w:val="18"/>
      </w:rPr>
      <w:t xml:space="preserve">sahifa </w:t>
    </w:r>
    <w:fldSimple w:instr="PAGE">
      <w:r>
        <w:rPr>
          <w:sz w:val="18"/>
        </w:rPr>
        <w:t>1</w:t>
      </w:r>
    </w:fldSimple>
    <w:r>
      <w:rPr>
        <w:rFonts w:ascii="Times New Roman" w:hAnsi="Times New Roman" w:cs="Times New Roman" w:eastAsia="Times New Roman"/>
        <w:i/>
        <w:sz w:val="18"/>
      </w:rPr>
      <w:t xml:space="preserve"> / </w:t>
    </w:r>
    <w:fldSimple w:instr="NUMPAGES">
      <w:r>
        <w:rPr>
          <w:sz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