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 w:rsidR="00A77B3E">
      <w:pPr>
        <w:pStyle w:val="Heading1"/>
      </w:pPr>
      <w:r>
        <w:t>Literaturverzeichnis</w:t>
      </w:r>
    </w:p>
    <w:p>
      <w:pPr>
        <w:pStyle w:val="CitaviLiteraturverzeichnis"/>
      </w:pPr>
      <w:r>
        <w:rPr>
          <w:highlight w:val="none"/>
          <w:rtl w:val="0"/>
        </w:rPr>
        <w:t>Claudia Schütze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Vorlesungsfolien DASC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Leipzig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https://github.com/geoclaudsch/DASC-01-2025/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22.03.2025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imbalanced-learn developers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SMOTE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https://imbalanced-learn.org/stable/references/generated/imblearn.over_sampling.SMOTE.html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18.03.2025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Rabie El Kharoua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Time is not a Feature, It's a Target !!!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kaggle.com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https://www.kaggle.com/datasets/rabieelkharoua/predict-survival-of-patients-with-heart-failure/discussion/498685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16.03.2025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scikit-learn developers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GradientBoostingClassifier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https://scikit-learn.org/stable/modules/generated/sklearn.ensemble.GradientBoostingClassifier.html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22.03.2025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scikit-learn developers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GridSearchCV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https://scikit-learn.org/stable/modules/generated/sklearn.model_selection.GridSearchCV.html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21.03.2025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vishakha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Techniques to prevent overfitting in Neural Networks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kaggle.com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https://www.kaggle.com/discussions/general/175912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16.03.2025</w:t>
      </w:r>
      <w:r>
        <w:rPr>
          <w:highlight w:val="none"/>
          <w:rtl w:val="0"/>
        </w:rPr>
        <w:t>.</w:t>
      </w:r>
    </w:p>
    <w:sectPr>
      <w:pgSz w:w="11906" w:h="16838"/>
      <w:pgMar w:top="1417" w:right="141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de-DE" w:eastAsia="de-DE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80"/>
      <w:outlineLvl w:val="0"/>
    </w:pPr>
    <w:rPr>
      <w:rFonts w:ascii="Calibri" w:eastAsia="Calibri" w:hAnsi="Calibri" w:cs="Calibri"/>
      <w:b/>
      <w:bCs/>
      <w:kern w:val="32"/>
      <w:sz w:val="34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80" w:after="520"/>
      <w:outlineLvl w:val="1"/>
    </w:pPr>
    <w:rPr>
      <w:rFonts w:ascii="Calibri" w:eastAsia="Calibri" w:hAnsi="Calibri" w:cs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520" w:after="140"/>
      <w:outlineLvl w:val="2"/>
    </w:pPr>
    <w:rPr>
      <w:rFonts w:ascii="Calibri" w:eastAsia="Calibri" w:hAnsi="Calibri" w:cs="Calibri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520" w:after="0"/>
      <w:outlineLvl w:val="3"/>
    </w:pPr>
    <w:rPr>
      <w:rFonts w:ascii="Calibri" w:eastAsia="Calibri" w:hAnsi="Calibri" w:cs="Calibri"/>
      <w:b/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520" w:after="0"/>
      <w:outlineLvl w:val="4"/>
    </w:pPr>
    <w:rPr>
      <w:rFonts w:ascii="Calibri" w:eastAsia="Calibri" w:hAnsi="Calibri" w:cs="Calibri"/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520" w:after="0"/>
      <w:outlineLvl w:val="5"/>
    </w:pPr>
    <w:rPr>
      <w:rFonts w:ascii="Calibri" w:eastAsia="Calibri" w:hAnsi="Calibri" w:cs="Calibri"/>
      <w:b/>
      <w:bCs/>
      <w:i/>
      <w:sz w:val="22"/>
      <w:szCs w:val="22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520" w:after="0"/>
      <w:outlineLvl w:val="6"/>
    </w:pPr>
    <w:rPr>
      <w:rFonts w:ascii="Calibri" w:eastAsia="Calibri" w:hAnsi="Calibri" w:cs="Calibri"/>
      <w:i/>
      <w:sz w:val="22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520" w:after="0"/>
      <w:outlineLvl w:val="7"/>
    </w:pPr>
    <w:rPr>
      <w:rFonts w:ascii="Calibri" w:eastAsia="Calibri" w:hAnsi="Calibri" w:cs="Calibri"/>
      <w:i/>
      <w:iCs/>
      <w:sz w:val="22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520" w:after="0"/>
      <w:outlineLvl w:val="8"/>
    </w:pPr>
    <w:rPr>
      <w:rFonts w:ascii="Calibri" w:eastAsia="Calibri" w:hAnsi="Calibri" w:cs="Calibri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40" w:after="0"/>
      <w:jc w:val="left"/>
      <w:outlineLvl w:val="9"/>
    </w:pPr>
    <w:rPr>
      <w:rFonts w:ascii="Calibri" w:eastAsia="Calibri" w:hAnsi="Calibri" w:cs="Calibri"/>
      <w:b w:val="0"/>
      <w:i w:val="0"/>
      <w:color w:val="15428B"/>
      <w:sz w:val="22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440" w:after="220"/>
      <w:jc w:val="left"/>
      <w:outlineLvl w:val="9"/>
    </w:pPr>
    <w:rPr>
      <w:rFonts w:ascii="Calibri" w:eastAsia="Calibri" w:hAnsi="Calibri" w:cs="Calibri"/>
      <w:b/>
      <w:bCs/>
      <w:i w:val="0"/>
      <w:color w:val="000000"/>
      <w:kern w:val="28"/>
      <w:sz w:val="22"/>
      <w:szCs w:val="32"/>
    </w:rPr>
  </w:style>
  <w:style w:type="paragraph" w:styleId="FootnoteText">
    <w:name w:val="footnote text"/>
    <w:basedOn w:val="Normal"/>
    <w:rsid w:val="00805BCE"/>
    <w:pPr>
      <w:spacing w:before="0" w:after="0" w:line="192" w:lineRule="auto"/>
      <w:ind w:left="227" w:hanging="227"/>
    </w:pPr>
    <w:rPr>
      <w:sz w:val="19"/>
      <w:szCs w:val="20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80"/>
      <w:ind w:left="567" w:hanging="567"/>
    </w:pPr>
    <w:rPr>
      <w:rFonts w:ascii="Calibri" w:eastAsia="Calibri" w:hAnsi="Calibri" w:cs="Calibri"/>
      <w:b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40"/>
      <w:ind w:left="1134" w:hanging="567"/>
    </w:pPr>
    <w:rPr>
      <w:rFonts w:ascii="Calibri" w:eastAsia="Calibri" w:hAnsi="Calibri" w:cs="Calibri"/>
      <w:i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Calibri" w:eastAsia="Calibri" w:hAnsi="Calibri" w:cs="Calibri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Calibri" w:eastAsia="Calibri" w:hAnsi="Calibri" w:cs="Calibri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Calibri" w:eastAsia="Calibri" w:hAnsi="Calibri" w:cs="Calibri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Calibri" w:eastAsia="Calibri" w:hAnsi="Calibri" w:cs="Calibri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Calibri" w:eastAsia="Calibri" w:hAnsi="Calibri" w:cs="Calibri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Calibri" w:eastAsia="Calibri" w:hAnsi="Calibri" w:cs="Calibri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Calibri" w:eastAsia="Calibri" w:hAnsi="Calibri" w:cs="Calibri"/>
    </w:rPr>
  </w:style>
  <w:style w:type="paragraph" w:customStyle="1" w:styleId="CitaviLiteraturverzeichnis">
    <w:name w:val="Citavi Literaturverzeichnis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