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933"/>
        <w:gridCol w:w="4933"/>
      </w:tblGrid>
      <w:tr>
        <w:tc>
          <w:tcPr>
            <w:tcW w:type="dxa" w:w="1757"/>
            <w:tcMar>
              <w:top w:w="120" w:type="dxa"/>
              <w:start w:w="150" w:type="dxa"/>
              <w:bottom w:w="120" w:type="dxa"/>
              <w:end w:w="150" w:type="dxa"/>
            </w:tcMar>
          </w:tcPr>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con-192.png"/>
                          <pic:cNvPicPr/>
                        </pic:nvPicPr>
                        <pic:blipFill>
                          <a:blip r:embed="rId11"/>
                          <a:srcRect b="27000"/>
                          <a:stretch>
                            <a:fillRect/>
                          </a:stretch>
                        </pic:blipFill>
                        <pic:spPr>
                          <a:xfrm>
                            <a:off x="0" y="0"/>
                            <a:ext cx="900000" cy="900000"/>
                          </a:xfrm>
                          <a:prstGeom prst="rect"/>
                        </pic:spPr>
                      </pic:pic>
                    </a:graphicData>
                  </a:graphic>
                </wp:inline>
              </w:drawing>
            </w:r>
          </w:p>
        </w:tc>
        <w:tc>
          <w:tcPr>
            <w:tcW w:type="dxa" w:w="8107"/>
            <w:shd w:fill="FFF9EE"/>
            <w:tcMar>
              <w:top w:w="120" w:type="dxa"/>
              <w:start w:w="150" w:type="dxa"/>
              <w:bottom w:w="120" w:type="dxa"/>
              <w:end w:w="150" w:type="dxa"/>
            </w:tcMar>
          </w:tcPr>
          <w:p>
            <w:pPr>
              <w:pStyle w:val="Title"/>
            </w:pPr>
            <w:r/>
            <w:r>
              <w:t>Mein Begleiter</w:t>
            </w:r>
          </w:p>
          <w:p>
            <w:pPr>
              <w:pStyle w:val="Subtitle"/>
            </w:pPr>
            <w:r>
              <w:t>Konzept: Vereinfachte Sicherungsseite 1.0</w:t>
            </w:r>
          </w:p>
          <w:p>
            <w:r>
              <w:rPr>
                <w:rFonts w:ascii="Aptos" w:hAnsi="Aptos"/>
                <w:b/>
                <w:i w:val="0"/>
                <w:color w:val="175D57"/>
                <w:sz w:val="18"/>
              </w:rPr>
              <w:t>Bestandsaufnahme – keine Programmänderung</w:t>
            </w:r>
          </w:p>
        </w:tc>
      </w:tr>
    </w:tbl>
    <w:p>
      <w:pPr>
        <w:pStyle w:val="Callout"/>
      </w:pPr>
      <w:r>
        <w:t>Leitprinzip: Ein Knopf – eine klar erkennbare Aufgabe.</w:t>
      </w:r>
    </w:p>
    <w:p>
      <w:pPr>
        <w:pStyle w:val="Heading1"/>
      </w:pPr>
      <w:r>
        <w:t>Zielbild</w:t>
      </w:r>
    </w:p>
    <w:p>
      <w:pPr>
        <w:pStyle w:val="Callout"/>
      </w:pPr>
      <w:r>
        <w:t>Die Sicherungsseite soll im Alltag zwei Entscheidungen anbieten: eine sichere vollständige Sicherung erstellen oder eine sichere Sicherung einlesen. Technische Varianten werden erst in einem geschlossenen Klappbereich sichtbar.</w:t>
      </w:r>
    </w:p>
    <w:p>
      <w:pPr>
        <w:pStyle w:val="Heading1"/>
      </w:pPr>
      <w:r>
        <w:t>Was heute unruhig wirkt</w:t>
      </w:r>
    </w:p>
    <w:p>
      <w:pPr>
        <w:pStyle w:val="ListBullet"/>
        <w:spacing w:after="60"/>
      </w:pPr>
      <w:r>
        <w:t>Verschlüsselte und ältere unverschlüsselte Verfahren stehen auf derselben Seite.</w:t>
      </w:r>
    </w:p>
    <w:p>
      <w:pPr>
        <w:pStyle w:val="ListBullet"/>
        <w:spacing w:after="60"/>
      </w:pPr>
      <w:r>
        <w:t>„Sicherung“, „vollständige Sicherung“, „Sicherung ohne Dokumente“ und „Export“ wirken gleichwertig, obwohl sie unterschiedliche Zwecke haben.</w:t>
      </w:r>
    </w:p>
    <w:p>
      <w:pPr>
        <w:pStyle w:val="ListBullet"/>
        <w:spacing w:after="60"/>
      </w:pPr>
      <w:r>
        <w:t>Hinweise wiederholen sich in mehreren Karten.</w:t>
      </w:r>
    </w:p>
    <w:p>
      <w:pPr>
        <w:pStyle w:val="ListBullet"/>
        <w:spacing w:after="60"/>
      </w:pPr>
      <w:r>
        <w:t>Speicherübersicht und Datenschutz konkurrieren visuell mit den Hauptaktionen.</w:t>
      </w:r>
    </w:p>
    <w:p>
      <w:pPr>
        <w:pStyle w:val="ListBullet"/>
        <w:spacing w:after="60"/>
      </w:pPr>
      <w:r>
        <w:t>Ältere Formate sind für Kompatibilität nötig, aber im Alltag selten.</w:t>
      </w:r>
    </w:p>
    <w:p>
      <w:pPr>
        <w:pStyle w:val="Heading1"/>
      </w:pPr>
      <w:r>
        <w:t>Verbindliches Prinzip</w:t>
      </w:r>
    </w:p>
    <w:p>
      <w:pPr>
        <w:pStyle w:val="Warning"/>
      </w:pPr>
      <w:r>
        <w:t>Ein Knopf – eine Aufgabe. Eine Schaltfläche führt nicht zuerst zu einer Auswahl technischer Formate, sondern direkt zu dem erwarteten sicheren Vorgang.</w:t>
      </w:r>
    </w:p>
    <w:p>
      <w:r>
        <w:br w:type="page"/>
      </w:r>
    </w:p>
    <w:p>
      <w:pPr>
        <w:pStyle w:val="Heading1"/>
      </w:pPr>
      <w:r>
        <w:t>Empfohlene Seitenreihenfolge</w:t>
      </w:r>
    </w:p>
    <w:p>
      <w:pPr>
        <w:pStyle w:val="ListNumber"/>
        <w:spacing w:after="80"/>
      </w:pPr>
      <w:r>
        <w:t>Seitentitel „Sicherung &amp; Gerätewechsel“ mit einem kurzen Zweck-Satz.</w:t>
      </w:r>
    </w:p>
    <w:p>
      <w:pPr>
        <w:pStyle w:val="ListNumber"/>
        <w:spacing w:after="80"/>
      </w:pPr>
      <w:r>
        <w:t>Drei verständliche Schritte: auf bisherigem Gerät sichern, Datei übertragen, auf anderem Gerät einlesen.</w:t>
      </w:r>
    </w:p>
    <w:p>
      <w:pPr>
        <w:pStyle w:val="ListNumber"/>
        <w:spacing w:after="80"/>
      </w:pPr>
      <w:r>
        <w:t>Zwei gleichwertige Hauptaktionen: „Sichere vollständige Sicherung erstellen“ und „Sichere Sicherung einlesen“.</w:t>
      </w:r>
    </w:p>
    <w:p>
      <w:pPr>
        <w:pStyle w:val="ListNumber"/>
        <w:spacing w:after="80"/>
      </w:pPr>
      <w:r>
        <w:t>Kompakter Status: letzte Sicherung, enthaltene Dokumente, geschätzte Größe.</w:t>
      </w:r>
    </w:p>
    <w:p>
      <w:pPr>
        <w:pStyle w:val="ListNumber"/>
        <w:spacing w:after="80"/>
      </w:pPr>
      <w:r>
        <w:t>Kurzer Sicherheitshinweis zu Kennwort und Aufbewahrung.</w:t>
      </w:r>
    </w:p>
    <w:p>
      <w:pPr>
        <w:pStyle w:val="ListNumber"/>
        <w:spacing w:after="80"/>
      </w:pPr>
      <w:r>
        <w:t>Geschlossener Klappbereich „Ältere Sicherungen und Export“.</w:t>
      </w:r>
    </w:p>
    <w:p>
      <w:pPr>
        <w:pStyle w:val="ListNumber"/>
        <w:spacing w:after="80"/>
      </w:pPr>
      <w:r>
        <w:t>Verweis auf „Mehr → Datenverwaltung“ für seltene und endgültige Datenaktionen.</w:t>
      </w:r>
    </w:p>
    <w:p>
      <w:pPr>
        <w:pStyle w:val="Heading2"/>
      </w:pPr>
      <w:r>
        <w:t>Textentwurf für den Kopfbereich</w:t>
      </w:r>
    </w:p>
    <w:p>
      <w:pPr>
        <w:pStyle w:val="Callout"/>
      </w:pPr>
      <w:r>
        <w:t>Sichern Sie alle Einträge und Dokumente in einer verschlüsselten Datei. Für einen Gerätewechsel übertragen Sie diese Datei selbst und lesen sie auf dem anderen Gerät wieder ein. Es findet keine automatische Synchronisation statt.</w:t>
      </w:r>
    </w:p>
    <w:p>
      <w:pPr>
        <w:pStyle w:val="Heading2"/>
      </w:pPr>
      <w:r>
        <w:t>Primäre Aktionen</w:t>
      </w:r>
    </w:p>
    <w:tbl>
      <w:tblPr>
        <w:tblW w:type="auto" w:w="0"/>
        <w:jc w:val="center"/>
        <w:tblLayout w:type="fixed"/>
        <w:tblLook w:firstColumn="1" w:firstRow="1" w:lastColumn="0" w:lastRow="0" w:noHBand="0" w:noVBand="1" w:val="04A0"/>
        <w:tblBorders>
          <w:top w:val="single" w:sz="6" w:color="BCD5D0"/>
          <w:left w:val="single" w:sz="6" w:color="BCD5D0"/>
          <w:bottom w:val="single" w:sz="6" w:color="BCD5D0"/>
          <w:right w:val="single" w:sz="6" w:color="BCD5D0"/>
          <w:insideH w:val="single" w:sz="6" w:color="BCD5D0"/>
          <w:insideV w:val="single" w:sz="6" w:color="BCD5D0"/>
        </w:tblBorders>
      </w:tblPr>
      <w:tblGrid>
        <w:gridCol w:w="4933"/>
        <w:gridCol w:w="4933"/>
      </w:tblGrid>
      <w:tr>
        <w:tc>
          <w:tcPr>
            <w:tcW w:type="dxa" w:w="2494"/>
            <w:vAlign w:val="center"/>
            <w:tcMar>
              <w:top w:w="100" w:type="dxa"/>
              <w:start w:w="130" w:type="dxa"/>
              <w:bottom w:w="100" w:type="dxa"/>
              <w:end w:w="130" w:type="dxa"/>
            </w:tcMar>
            <w:shd w:fill="EAF5F2"/>
          </w:tcPr>
          <w:p>
            <w:pPr>
              <w:spacing w:after="0"/>
            </w:pPr>
            <w:r/>
            <w:r>
              <w:rPr>
                <w:rFonts w:ascii="Aptos" w:hAnsi="Aptos"/>
                <w:b/>
                <w:i w:val="0"/>
                <w:color w:val="0E403D"/>
                <w:sz w:val="18"/>
              </w:rPr>
              <w:t>🔐 Sichere vollständige Sicherung erstellen</w:t>
            </w:r>
          </w:p>
        </w:tc>
        <w:tc>
          <w:tcPr>
            <w:tcW w:type="dxa" w:w="7370"/>
            <w:vAlign w:val="center"/>
            <w:tcMar>
              <w:top w:w="100" w:type="dxa"/>
              <w:start w:w="130" w:type="dxa"/>
              <w:bottom w:w="100" w:type="dxa"/>
              <w:end w:w="130" w:type="dxa"/>
            </w:tcMar>
          </w:tcPr>
          <w:p>
            <w:pPr>
              <w:spacing w:after="0"/>
            </w:pPr>
            <w:r/>
            <w:r>
              <w:rPr>
                <w:rFonts w:ascii="Aptos" w:hAnsi="Aptos"/>
                <w:b w:val="0"/>
                <w:i w:val="0"/>
                <w:color w:val="173B39"/>
                <w:sz w:val="18"/>
              </w:rPr>
              <w:t>Kennwort festlegen, Datei erstellen und speichern.</w:t>
            </w:r>
          </w:p>
        </w:tc>
      </w:tr>
      <w:tr>
        <w:tc>
          <w:tcPr>
            <w:tcW w:type="dxa" w:w="4933"/>
            <w:vAlign w:val="center"/>
            <w:tcMar>
              <w:top w:w="100" w:type="dxa"/>
              <w:start w:w="130" w:type="dxa"/>
              <w:bottom w:w="100" w:type="dxa"/>
              <w:end w:w="130" w:type="dxa"/>
            </w:tcMar>
            <w:shd w:fill="EAF5F2"/>
          </w:tcPr>
          <w:p>
            <w:pPr>
              <w:spacing w:after="0"/>
            </w:pPr>
            <w:r/>
            <w:r>
              <w:rPr>
                <w:rFonts w:ascii="Aptos" w:hAnsi="Aptos"/>
                <w:b/>
                <w:i w:val="0"/>
                <w:color w:val="0E403D"/>
                <w:sz w:val="18"/>
              </w:rPr>
              <w:t>📲 Sichere Sicherung einlesen</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8"/>
              </w:rPr>
              <w:t>Datei auswählen, Kennwort eingeben, prüfen und nach Bestätigung übernehmen.</w:t>
            </w:r>
          </w:p>
        </w:tc>
      </w:tr>
    </w:tbl>
    <w:p>
      <w:r>
        <w:br w:type="page"/>
      </w:r>
    </w:p>
    <w:p>
      <w:pPr>
        <w:pStyle w:val="Heading1"/>
      </w:pPr>
      <w:r>
        <w:t>Klappbereich „Ältere Sicherungen und Export“</w:t>
      </w:r>
    </w:p>
    <w:p>
      <w:r>
        <w:t>Der Bereich bleibt standardmäßig geschlossen und erklärt zuerst, warum diese Funktionen nicht der neue Standard sind.</w:t>
      </w:r>
    </w:p>
    <w:p>
      <w:pPr>
        <w:pStyle w:val="Warning"/>
      </w:pPr>
      <w:r>
        <w:t>Diese älteren Sicherungs- und Exportformate sind nicht verschlüsselt oder nicht vollständig. Sie dienen hauptsächlich der Übernahme bisheriger Datenbestände oder einer tabellarischen Auswertung. Für neue Sicherungen verwenden Sie bitte die sichere vollständige Sicherung.</w:t>
      </w:r>
    </w:p>
    <w:tbl>
      <w:tblPr>
        <w:tblW w:type="auto" w:w="0"/>
        <w:jc w:val="center"/>
        <w:tblLayout w:type="fixed"/>
        <w:tblLook w:firstColumn="1" w:firstRow="1" w:lastColumn="0" w:lastRow="0" w:noHBand="0" w:noVBand="1" w:val="04A0"/>
        <w:tblBorders>
          <w:top w:val="single" w:sz="6" w:color="BCD5D0"/>
          <w:left w:val="single" w:sz="6" w:color="BCD5D0"/>
          <w:bottom w:val="single" w:sz="6" w:color="BCD5D0"/>
          <w:right w:val="single" w:sz="6" w:color="BCD5D0"/>
          <w:insideH w:val="single" w:sz="6" w:color="BCD5D0"/>
          <w:insideV w:val="single" w:sz="6" w:color="BCD5D0"/>
        </w:tblBorders>
      </w:tblPr>
      <w:tblGrid>
        <w:gridCol w:w="4933"/>
        <w:gridCol w:w="4933"/>
      </w:tblGrid>
      <w:tr>
        <w:tc>
          <w:tcPr>
            <w:tcW w:type="dxa" w:w="2494"/>
            <w:vAlign w:val="center"/>
            <w:tcMar>
              <w:top w:w="100" w:type="dxa"/>
              <w:start w:w="130" w:type="dxa"/>
              <w:bottom w:w="100" w:type="dxa"/>
              <w:end w:w="130" w:type="dxa"/>
            </w:tcMar>
            <w:shd w:fill="EAF5F2"/>
          </w:tcPr>
          <w:p>
            <w:pPr>
              <w:spacing w:after="0"/>
            </w:pPr>
            <w:r/>
            <w:r>
              <w:rPr>
                <w:rFonts w:ascii="Aptos" w:hAnsi="Aptos"/>
                <w:b/>
                <w:i w:val="0"/>
                <w:color w:val="0E403D"/>
                <w:sz w:val="18"/>
              </w:rPr>
              <w:t>Bisherige vollständige Sicherung einlesen</w:t>
            </w:r>
          </w:p>
        </w:tc>
        <w:tc>
          <w:tcPr>
            <w:tcW w:type="dxa" w:w="7370"/>
            <w:vAlign w:val="center"/>
            <w:tcMar>
              <w:top w:w="100" w:type="dxa"/>
              <w:start w:w="130" w:type="dxa"/>
              <w:bottom w:w="100" w:type="dxa"/>
              <w:end w:w="130" w:type="dxa"/>
            </w:tcMar>
          </w:tcPr>
          <w:p>
            <w:pPr>
              <w:spacing w:after="0"/>
            </w:pPr>
            <w:r/>
            <w:r>
              <w:rPr>
                <w:rFonts w:ascii="Aptos" w:hAnsi="Aptos"/>
                <w:b w:val="0"/>
                <w:i w:val="0"/>
                <w:color w:val="173B39"/>
                <w:sz w:val="18"/>
              </w:rPr>
              <w:t>Kompatibilitätsweg für vorhandene .mbs-Dateien.</w:t>
            </w:r>
          </w:p>
        </w:tc>
      </w:tr>
      <w:tr>
        <w:tc>
          <w:tcPr>
            <w:tcW w:type="dxa" w:w="4933"/>
            <w:vAlign w:val="center"/>
            <w:tcMar>
              <w:top w:w="100" w:type="dxa"/>
              <w:start w:w="130" w:type="dxa"/>
              <w:bottom w:w="100" w:type="dxa"/>
              <w:end w:w="130" w:type="dxa"/>
            </w:tcMar>
            <w:shd w:fill="EAF5F2"/>
          </w:tcPr>
          <w:p>
            <w:pPr>
              <w:spacing w:after="0"/>
            </w:pPr>
            <w:r/>
            <w:r>
              <w:rPr>
                <w:rFonts w:ascii="Aptos" w:hAnsi="Aptos"/>
                <w:b/>
                <w:i w:val="0"/>
                <w:color w:val="0E403D"/>
                <w:sz w:val="18"/>
              </w:rPr>
              <w:t>Unverschlüsselte vollständige Sicherung erstellen</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8"/>
              </w:rPr>
              <w:t>Nur erhalten, wenn zwingende Rückwärtskompatibilität dies erfordert; deutlich als älter kennzeichnen.</w:t>
            </w:r>
          </w:p>
        </w:tc>
      </w:tr>
      <w:tr>
        <w:tc>
          <w:tcPr>
            <w:tcW w:type="dxa" w:w="4933"/>
            <w:vAlign w:val="center"/>
            <w:tcMar>
              <w:top w:w="100" w:type="dxa"/>
              <w:start w:w="130" w:type="dxa"/>
              <w:bottom w:w="100" w:type="dxa"/>
              <w:end w:w="130" w:type="dxa"/>
            </w:tcMar>
            <w:shd w:fill="EAF5F2"/>
          </w:tcPr>
          <w:p>
            <w:pPr>
              <w:spacing w:after="0"/>
            </w:pPr>
            <w:r/>
            <w:r>
              <w:rPr>
                <w:rFonts w:ascii="Aptos" w:hAnsi="Aptos"/>
                <w:b/>
                <w:i w:val="0"/>
                <w:color w:val="0E403D"/>
                <w:sz w:val="18"/>
              </w:rPr>
              <w:t>Sicherung ohne Dokumente</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8"/>
              </w:rPr>
              <w:t>Kleine Zusatzkopie; kein Ersatz für die vollständige Sicherung.</w:t>
            </w:r>
          </w:p>
        </w:tc>
      </w:tr>
      <w:tr>
        <w:tc>
          <w:tcPr>
            <w:tcW w:type="dxa" w:w="4933"/>
            <w:vAlign w:val="center"/>
            <w:tcMar>
              <w:top w:w="100" w:type="dxa"/>
              <w:start w:w="130" w:type="dxa"/>
              <w:bottom w:w="100" w:type="dxa"/>
              <w:end w:w="130" w:type="dxa"/>
            </w:tcMar>
            <w:shd w:fill="EAF5F2"/>
          </w:tcPr>
          <w:p>
            <w:pPr>
              <w:spacing w:after="0"/>
            </w:pPr>
            <w:r/>
            <w:r>
              <w:rPr>
                <w:rFonts w:ascii="Aptos" w:hAnsi="Aptos"/>
                <w:b/>
                <w:i w:val="0"/>
                <w:color w:val="0E403D"/>
                <w:sz w:val="18"/>
              </w:rPr>
              <w:t>Tabelle für Excel</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8"/>
              </w:rPr>
              <w:t>Export für Auswertung; keine Sicherung und nicht wiederherstellbar.</w:t>
            </w:r>
          </w:p>
        </w:tc>
      </w:tr>
    </w:tbl>
    <w:p>
      <w:pPr>
        <w:pStyle w:val="Heading2"/>
      </w:pPr>
      <w:r>
        <w:t>Was nicht auf diese Seite gehört</w:t>
      </w:r>
    </w:p>
    <w:p>
      <w:pPr>
        <w:pStyle w:val="ListBullet"/>
        <w:spacing w:after="60"/>
      </w:pPr>
      <w:r>
        <w:t>Vollständiges Löschen persönlicher Daten.</w:t>
      </w:r>
    </w:p>
    <w:p>
      <w:pPr>
        <w:pStyle w:val="ListBullet"/>
        <w:spacing w:after="60"/>
      </w:pPr>
      <w:r>
        <w:t>Browser- und Datenbank-Fachbegriffe ohne Erklärung.</w:t>
      </w:r>
    </w:p>
    <w:p>
      <w:pPr>
        <w:pStyle w:val="ListBullet"/>
        <w:spacing w:after="60"/>
      </w:pPr>
      <w:r>
        <w:t>Mehrere gleich aussehende Download-Schaltflächen.</w:t>
      </w:r>
    </w:p>
    <w:p>
      <w:pPr>
        <w:pStyle w:val="ListBullet"/>
        <w:spacing w:after="60"/>
      </w:pPr>
      <w:r>
        <w:t>Prominente rote Aktionen neben der normalen Sicherung.</w:t>
      </w:r>
    </w:p>
    <w:p>
      <w:pPr>
        <w:pStyle w:val="ListBullet"/>
        <w:spacing w:after="60"/>
      </w:pPr>
      <w:r>
        <w:t>Automatische Cloud- oder Hintergrundsynchronisation.</w:t>
      </w:r>
    </w:p>
    <w:p>
      <w:r>
        <w:br w:type="page"/>
      </w:r>
    </w:p>
    <w:p>
      <w:pPr>
        <w:pStyle w:val="Heading1"/>
      </w:pPr>
      <w:r>
        <w:t>Meldungssystem</w:t>
      </w:r>
    </w:p>
    <w:tbl>
      <w:tblPr>
        <w:tblW w:type="auto" w:w="0"/>
        <w:jc w:val="center"/>
        <w:tblLayout w:type="fixed"/>
        <w:tblLook w:firstColumn="1" w:firstRow="1" w:lastColumn="0" w:lastRow="0" w:noHBand="0" w:noVBand="1" w:val="04A0"/>
        <w:tblBorders>
          <w:top w:val="single" w:sz="6" w:color="BCD5D0"/>
          <w:left w:val="single" w:sz="6" w:color="BCD5D0"/>
          <w:bottom w:val="single" w:sz="6" w:color="BCD5D0"/>
          <w:right w:val="single" w:sz="6" w:color="BCD5D0"/>
          <w:insideH w:val="single" w:sz="6" w:color="BCD5D0"/>
          <w:insideV w:val="single" w:sz="6" w:color="BCD5D0"/>
        </w:tblBorders>
      </w:tblPr>
      <w:tblGrid>
        <w:gridCol w:w="4933"/>
        <w:gridCol w:w="4933"/>
      </w:tblGrid>
      <w:tr>
        <w:tc>
          <w:tcPr>
            <w:tcW w:type="dxa" w:w="2551"/>
            <w:vAlign w:val="center"/>
            <w:tcMar>
              <w:top w:w="100" w:type="dxa"/>
              <w:start w:w="130" w:type="dxa"/>
              <w:bottom w:w="100" w:type="dxa"/>
              <w:end w:w="130" w:type="dxa"/>
            </w:tcMar>
            <w:shd w:fill="175D57"/>
          </w:tcPr>
          <w:p>
            <w:pPr>
              <w:spacing w:after="0"/>
            </w:pPr>
            <w:r/>
            <w:r>
              <w:rPr>
                <w:rFonts w:ascii="Aptos" w:hAnsi="Aptos"/>
                <w:b/>
                <w:i w:val="0"/>
                <w:color w:val="FFFFFF"/>
                <w:sz w:val="17"/>
              </w:rPr>
              <w:t>Situation</w:t>
            </w:r>
          </w:p>
        </w:tc>
        <w:tc>
          <w:tcPr>
            <w:tcW w:type="dxa" w:w="7313"/>
            <w:vAlign w:val="center"/>
            <w:tcMar>
              <w:top w:w="100" w:type="dxa"/>
              <w:start w:w="130" w:type="dxa"/>
              <w:bottom w:w="100" w:type="dxa"/>
              <w:end w:w="130" w:type="dxa"/>
            </w:tcMar>
            <w:shd w:fill="175D57"/>
          </w:tcPr>
          <w:p>
            <w:pPr>
              <w:spacing w:after="0"/>
            </w:pPr>
            <w:r/>
            <w:r>
              <w:rPr>
                <w:rFonts w:ascii="Aptos" w:hAnsi="Aptos"/>
                <w:b/>
                <w:i w:val="0"/>
                <w:color w:val="FFFFFF"/>
                <w:sz w:val="17"/>
              </w:rPr>
              <w:t>Empfohlene Meldung</w:t>
            </w:r>
          </w:p>
        </w:tc>
      </w:tr>
      <w:tr>
        <w:tc>
          <w:tcPr>
            <w:tcW w:type="dxa" w:w="4933"/>
            <w:vAlign w:val="center"/>
            <w:tcMar>
              <w:top w:w="100" w:type="dxa"/>
              <w:start w:w="130" w:type="dxa"/>
              <w:bottom w:w="100" w:type="dxa"/>
              <w:end w:w="130" w:type="dxa"/>
            </w:tcMar>
          </w:tcPr>
          <w:p>
            <w:pPr>
              <w:spacing w:after="0"/>
            </w:pPr>
            <w:r/>
            <w:r>
              <w:rPr>
                <w:rFonts w:ascii="Aptos" w:hAnsi="Aptos"/>
                <w:b w:val="0"/>
                <w:i w:val="0"/>
                <w:color w:val="173B39"/>
                <w:sz w:val="17"/>
              </w:rPr>
              <w:t>Erfolg</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7"/>
              </w:rPr>
              <w:t>Sicherung erfolgreich erstellt. Ihre Daten wurden nicht verändert. Bewahren Sie Datei und Kennwort getrennt auf.</w:t>
            </w:r>
          </w:p>
        </w:tc>
      </w:tr>
      <w:tr>
        <w:tc>
          <w:tcPr>
            <w:tcW w:type="dxa" w:w="4933"/>
            <w:vAlign w:val="center"/>
            <w:tcMar>
              <w:top w:w="100" w:type="dxa"/>
              <w:start w:w="130" w:type="dxa"/>
              <w:bottom w:w="100" w:type="dxa"/>
              <w:end w:w="130" w:type="dxa"/>
            </w:tcMar>
            <w:shd w:fill="FFF9EE"/>
          </w:tcPr>
          <w:p>
            <w:pPr>
              <w:spacing w:after="0"/>
            </w:pPr>
            <w:r/>
            <w:r>
              <w:rPr>
                <w:rFonts w:ascii="Aptos" w:hAnsi="Aptos"/>
                <w:b w:val="0"/>
                <w:i w:val="0"/>
                <w:color w:val="173B39"/>
                <w:sz w:val="17"/>
              </w:rPr>
              <w:t>Download fehlgeschlagen</w:t>
            </w:r>
          </w:p>
        </w:tc>
        <w:tc>
          <w:tcPr>
            <w:tcW w:type="dxa" w:w="4933"/>
            <w:vAlign w:val="center"/>
            <w:tcMar>
              <w:top w:w="100" w:type="dxa"/>
              <w:start w:w="130" w:type="dxa"/>
              <w:bottom w:w="100" w:type="dxa"/>
              <w:end w:w="130" w:type="dxa"/>
            </w:tcMar>
            <w:shd w:fill="FFF9EE"/>
          </w:tcPr>
          <w:p>
            <w:pPr>
              <w:spacing w:after="0"/>
            </w:pPr>
            <w:r/>
            <w:r>
              <w:rPr>
                <w:rFonts w:ascii="Aptos" w:hAnsi="Aptos"/>
                <w:b w:val="0"/>
                <w:i w:val="0"/>
                <w:color w:val="173B39"/>
                <w:sz w:val="17"/>
              </w:rPr>
              <w:t>Die Datei wurde nicht gespeichert. Ihre vorhandenen Daten wurden nicht verändert. Prüfen Sie Downloads und Speicherfreigabe.</w:t>
            </w:r>
          </w:p>
        </w:tc>
      </w:tr>
      <w:tr>
        <w:tc>
          <w:tcPr>
            <w:tcW w:type="dxa" w:w="4933"/>
            <w:vAlign w:val="center"/>
            <w:tcMar>
              <w:top w:w="100" w:type="dxa"/>
              <w:start w:w="130" w:type="dxa"/>
              <w:bottom w:w="100" w:type="dxa"/>
              <w:end w:w="130" w:type="dxa"/>
            </w:tcMar>
          </w:tcPr>
          <w:p>
            <w:pPr>
              <w:spacing w:after="0"/>
            </w:pPr>
            <w:r/>
            <w:r>
              <w:rPr>
                <w:rFonts w:ascii="Aptos" w:hAnsi="Aptos"/>
                <w:b w:val="0"/>
                <w:i w:val="0"/>
                <w:color w:val="173B39"/>
                <w:sz w:val="17"/>
              </w:rPr>
              <w:t>Falsche Datei</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7"/>
              </w:rPr>
              <w:t>Diese Datei ist kein unterstütztes Sicherungspaket. Ihre vorhandenen Daten wurden nicht verändert.</w:t>
            </w:r>
          </w:p>
        </w:tc>
      </w:tr>
      <w:tr>
        <w:tc>
          <w:tcPr>
            <w:tcW w:type="dxa" w:w="4933"/>
            <w:vAlign w:val="center"/>
            <w:tcMar>
              <w:top w:w="100" w:type="dxa"/>
              <w:start w:w="130" w:type="dxa"/>
              <w:bottom w:w="100" w:type="dxa"/>
              <w:end w:w="130" w:type="dxa"/>
            </w:tcMar>
            <w:shd w:fill="FFF9EE"/>
          </w:tcPr>
          <w:p>
            <w:pPr>
              <w:spacing w:after="0"/>
            </w:pPr>
            <w:r/>
            <w:r>
              <w:rPr>
                <w:rFonts w:ascii="Aptos" w:hAnsi="Aptos"/>
                <w:b w:val="0"/>
                <w:i w:val="0"/>
                <w:color w:val="173B39"/>
                <w:sz w:val="17"/>
              </w:rPr>
              <w:t>Falsches Kennwort / beschädigt</w:t>
            </w:r>
          </w:p>
        </w:tc>
        <w:tc>
          <w:tcPr>
            <w:tcW w:type="dxa" w:w="4933"/>
            <w:vAlign w:val="center"/>
            <w:tcMar>
              <w:top w:w="100" w:type="dxa"/>
              <w:start w:w="130" w:type="dxa"/>
              <w:bottom w:w="100" w:type="dxa"/>
              <w:end w:w="130" w:type="dxa"/>
            </w:tcMar>
            <w:shd w:fill="FFF9EE"/>
          </w:tcPr>
          <w:p>
            <w:pPr>
              <w:spacing w:after="0"/>
            </w:pPr>
            <w:r/>
            <w:r>
              <w:rPr>
                <w:rFonts w:ascii="Aptos" w:hAnsi="Aptos"/>
                <w:b w:val="0"/>
                <w:i w:val="0"/>
                <w:color w:val="173B39"/>
                <w:sz w:val="17"/>
              </w:rPr>
              <w:t>Das Kennwort ist falsch oder die Datei wurde beschädigt. Es wurden keine Daten übernommen.</w:t>
            </w:r>
          </w:p>
        </w:tc>
      </w:tr>
      <w:tr>
        <w:tc>
          <w:tcPr>
            <w:tcW w:type="dxa" w:w="4933"/>
            <w:vAlign w:val="center"/>
            <w:tcMar>
              <w:top w:w="100" w:type="dxa"/>
              <w:start w:w="130" w:type="dxa"/>
              <w:bottom w:w="100" w:type="dxa"/>
              <w:end w:w="130" w:type="dxa"/>
            </w:tcMar>
          </w:tcPr>
          <w:p>
            <w:pPr>
              <w:spacing w:after="0"/>
            </w:pPr>
            <w:r/>
            <w:r>
              <w:rPr>
                <w:rFonts w:ascii="Aptos" w:hAnsi="Aptos"/>
                <w:b w:val="0"/>
                <w:i w:val="0"/>
                <w:color w:val="173B39"/>
                <w:sz w:val="17"/>
              </w:rPr>
              <w:t>Älteres Format</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7"/>
              </w:rPr>
              <w:t>Diese Datei gehört zu einem älteren unverschlüsselten Sicherungsformat. Prüfen Sie vor der Übernahme Herkunft und Inhalt.</w:t>
            </w:r>
          </w:p>
        </w:tc>
      </w:tr>
    </w:tbl>
    <w:p>
      <w:pPr>
        <w:pStyle w:val="Heading1"/>
      </w:pPr>
      <w:r>
        <w:t>Schaltflächenregeln</w:t>
      </w:r>
    </w:p>
    <w:tbl>
      <w:tblPr>
        <w:tblW w:type="auto" w:w="0"/>
        <w:jc w:val="center"/>
        <w:tblLayout w:type="fixed"/>
        <w:tblLook w:firstColumn="1" w:firstRow="1" w:lastColumn="0" w:lastRow="0" w:noHBand="0" w:noVBand="1" w:val="04A0"/>
        <w:tblBorders>
          <w:top w:val="single" w:sz="6" w:color="BCD5D0"/>
          <w:left w:val="single" w:sz="6" w:color="BCD5D0"/>
          <w:bottom w:val="single" w:sz="6" w:color="BCD5D0"/>
          <w:right w:val="single" w:sz="6" w:color="BCD5D0"/>
          <w:insideH w:val="single" w:sz="6" w:color="BCD5D0"/>
          <w:insideV w:val="single" w:sz="6" w:color="BCD5D0"/>
        </w:tblBorders>
      </w:tblPr>
      <w:tblGrid>
        <w:gridCol w:w="4933"/>
        <w:gridCol w:w="4933"/>
      </w:tblGrid>
      <w:tr>
        <w:tc>
          <w:tcPr>
            <w:tcW w:type="dxa" w:w="2494"/>
            <w:vAlign w:val="center"/>
            <w:tcMar>
              <w:top w:w="100" w:type="dxa"/>
              <w:start w:w="130" w:type="dxa"/>
              <w:bottom w:w="100" w:type="dxa"/>
              <w:end w:w="130" w:type="dxa"/>
            </w:tcMar>
            <w:shd w:fill="EAF5F2"/>
          </w:tcPr>
          <w:p>
            <w:pPr>
              <w:spacing w:after="0"/>
            </w:pPr>
            <w:r/>
            <w:r>
              <w:rPr>
                <w:rFonts w:ascii="Aptos" w:hAnsi="Aptos"/>
                <w:b/>
                <w:i w:val="0"/>
                <w:color w:val="0E403D"/>
                <w:sz w:val="18"/>
              </w:rPr>
              <w:t>Petrol</w:t>
            </w:r>
          </w:p>
        </w:tc>
        <w:tc>
          <w:tcPr>
            <w:tcW w:type="dxa" w:w="7370"/>
            <w:vAlign w:val="center"/>
            <w:tcMar>
              <w:top w:w="100" w:type="dxa"/>
              <w:start w:w="130" w:type="dxa"/>
              <w:bottom w:w="100" w:type="dxa"/>
              <w:end w:w="130" w:type="dxa"/>
            </w:tcMar>
          </w:tcPr>
          <w:p>
            <w:pPr>
              <w:spacing w:after="0"/>
            </w:pPr>
            <w:r/>
            <w:r>
              <w:rPr>
                <w:rFonts w:ascii="Aptos" w:hAnsi="Aptos"/>
                <w:b w:val="0"/>
                <w:i w:val="0"/>
                <w:color w:val="173B39"/>
                <w:sz w:val="18"/>
              </w:rPr>
              <w:t>Hauptaktion: Sicherung erstellen oder geprüfte Sicherung übernehmen.</w:t>
            </w:r>
          </w:p>
        </w:tc>
      </w:tr>
      <w:tr>
        <w:tc>
          <w:tcPr>
            <w:tcW w:type="dxa" w:w="4933"/>
            <w:vAlign w:val="center"/>
            <w:tcMar>
              <w:top w:w="100" w:type="dxa"/>
              <w:start w:w="130" w:type="dxa"/>
              <w:bottom w:w="100" w:type="dxa"/>
              <w:end w:w="130" w:type="dxa"/>
            </w:tcMar>
            <w:shd w:fill="EAF5F2"/>
          </w:tcPr>
          <w:p>
            <w:pPr>
              <w:spacing w:after="0"/>
            </w:pPr>
            <w:r/>
            <w:r>
              <w:rPr>
                <w:rFonts w:ascii="Aptos" w:hAnsi="Aptos"/>
                <w:b/>
                <w:i w:val="0"/>
                <w:color w:val="0E403D"/>
                <w:sz w:val="18"/>
              </w:rPr>
              <w:t>Hell</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8"/>
              </w:rPr>
              <w:t>Nebenaktion: Abbrechen, Schließen, später.</w:t>
            </w:r>
          </w:p>
        </w:tc>
      </w:tr>
      <w:tr>
        <w:tc>
          <w:tcPr>
            <w:tcW w:type="dxa" w:w="4933"/>
            <w:vAlign w:val="center"/>
            <w:tcMar>
              <w:top w:w="100" w:type="dxa"/>
              <w:start w:w="130" w:type="dxa"/>
              <w:bottom w:w="100" w:type="dxa"/>
              <w:end w:w="130" w:type="dxa"/>
            </w:tcMar>
            <w:shd w:fill="EAF5F2"/>
          </w:tcPr>
          <w:p>
            <w:pPr>
              <w:spacing w:after="0"/>
            </w:pPr>
            <w:r/>
            <w:r>
              <w:rPr>
                <w:rFonts w:ascii="Aptos" w:hAnsi="Aptos"/>
                <w:b/>
                <w:i w:val="0"/>
                <w:color w:val="0E403D"/>
                <w:sz w:val="18"/>
              </w:rPr>
              <w:t>Gold</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8"/>
              </w:rPr>
              <w:t>Warnung oder bewusster Übergang zu älteren Formaten.</w:t>
            </w:r>
          </w:p>
        </w:tc>
      </w:tr>
      <w:tr>
        <w:tc>
          <w:tcPr>
            <w:tcW w:type="dxa" w:w="4933"/>
            <w:vAlign w:val="center"/>
            <w:tcMar>
              <w:top w:w="100" w:type="dxa"/>
              <w:start w:w="130" w:type="dxa"/>
              <w:bottom w:w="100" w:type="dxa"/>
              <w:end w:w="130" w:type="dxa"/>
            </w:tcMar>
            <w:shd w:fill="EAF5F2"/>
          </w:tcPr>
          <w:p>
            <w:pPr>
              <w:spacing w:after="0"/>
            </w:pPr>
            <w:r/>
            <w:r>
              <w:rPr>
                <w:rFonts w:ascii="Aptos" w:hAnsi="Aptos"/>
                <w:b/>
                <w:i w:val="0"/>
                <w:color w:val="0E403D"/>
                <w:sz w:val="18"/>
              </w:rPr>
              <w:t>Rot</w:t>
            </w:r>
          </w:p>
        </w:tc>
        <w:tc>
          <w:tcPr>
            <w:tcW w:type="dxa" w:w="4933"/>
            <w:vAlign w:val="center"/>
            <w:tcMar>
              <w:top w:w="100" w:type="dxa"/>
              <w:start w:w="130" w:type="dxa"/>
              <w:bottom w:w="100" w:type="dxa"/>
              <w:end w:w="130" w:type="dxa"/>
            </w:tcMar>
          </w:tcPr>
          <w:p>
            <w:pPr>
              <w:spacing w:after="0"/>
            </w:pPr>
            <w:r/>
            <w:r>
              <w:rPr>
                <w:rFonts w:ascii="Aptos" w:hAnsi="Aptos"/>
                <w:b w:val="0"/>
                <w:i w:val="0"/>
                <w:color w:val="173B39"/>
                <w:sz w:val="18"/>
              </w:rPr>
              <w:t>Endgültige Löschaktion, ausschließlich in getrennter Datenverwaltung.</w:t>
            </w:r>
          </w:p>
        </w:tc>
      </w:tr>
    </w:tbl>
    <w:p>
      <w:pPr>
        <w:pStyle w:val="Heading1"/>
      </w:pPr>
      <w:r>
        <w:t>Abnahme vor Umsetzung</w:t>
      </w:r>
    </w:p>
    <w:p>
      <w:pPr>
        <w:pStyle w:val="ListBullet"/>
        <w:spacing w:after="60"/>
      </w:pPr>
      <w:r>
        <w:t>Keine Datenstruktur- oder Formatänderung.</w:t>
      </w:r>
    </w:p>
    <w:p>
      <w:pPr>
        <w:pStyle w:val="ListBullet"/>
        <w:spacing w:after="60"/>
      </w:pPr>
      <w:r>
        <w:t>Vorhandene .mbg- und .mbs-Kompatibilität bleibt erhalten.</w:t>
      </w:r>
    </w:p>
    <w:p>
      <w:pPr>
        <w:pStyle w:val="ListBullet"/>
        <w:spacing w:after="60"/>
      </w:pPr>
      <w:r>
        <w:t>Keine persönlichen Daten in Tests.</w:t>
      </w:r>
    </w:p>
    <w:p>
      <w:pPr>
        <w:pStyle w:val="ListBullet"/>
        <w:spacing w:after="60"/>
      </w:pPr>
      <w:r>
        <w:t>Darstellung auf Smartphone, Tablet und PC prüfen.</w:t>
      </w:r>
    </w:p>
    <w:p>
      <w:pPr>
        <w:pStyle w:val="ListBullet"/>
        <w:spacing w:after="60"/>
      </w:pPr>
      <w:r>
        <w:t>Fehler- und Abbruchfälle müssen vorhandene Daten unverändert lassen.</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ptos" w:hAnsi="Aptos"/>
        <w:b w:val="0"/>
        <w:i w:val="0"/>
        <w:color w:val="5E7471"/>
        <w:sz w:val="16"/>
      </w:rPr>
      <w:t>Entwickelt von Lothar &amp; Nimbus  ·  Konzeptstand 26.08.2026</w:t>
    </w:r>
  </w:p>
  <w:p>
    <w:pPr>
      <w:jc w:val="right"/>
    </w:pPr>
    <w:r>
      <w:rPr>
        <w:rFonts w:ascii="Aptos" w:hAnsi="Aptos"/>
        <w:b w:val="0"/>
        <w:i w:val="0"/>
        <w:color w:val="5E7471"/>
        <w:sz w:val="17"/>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ptos" w:hAnsi="Aptos"/>
        <w:b/>
        <w:i w:val="0"/>
        <w:color w:val="175D57"/>
        <w:sz w:val="17"/>
      </w:rPr>
      <w:t>MEIN BEGLEITER  ·  KONZEPT – VEREINFACHTE SICHERUNGSSEITE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3B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E403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5D5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3B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E40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E747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27" w:right="227"/>
      <w:shd w:fill="EAF5F2"/>
      <w:pBdr>
        <w:left w:val="single" w:sz="22" w:color="175D57" w:space="8"/>
      </w:pBdr>
    </w:pPr>
    <w:rPr>
      <w:rFonts w:ascii="Aptos" w:hAnsi="Aptos"/>
      <w:color w:val="173B39"/>
      <w:sz w:val="20"/>
    </w:rPr>
  </w:style>
  <w:style w:type="paragraph" w:customStyle="1" w:styleId="Warning">
    <w:name w:val="Warning"/>
    <w:pPr>
      <w:spacing w:before="100" w:after="140"/>
      <w:ind w:left="227" w:right="227"/>
      <w:shd w:fill="FFF1CF"/>
      <w:pBdr>
        <w:left w:val="single" w:sz="22" w:color="D9A441" w:space="8"/>
      </w:pBdr>
    </w:pPr>
    <w:rPr>
      <w:rFonts w:ascii="Aptos" w:hAnsi="Aptos"/>
      <w:color w:val="173B39"/>
      <w:sz w:val="20"/>
    </w:rPr>
  </w:style>
  <w:style w:type="paragraph" w:customStyle="1" w:styleId="Decision">
    <w:name w:val="Decision"/>
    <w:pPr>
      <w:spacing w:before="100" w:after="140"/>
      <w:ind w:left="227" w:right="227"/>
      <w:shd w:fill="FCEAE8"/>
      <w:pBdr>
        <w:left w:val="single" w:sz="22" w:color="9A2D25" w:space="8"/>
      </w:pBdr>
    </w:pPr>
    <w:rPr>
      <w:rFonts w:ascii="Aptos" w:hAnsi="Aptos"/>
      <w:color w:val="173B3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Mein Begleiter – Bestandsaufnahme und Konzeptprüfung</dc:subject>
  <dc:creator>Lothar &amp; Nimbus</dc:creator>
  <cp:keywords>Mein Begleiter, PWA, Bedienung, Qualität, Sicherung</cp:keywords>
  <dc:description>generated by python-docx</dc:description>
  <cp:lastModifiedBy/>
  <cp:revision>1</cp:revision>
  <dcterms:created xsi:type="dcterms:W3CDTF">2013-12-23T23:15:00Z</dcterms:created>
  <dcterms:modified xsi:type="dcterms:W3CDTF">2013-12-23T23:15:00Z</dcterms:modified>
  <cp:category/>
</cp:coreProperties>
</file>