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B46D92" w14:textId="77777777" w:rsidR="006C4DEE" w:rsidRDefault="00000000">
      <w:pPr>
        <w:pStyle w:val="Title"/>
      </w:pPr>
      <w:r>
        <w:t>DeFund — A Hybrid Crowdfunding DApp</w:t>
      </w:r>
    </w:p>
    <w:p w14:paraId="5ADC3D40" w14:textId="77777777" w:rsidR="006C4DEE" w:rsidRDefault="00000000">
      <w:pPr>
        <w:pStyle w:val="Author"/>
      </w:pPr>
      <w:r>
        <w:t>CN6035 Task 1 Coursework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725912149"/>
        <w:docPartObj>
          <w:docPartGallery w:val="Table of Contents"/>
          <w:docPartUnique/>
        </w:docPartObj>
      </w:sdtPr>
      <w:sdtContent>
        <w:p w14:paraId="4E269777" w14:textId="77777777" w:rsidR="006C4DEE" w:rsidRDefault="00000000">
          <w:pPr>
            <w:pStyle w:val="TOCHeading"/>
          </w:pPr>
          <w:r>
            <w:t>Table of Contents</w:t>
          </w:r>
        </w:p>
        <w:p w14:paraId="398D9A8E" w14:textId="77777777" w:rsidR="00F72B13" w:rsidRDefault="00000000">
          <w:pPr>
            <w:pStyle w:val="TOC1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8424198" w:history="1">
            <w:r w:rsidR="00F72B13" w:rsidRPr="00B714A3">
              <w:rPr>
                <w:rStyle w:val="Hyperlink"/>
                <w:noProof/>
              </w:rPr>
              <w:t>DeFund — A Hybrid Crowdfunding DApp</w:t>
            </w:r>
            <w:r w:rsidR="00F72B13">
              <w:rPr>
                <w:noProof/>
                <w:webHidden/>
              </w:rPr>
              <w:tab/>
            </w:r>
            <w:r w:rsidR="00F72B13">
              <w:rPr>
                <w:noProof/>
                <w:webHidden/>
              </w:rPr>
              <w:fldChar w:fldCharType="begin"/>
            </w:r>
            <w:r w:rsidR="00F72B13">
              <w:rPr>
                <w:noProof/>
                <w:webHidden/>
              </w:rPr>
              <w:instrText xml:space="preserve"> PAGEREF _Toc228424198 \h </w:instrText>
            </w:r>
            <w:r w:rsidR="00F72B13">
              <w:rPr>
                <w:noProof/>
                <w:webHidden/>
              </w:rPr>
            </w:r>
            <w:r w:rsidR="00F72B13">
              <w:rPr>
                <w:noProof/>
                <w:webHidden/>
              </w:rPr>
              <w:fldChar w:fldCharType="separate"/>
            </w:r>
            <w:r w:rsidR="00F72B13">
              <w:rPr>
                <w:noProof/>
                <w:webHidden/>
              </w:rPr>
              <w:t>1</w:t>
            </w:r>
            <w:r w:rsidR="00F72B13">
              <w:rPr>
                <w:noProof/>
                <w:webHidden/>
              </w:rPr>
              <w:fldChar w:fldCharType="end"/>
            </w:r>
          </w:hyperlink>
        </w:p>
        <w:p w14:paraId="086F09C3" w14:textId="77777777" w:rsidR="00F72B13" w:rsidRDefault="00F72B13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8424199" w:history="1">
            <w:r w:rsidRPr="00B714A3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63EF4" w14:textId="77777777" w:rsidR="00F72B13" w:rsidRDefault="00F72B13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8424200" w:history="1">
            <w:r w:rsidRPr="00B714A3">
              <w:rPr>
                <w:rStyle w:val="Hyperlink"/>
                <w:noProof/>
              </w:rPr>
              <w:t>2.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9EA90" w14:textId="77777777" w:rsidR="00F72B13" w:rsidRDefault="00F72B13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8424201" w:history="1">
            <w:r w:rsidRPr="00B714A3">
              <w:rPr>
                <w:rStyle w:val="Hyperlink"/>
                <w:noProof/>
              </w:rPr>
              <w:t>3. Smart contract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85A93" w14:textId="77777777" w:rsidR="00F72B13" w:rsidRDefault="00F72B13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8424202" w:history="1">
            <w:r w:rsidRPr="00B714A3">
              <w:rPr>
                <w:rStyle w:val="Hyperlink"/>
                <w:noProof/>
              </w:rPr>
              <w:t>4. Back-end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77F16" w14:textId="77777777" w:rsidR="00F72B13" w:rsidRDefault="00F72B13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8424203" w:history="1">
            <w:r w:rsidRPr="00B714A3">
              <w:rPr>
                <w:rStyle w:val="Hyperlink"/>
                <w:noProof/>
              </w:rPr>
              <w:t>5. API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345FC" w14:textId="77777777" w:rsidR="00F72B13" w:rsidRDefault="00F72B13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8424204" w:history="1">
            <w:r w:rsidRPr="00B714A3">
              <w:rPr>
                <w:rStyle w:val="Hyperlink"/>
                <w:noProof/>
              </w:rPr>
              <w:t>6. Front-end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0A9F7" w14:textId="77777777" w:rsidR="00F72B13" w:rsidRDefault="00F72B13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8424205" w:history="1">
            <w:r w:rsidRPr="00B714A3">
              <w:rPr>
                <w:rStyle w:val="Hyperlink"/>
                <w:noProof/>
              </w:rPr>
              <w:t>7. Code quality, version control, and 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54545" w14:textId="77777777" w:rsidR="00F72B13" w:rsidRDefault="00F72B13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8424206" w:history="1">
            <w:r w:rsidRPr="00B714A3">
              <w:rPr>
                <w:rStyle w:val="Hyperlink"/>
                <w:noProof/>
              </w:rPr>
              <w:t>8. Critical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F280F" w14:textId="77777777" w:rsidR="00F72B13" w:rsidRDefault="00F72B13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8424207" w:history="1">
            <w:r w:rsidRPr="00B714A3">
              <w:rPr>
                <w:rStyle w:val="Hyperlink"/>
                <w:noProof/>
              </w:rPr>
              <w:t>9. 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07F92" w14:textId="77777777" w:rsidR="00F72B13" w:rsidRDefault="00F72B13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28424208" w:history="1">
            <w:r w:rsidRPr="00B714A3">
              <w:rPr>
                <w:rStyle w:val="Hyperlink"/>
                <w:noProof/>
              </w:rPr>
              <w:t>10.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_Toc228424208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ADFC0" w14:textId="77777777" w:rsidR="006C4DEE" w:rsidRDefault="00000000">
          <w:r>
            <w:fldChar w:fldCharType="end"/>
          </w:r>
        </w:p>
      </w:sdtContent>
    </w:sdt>
    <w:p w14:paraId="28E6AF2E" w14:textId="77777777" w:rsidR="006C4DEE" w:rsidRDefault="00000000">
      <w:pPr>
        <w:pStyle w:val="Heading1"/>
      </w:pPr>
      <w:bookmarkStart w:id="0" w:name="defund-a-hybrid-crowdfunding-dapp"/>
      <w:bookmarkStart w:id="1" w:name="_Toc228424198"/>
      <w:r>
        <w:t>DeFund — A Hybrid Crowdfunding DApp</w:t>
      </w:r>
      <w:bookmarkEnd w:id="1"/>
    </w:p>
    <w:p w14:paraId="34DB36E0" w14:textId="77777777" w:rsidR="006C4DEE" w:rsidRDefault="00000000">
      <w:pPr>
        <w:pStyle w:val="FirstParagraph"/>
      </w:pPr>
      <w:r>
        <w:rPr>
          <w:b/>
          <w:bCs/>
        </w:rPr>
        <w:t>Author</w:t>
      </w:r>
      <w:r>
        <w:t xml:space="preserve">: </w:t>
      </w:r>
      <w:r>
        <w:rPr>
          <w:i/>
          <w:iCs/>
        </w:rPr>
        <w:t>CN6035 student</w:t>
      </w:r>
      <w:r>
        <w:br/>
      </w:r>
      <w:r>
        <w:rPr>
          <w:b/>
          <w:bCs/>
        </w:rPr>
        <w:t>Module</w:t>
      </w:r>
      <w:r>
        <w:t>: CN6035 — Mobile and Distributed Systems</w:t>
      </w:r>
      <w:r>
        <w:br/>
      </w:r>
      <w:r>
        <w:rPr>
          <w:b/>
          <w:bCs/>
        </w:rPr>
        <w:t>Task</w:t>
      </w:r>
      <w:r>
        <w:t>: Task 1 — Hybrid DApp Development (70%)</w:t>
      </w:r>
      <w:r>
        <w:br/>
      </w:r>
      <w:r>
        <w:rPr>
          <w:b/>
          <w:bCs/>
        </w:rPr>
        <w:t>Repository</w:t>
      </w:r>
      <w:r>
        <w:t xml:space="preserve">: </w:t>
      </w:r>
      <w:hyperlink r:id="rId5">
        <w:r>
          <w:rPr>
            <w:rStyle w:val="Hyperlink"/>
          </w:rPr>
          <w:t>https://github.com/</w:t>
        </w:r>
      </w:hyperlink>
      <w:r>
        <w:t xml:space="preserve"> </w:t>
      </w:r>
      <w:r>
        <w:rPr>
          <w:i/>
          <w:iCs/>
        </w:rPr>
        <w:t>(replace with submission link)</w:t>
      </w:r>
    </w:p>
    <w:p w14:paraId="58D50DEF" w14:textId="77777777" w:rsidR="006C4DEE" w:rsidRDefault="00000000">
      <w:pPr>
        <w:pStyle w:val="Heading2"/>
      </w:pPr>
      <w:bookmarkStart w:id="2" w:name="introduction"/>
      <w:bookmarkStart w:id="3" w:name="_Toc228424199"/>
      <w:r>
        <w:t>1. Introduction</w:t>
      </w:r>
      <w:bookmarkEnd w:id="3"/>
    </w:p>
    <w:p w14:paraId="00846C82" w14:textId="77777777" w:rsidR="006C4DEE" w:rsidRDefault="00000000">
      <w:pPr>
        <w:pStyle w:val="FirstParagraph"/>
      </w:pPr>
      <w:r>
        <w:t xml:space="preserve">DeFund is a decentralized crowdfunding application: creators publish campaigns with a funding goal and a deadline, backers pledge ETH from their wallets, and the smart contract releases funds to the creator if the goal is met by the deadline — otherwise backers can refund their pledges. The application is intentionally </w:t>
      </w:r>
      <w:r>
        <w:rPr>
          <w:b/>
          <w:bCs/>
        </w:rPr>
        <w:t>hybrid</w:t>
      </w:r>
      <w:r>
        <w:t>: the on-chain Solidity contract is the system of record, while a Node.js back-end caches state and serves a Next.js front-end through an API gateway. This architecture reflects the central tension of the module — that real-world distributed systems are rarely purely on-chain or purely off-chain; useful DApps combine both layers and reason about consistency between them.</w:t>
      </w:r>
    </w:p>
    <w:p w14:paraId="7343732B" w14:textId="77777777" w:rsidR="006C4DEE" w:rsidRDefault="00000000">
      <w:pPr>
        <w:pStyle w:val="BodyText"/>
      </w:pPr>
      <w:r>
        <w:t xml:space="preserve">The reference scaffold draws inspiration from the Open-Source crowdfunding pattern popularised by JavaScript-Mastery’s </w:t>
      </w:r>
      <w:r>
        <w:rPr>
          <w:rStyle w:val="VerbatimChar"/>
        </w:rPr>
        <w:t>crowdfunding-blockchain</w:t>
      </w:r>
      <w:r>
        <w:t xml:space="preserve"> (selected in the Week 5 </w:t>
      </w:r>
      <w:r>
        <w:lastRenderedPageBreak/>
        <w:t>OSS DApp session), but the contract, services, and indexing layer have been reimplemented from scratch to satisfy the depth required by each marking criterion.</w:t>
      </w:r>
    </w:p>
    <w:p w14:paraId="7DA61E72" w14:textId="77777777" w:rsidR="006C4DEE" w:rsidRDefault="00000000">
      <w:pPr>
        <w:pStyle w:val="Heading2"/>
      </w:pPr>
      <w:bookmarkStart w:id="4" w:name="architecture"/>
      <w:bookmarkStart w:id="5" w:name="_Toc228424200"/>
      <w:bookmarkEnd w:id="2"/>
      <w:r>
        <w:t>2. Architecture</w:t>
      </w:r>
      <w:bookmarkEnd w:id="5"/>
    </w:p>
    <w:p w14:paraId="68EB014F" w14:textId="77777777" w:rsidR="006C4DEE" w:rsidRDefault="00000000">
      <w:pPr>
        <w:pStyle w:val="SourceCode"/>
      </w:pPr>
      <w:r>
        <w:rPr>
          <w:rStyle w:val="VerbatimChar"/>
        </w:rPr>
        <w:t>Frontend (Next.js 14 SSR + wagmi)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API Gateway (Express :4000)   — pino logging · rate-limit · CORS · SIWE auth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>Backend API (Express :4001) ── SQLite via Prisma — campaign cache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 ethers.js v6</w:t>
      </w:r>
      <w:r>
        <w:br/>
      </w:r>
      <w:r>
        <w:rPr>
          <w:rStyle w:val="VerbatimChar"/>
        </w:rPr>
        <w:t>Sepolia Testnet — Crowdfunding.sol</w:t>
      </w:r>
      <w:r>
        <w:br/>
      </w:r>
      <w:r>
        <w:rPr>
          <w:rStyle w:val="VerbatimChar"/>
        </w:rPr>
        <w:t xml:space="preserve">        ▲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>Backend Indexer ── subscribes to CampaignCreated / Pledged / Claimed / Refunded</w:t>
      </w:r>
    </w:p>
    <w:p w14:paraId="1A9E2452" w14:textId="77777777" w:rsidR="006C4DEE" w:rsidRDefault="00000000">
      <w:pPr>
        <w:pStyle w:val="FirstParagraph"/>
      </w:pPr>
      <w:r>
        <w:t xml:space="preserve">The full diagrams (system and BPMN pledge-flow) are in </w:t>
      </w:r>
      <w:r>
        <w:rPr>
          <w:rStyle w:val="VerbatimChar"/>
        </w:rPr>
        <w:t>docs/architecture.md</w:t>
      </w:r>
      <w:r>
        <w:t xml:space="preserve"> and </w:t>
      </w:r>
      <w:r>
        <w:rPr>
          <w:rStyle w:val="VerbatimChar"/>
        </w:rPr>
        <w:t>docs/bpmn-pledge-flow.md</w:t>
      </w:r>
      <w:r>
        <w:t>. Each component maps directly to a topic taught in the module: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1"/>
        <w:gridCol w:w="3810"/>
        <w:gridCol w:w="5355"/>
      </w:tblGrid>
      <w:tr w:rsidR="006C4DEE" w14:paraId="380FA28A" w14:textId="77777777" w:rsidTr="006C4D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0" w:type="dxa"/>
          </w:tcPr>
          <w:p w14:paraId="3FE4117D" w14:textId="77777777" w:rsidR="006C4DEE" w:rsidRDefault="00000000">
            <w:pPr>
              <w:pStyle w:val="Compact"/>
            </w:pPr>
            <w:r>
              <w:t>Week</w:t>
            </w:r>
          </w:p>
        </w:tc>
        <w:tc>
          <w:tcPr>
            <w:tcW w:w="3150" w:type="dxa"/>
          </w:tcPr>
          <w:p w14:paraId="2B7FCEFD" w14:textId="77777777" w:rsidR="006C4DEE" w:rsidRDefault="00000000">
            <w:pPr>
              <w:pStyle w:val="Compact"/>
            </w:pPr>
            <w:r>
              <w:t>Topic</w:t>
            </w:r>
          </w:p>
        </w:tc>
        <w:tc>
          <w:tcPr>
            <w:tcW w:w="4428" w:type="dxa"/>
          </w:tcPr>
          <w:p w14:paraId="61348CEF" w14:textId="77777777" w:rsidR="006C4DEE" w:rsidRDefault="00000000">
            <w:pPr>
              <w:pStyle w:val="Compact"/>
            </w:pPr>
            <w:r>
              <w:t>Component</w:t>
            </w:r>
          </w:p>
        </w:tc>
      </w:tr>
      <w:tr w:rsidR="006C4DEE" w14:paraId="60289AC0" w14:textId="77777777">
        <w:tc>
          <w:tcPr>
            <w:tcW w:w="340" w:type="dxa"/>
          </w:tcPr>
          <w:p w14:paraId="4ADB4952" w14:textId="77777777" w:rsidR="006C4DEE" w:rsidRDefault="00000000">
            <w:pPr>
              <w:pStyle w:val="Compact"/>
            </w:pPr>
            <w:r>
              <w:t>1</w:t>
            </w:r>
          </w:p>
        </w:tc>
        <w:tc>
          <w:tcPr>
            <w:tcW w:w="3150" w:type="dxa"/>
          </w:tcPr>
          <w:p w14:paraId="5998A9AD" w14:textId="77777777" w:rsidR="006C4DEE" w:rsidRDefault="00000000">
            <w:pPr>
              <w:pStyle w:val="Compact"/>
            </w:pPr>
            <w:r>
              <w:t>Mobile &amp; Distributed Systems</w:t>
            </w:r>
          </w:p>
        </w:tc>
        <w:tc>
          <w:tcPr>
            <w:tcW w:w="4428" w:type="dxa"/>
          </w:tcPr>
          <w:p w14:paraId="50B23859" w14:textId="77777777" w:rsidR="006C4DEE" w:rsidRDefault="00000000">
            <w:pPr>
              <w:pStyle w:val="Compact"/>
            </w:pPr>
            <w:r>
              <w:t>Hybrid on/off-chain split, eventual consistency</w:t>
            </w:r>
          </w:p>
        </w:tc>
      </w:tr>
      <w:tr w:rsidR="006C4DEE" w14:paraId="1785D222" w14:textId="77777777">
        <w:tc>
          <w:tcPr>
            <w:tcW w:w="340" w:type="dxa"/>
          </w:tcPr>
          <w:p w14:paraId="10C5B196" w14:textId="77777777" w:rsidR="006C4DEE" w:rsidRDefault="00000000">
            <w:pPr>
              <w:pStyle w:val="Compact"/>
            </w:pPr>
            <w:r>
              <w:t>2</w:t>
            </w:r>
          </w:p>
        </w:tc>
        <w:tc>
          <w:tcPr>
            <w:tcW w:w="3150" w:type="dxa"/>
          </w:tcPr>
          <w:p w14:paraId="0B3A884F" w14:textId="77777777" w:rsidR="006C4DEE" w:rsidRDefault="00000000">
            <w:pPr>
              <w:pStyle w:val="Compact"/>
            </w:pPr>
            <w:r>
              <w:t>BPMN workflow modelling</w:t>
            </w:r>
          </w:p>
        </w:tc>
        <w:tc>
          <w:tcPr>
            <w:tcW w:w="4428" w:type="dxa"/>
          </w:tcPr>
          <w:p w14:paraId="5F8BF6BE" w14:textId="77777777" w:rsidR="006C4DEE" w:rsidRDefault="00000000">
            <w:pPr>
              <w:pStyle w:val="Compact"/>
            </w:pPr>
            <w:r>
              <w:rPr>
                <w:rStyle w:val="VerbatimChar"/>
              </w:rPr>
              <w:t>docs/bpmn-pledge-flow.md</w:t>
            </w:r>
          </w:p>
        </w:tc>
      </w:tr>
      <w:tr w:rsidR="006C4DEE" w14:paraId="5FB825F5" w14:textId="77777777">
        <w:tc>
          <w:tcPr>
            <w:tcW w:w="340" w:type="dxa"/>
          </w:tcPr>
          <w:p w14:paraId="03DB268A" w14:textId="77777777" w:rsidR="006C4DEE" w:rsidRDefault="00000000">
            <w:pPr>
              <w:pStyle w:val="Compact"/>
            </w:pPr>
            <w:r>
              <w:t>3</w:t>
            </w:r>
          </w:p>
        </w:tc>
        <w:tc>
          <w:tcPr>
            <w:tcW w:w="3150" w:type="dxa"/>
          </w:tcPr>
          <w:p w14:paraId="09623ADA" w14:textId="77777777" w:rsidR="006C4DEE" w:rsidRDefault="00000000">
            <w:pPr>
              <w:pStyle w:val="Compact"/>
            </w:pPr>
            <w:r>
              <w:t>RESTful Web Services (Node + Express)</w:t>
            </w:r>
          </w:p>
        </w:tc>
        <w:tc>
          <w:tcPr>
            <w:tcW w:w="4428" w:type="dxa"/>
          </w:tcPr>
          <w:p w14:paraId="187871F3" w14:textId="77777777" w:rsidR="006C4DEE" w:rsidRDefault="00000000">
            <w:pPr>
              <w:pStyle w:val="Compact"/>
            </w:pPr>
            <w:r>
              <w:rPr>
                <w:rStyle w:val="VerbatimChar"/>
              </w:rPr>
              <w:t>backend/</w:t>
            </w:r>
            <w:r>
              <w:t xml:space="preserve"> REST API and routes</w:t>
            </w:r>
          </w:p>
        </w:tc>
      </w:tr>
      <w:tr w:rsidR="006C4DEE" w14:paraId="074D05A7" w14:textId="77777777">
        <w:tc>
          <w:tcPr>
            <w:tcW w:w="340" w:type="dxa"/>
          </w:tcPr>
          <w:p w14:paraId="36950810" w14:textId="77777777" w:rsidR="006C4DEE" w:rsidRDefault="00000000">
            <w:pPr>
              <w:pStyle w:val="Compact"/>
            </w:pPr>
            <w:r>
              <w:t>4</w:t>
            </w:r>
          </w:p>
        </w:tc>
        <w:tc>
          <w:tcPr>
            <w:tcW w:w="3150" w:type="dxa"/>
          </w:tcPr>
          <w:p w14:paraId="0E632269" w14:textId="77777777" w:rsidR="006C4DEE" w:rsidRDefault="00000000">
            <w:pPr>
              <w:pStyle w:val="Compact"/>
            </w:pPr>
            <w:r>
              <w:t>API Gateways with Node.js</w:t>
            </w:r>
          </w:p>
        </w:tc>
        <w:tc>
          <w:tcPr>
            <w:tcW w:w="4428" w:type="dxa"/>
          </w:tcPr>
          <w:p w14:paraId="0C2BCC65" w14:textId="77777777" w:rsidR="006C4DEE" w:rsidRDefault="00000000">
            <w:pPr>
              <w:pStyle w:val="Compact"/>
            </w:pPr>
            <w:r>
              <w:rPr>
                <w:rStyle w:val="VerbatimChar"/>
              </w:rPr>
              <w:t>gateway/</w:t>
            </w:r>
            <w:r>
              <w:t xml:space="preserve"> Express + http-proxy-middleware</w:t>
            </w:r>
          </w:p>
        </w:tc>
      </w:tr>
      <w:tr w:rsidR="006C4DEE" w14:paraId="29D00CBE" w14:textId="77777777">
        <w:tc>
          <w:tcPr>
            <w:tcW w:w="340" w:type="dxa"/>
          </w:tcPr>
          <w:p w14:paraId="30DE8BAB" w14:textId="77777777" w:rsidR="006C4DEE" w:rsidRDefault="00000000">
            <w:pPr>
              <w:pStyle w:val="Compact"/>
            </w:pPr>
            <w:r>
              <w:t>5</w:t>
            </w:r>
          </w:p>
        </w:tc>
        <w:tc>
          <w:tcPr>
            <w:tcW w:w="3150" w:type="dxa"/>
          </w:tcPr>
          <w:p w14:paraId="64A0FB35" w14:textId="77777777" w:rsidR="006C4DEE" w:rsidRDefault="00000000">
            <w:pPr>
              <w:pStyle w:val="Compact"/>
            </w:pPr>
            <w:r>
              <w:t>OSS DApp project selection</w:t>
            </w:r>
          </w:p>
        </w:tc>
        <w:tc>
          <w:tcPr>
            <w:tcW w:w="4428" w:type="dxa"/>
          </w:tcPr>
          <w:p w14:paraId="0ED2032A" w14:textId="77777777" w:rsidR="006C4DEE" w:rsidRDefault="00000000">
            <w:pPr>
              <w:pStyle w:val="Compact"/>
            </w:pPr>
            <w:r>
              <w:t>OSS reference cited; project approved in lab session</w:t>
            </w:r>
          </w:p>
        </w:tc>
      </w:tr>
      <w:tr w:rsidR="006C4DEE" w14:paraId="160FBCE8" w14:textId="77777777">
        <w:tc>
          <w:tcPr>
            <w:tcW w:w="340" w:type="dxa"/>
          </w:tcPr>
          <w:p w14:paraId="2D85AE7D" w14:textId="77777777" w:rsidR="006C4DEE" w:rsidRDefault="00000000">
            <w:pPr>
              <w:pStyle w:val="Compact"/>
            </w:pPr>
            <w:r>
              <w:t>6</w:t>
            </w:r>
          </w:p>
        </w:tc>
        <w:tc>
          <w:tcPr>
            <w:tcW w:w="3150" w:type="dxa"/>
          </w:tcPr>
          <w:p w14:paraId="7C83C69A" w14:textId="77777777" w:rsidR="006C4DEE" w:rsidRDefault="00000000">
            <w:pPr>
              <w:pStyle w:val="Compact"/>
            </w:pPr>
            <w:r>
              <w:t>JAM Stack + SSR + Cloud deployment</w:t>
            </w:r>
          </w:p>
        </w:tc>
        <w:tc>
          <w:tcPr>
            <w:tcW w:w="4428" w:type="dxa"/>
          </w:tcPr>
          <w:p w14:paraId="6666EFF0" w14:textId="77777777" w:rsidR="006C4DEE" w:rsidRDefault="00000000">
            <w:pPr>
              <w:pStyle w:val="Compact"/>
            </w:pPr>
            <w:r>
              <w:t xml:space="preserve">Next.js App Router with </w:t>
            </w:r>
            <w:r>
              <w:rPr>
                <w:rStyle w:val="VerbatimChar"/>
              </w:rPr>
              <w:t>force-dynamic</w:t>
            </w:r>
            <w:r>
              <w:t xml:space="preserve"> SSR</w:t>
            </w:r>
          </w:p>
        </w:tc>
      </w:tr>
      <w:tr w:rsidR="006C4DEE" w14:paraId="331237CA" w14:textId="77777777">
        <w:tc>
          <w:tcPr>
            <w:tcW w:w="340" w:type="dxa"/>
          </w:tcPr>
          <w:p w14:paraId="74CEC747" w14:textId="77777777" w:rsidR="006C4DEE" w:rsidRDefault="00000000">
            <w:pPr>
              <w:pStyle w:val="Compact"/>
            </w:pPr>
            <w:r>
              <w:t>7</w:t>
            </w:r>
          </w:p>
        </w:tc>
        <w:tc>
          <w:tcPr>
            <w:tcW w:w="3150" w:type="dxa"/>
          </w:tcPr>
          <w:p w14:paraId="3BBFD512" w14:textId="77777777" w:rsidR="006C4DEE" w:rsidRDefault="00000000">
            <w:pPr>
              <w:pStyle w:val="Compact"/>
            </w:pPr>
            <w:r>
              <w:t>Smart Contract design</w:t>
            </w:r>
          </w:p>
        </w:tc>
        <w:tc>
          <w:tcPr>
            <w:tcW w:w="4428" w:type="dxa"/>
          </w:tcPr>
          <w:p w14:paraId="495DEB21" w14:textId="77777777" w:rsidR="006C4DEE" w:rsidRDefault="00000000">
            <w:pPr>
              <w:pStyle w:val="Compact"/>
            </w:pPr>
            <w:r>
              <w:rPr>
                <w:rStyle w:val="VerbatimChar"/>
              </w:rPr>
              <w:t>contracts/Crowdfunding.sol</w:t>
            </w:r>
            <w:r>
              <w:t xml:space="preserve"> — events, custom errors</w:t>
            </w:r>
          </w:p>
        </w:tc>
      </w:tr>
      <w:tr w:rsidR="006C4DEE" w14:paraId="40961CB0" w14:textId="77777777">
        <w:tc>
          <w:tcPr>
            <w:tcW w:w="340" w:type="dxa"/>
          </w:tcPr>
          <w:p w14:paraId="5CF32250" w14:textId="77777777" w:rsidR="006C4DEE" w:rsidRDefault="00000000">
            <w:pPr>
              <w:pStyle w:val="Compact"/>
            </w:pPr>
            <w:r>
              <w:t>8</w:t>
            </w:r>
          </w:p>
        </w:tc>
        <w:tc>
          <w:tcPr>
            <w:tcW w:w="3150" w:type="dxa"/>
          </w:tcPr>
          <w:p w14:paraId="76784069" w14:textId="77777777" w:rsidR="006C4DEE" w:rsidRDefault="00000000">
            <w:pPr>
              <w:pStyle w:val="Compact"/>
            </w:pPr>
            <w:r>
              <w:t>Blockchain &amp; Smart Contracts</w:t>
            </w:r>
          </w:p>
        </w:tc>
        <w:tc>
          <w:tcPr>
            <w:tcW w:w="4428" w:type="dxa"/>
          </w:tcPr>
          <w:p w14:paraId="7E4BE4D1" w14:textId="77777777" w:rsidR="006C4DEE" w:rsidRDefault="00000000">
            <w:pPr>
              <w:pStyle w:val="Compact"/>
            </w:pPr>
            <w:r>
              <w:t>Hardhat dev workflow, Sepolia deploy + verify</w:t>
            </w:r>
          </w:p>
        </w:tc>
      </w:tr>
      <w:tr w:rsidR="006C4DEE" w14:paraId="71030659" w14:textId="77777777">
        <w:tc>
          <w:tcPr>
            <w:tcW w:w="340" w:type="dxa"/>
          </w:tcPr>
          <w:p w14:paraId="59D76207" w14:textId="77777777" w:rsidR="006C4DEE" w:rsidRDefault="00000000">
            <w:pPr>
              <w:pStyle w:val="Compact"/>
            </w:pPr>
            <w:r>
              <w:t>9</w:t>
            </w:r>
          </w:p>
        </w:tc>
        <w:tc>
          <w:tcPr>
            <w:tcW w:w="3150" w:type="dxa"/>
          </w:tcPr>
          <w:p w14:paraId="36D89B6F" w14:textId="77777777" w:rsidR="006C4DEE" w:rsidRDefault="00000000">
            <w:pPr>
              <w:pStyle w:val="Compact"/>
            </w:pPr>
            <w:r>
              <w:t>Web 3.0, NFTs, DApps with React</w:t>
            </w:r>
          </w:p>
        </w:tc>
        <w:tc>
          <w:tcPr>
            <w:tcW w:w="4428" w:type="dxa"/>
          </w:tcPr>
          <w:p w14:paraId="2ECFB297" w14:textId="77777777" w:rsidR="006C4DEE" w:rsidRDefault="00000000">
            <w:pPr>
              <w:pStyle w:val="Compact"/>
            </w:pPr>
            <w:r>
              <w:t>wagmi v2 + RainbowKit + viem in the frontend</w:t>
            </w:r>
          </w:p>
        </w:tc>
      </w:tr>
      <w:tr w:rsidR="006C4DEE" w14:paraId="38BA9377" w14:textId="77777777">
        <w:tc>
          <w:tcPr>
            <w:tcW w:w="340" w:type="dxa"/>
          </w:tcPr>
          <w:p w14:paraId="1C1766B7" w14:textId="77777777" w:rsidR="006C4DEE" w:rsidRDefault="00000000">
            <w:pPr>
              <w:pStyle w:val="Compact"/>
            </w:pPr>
            <w:r>
              <w:t>10</w:t>
            </w:r>
          </w:p>
        </w:tc>
        <w:tc>
          <w:tcPr>
            <w:tcW w:w="3150" w:type="dxa"/>
          </w:tcPr>
          <w:p w14:paraId="48CC40FD" w14:textId="77777777" w:rsidR="006C4DEE" w:rsidRDefault="00000000">
            <w:pPr>
              <w:pStyle w:val="Compact"/>
            </w:pPr>
            <w:r>
              <w:t>Configuration management + GitHub</w:t>
            </w:r>
          </w:p>
        </w:tc>
        <w:tc>
          <w:tcPr>
            <w:tcW w:w="4428" w:type="dxa"/>
          </w:tcPr>
          <w:p w14:paraId="5EE600D3" w14:textId="77777777" w:rsidR="006C4DEE" w:rsidRDefault="00000000">
            <w:pPr>
              <w:pStyle w:val="Compact"/>
            </w:pPr>
            <w:r>
              <w:t>GitHub Actions CI, Husky, Conventional Commits</w:t>
            </w:r>
          </w:p>
        </w:tc>
      </w:tr>
    </w:tbl>
    <w:p w14:paraId="68B81CE3" w14:textId="77777777" w:rsidR="006C4DEE" w:rsidRDefault="00000000">
      <w:pPr>
        <w:pStyle w:val="Heading2"/>
      </w:pPr>
      <w:bookmarkStart w:id="6" w:name="smart-contract"/>
      <w:bookmarkStart w:id="7" w:name="_Toc228424201"/>
      <w:bookmarkEnd w:id="4"/>
      <w:r>
        <w:lastRenderedPageBreak/>
        <w:t>3. Smart contract</w:t>
      </w:r>
      <w:bookmarkEnd w:id="7"/>
    </w:p>
    <w:p w14:paraId="7A391670" w14:textId="77777777" w:rsidR="006C4DEE" w:rsidRDefault="00000000">
      <w:pPr>
        <w:pStyle w:val="FirstParagraph"/>
      </w:pPr>
      <w:r>
        <w:rPr>
          <w:rStyle w:val="VerbatimChar"/>
        </w:rPr>
        <w:t>Crowdfunding.sol</w:t>
      </w:r>
      <w:r>
        <w:t xml:space="preserve"> (Solidity ^0.8.24) exposes four state-changing functions — </w:t>
      </w:r>
      <w:r>
        <w:rPr>
          <w:rStyle w:val="VerbatimChar"/>
        </w:rPr>
        <w:t>createCampaign</w:t>
      </w:r>
      <w:r>
        <w:t xml:space="preserve">, </w:t>
      </w:r>
      <w:r>
        <w:rPr>
          <w:rStyle w:val="VerbatimChar"/>
        </w:rPr>
        <w:t>pledge</w:t>
      </w:r>
      <w:r>
        <w:t xml:space="preserve">, </w:t>
      </w:r>
      <w:r>
        <w:rPr>
          <w:rStyle w:val="VerbatimChar"/>
        </w:rPr>
        <w:t>claim</w:t>
      </w:r>
      <w:r>
        <w:t xml:space="preserve">, </w:t>
      </w:r>
      <w:r>
        <w:rPr>
          <w:rStyle w:val="VerbatimChar"/>
        </w:rPr>
        <w:t>refund</w:t>
      </w:r>
      <w:r>
        <w:t xml:space="preserve"> — and one read accessor (</w:t>
      </w:r>
      <w:r>
        <w:rPr>
          <w:rStyle w:val="VerbatimChar"/>
        </w:rPr>
        <w:t>getCampaign</w:t>
      </w:r>
      <w:r>
        <w:t>). Three design choices are worth highlighting:</w:t>
      </w:r>
    </w:p>
    <w:p w14:paraId="7B1ECF0E" w14:textId="77777777" w:rsidR="006C4DEE" w:rsidRDefault="00000000">
      <w:pPr>
        <w:pStyle w:val="BodyText"/>
      </w:pPr>
      <w:r>
        <w:rPr>
          <w:b/>
          <w:bCs/>
        </w:rPr>
        <w:t xml:space="preserve">Custom errors over </w:t>
      </w:r>
      <w:r>
        <w:rPr>
          <w:rStyle w:val="VerbatimChar"/>
          <w:b/>
          <w:bCs/>
        </w:rPr>
        <w:t>require</w:t>
      </w:r>
      <w:r>
        <w:rPr>
          <w:b/>
          <w:bCs/>
        </w:rPr>
        <w:t xml:space="preserve"> strings.</w:t>
      </w:r>
      <w:r>
        <w:t xml:space="preserve"> Each invariant violation reverts with a typed custom error (</w:t>
      </w:r>
      <w:r>
        <w:rPr>
          <w:rStyle w:val="VerbatimChar"/>
        </w:rPr>
        <w:t>InvalidGoal</w:t>
      </w:r>
      <w:r>
        <w:t xml:space="preserve">, </w:t>
      </w:r>
      <w:r>
        <w:rPr>
          <w:rStyle w:val="VerbatimChar"/>
        </w:rPr>
        <w:t>CampaignEnded</w:t>
      </w:r>
      <w:r>
        <w:t xml:space="preserve">, </w:t>
      </w:r>
      <w:r>
        <w:rPr>
          <w:rStyle w:val="VerbatimChar"/>
        </w:rPr>
        <w:t>GoalNotMet</w:t>
      </w:r>
      <w:r>
        <w:t>, etc.). This is gas-cheaper than string reverts on EVM and lets the frontend pattern-match revert reasons through wagmi.</w:t>
      </w:r>
    </w:p>
    <w:p w14:paraId="67FA3C67" w14:textId="77777777" w:rsidR="006C4DEE" w:rsidRDefault="00000000">
      <w:pPr>
        <w:pStyle w:val="BodyText"/>
      </w:pPr>
      <w:r>
        <w:rPr>
          <w:b/>
          <w:bCs/>
        </w:rPr>
        <w:t>Tight struct packing.</w:t>
      </w:r>
      <w:r>
        <w:t xml:space="preserve"> </w:t>
      </w:r>
      <w:r>
        <w:rPr>
          <w:rStyle w:val="VerbatimChar"/>
        </w:rPr>
        <w:t>Campaign</w:t>
      </w:r>
      <w:r>
        <w:t xml:space="preserve"> packs </w:t>
      </w:r>
      <w:r>
        <w:rPr>
          <w:rStyle w:val="VerbatimChar"/>
        </w:rPr>
        <w:t>goal</w:t>
      </w:r>
      <w:r>
        <w:t xml:space="preserve"> and </w:t>
      </w:r>
      <w:r>
        <w:rPr>
          <w:rStyle w:val="VerbatimChar"/>
        </w:rPr>
        <w:t>pledged</w:t>
      </w:r>
      <w:r>
        <w:t xml:space="preserve"> into </w:t>
      </w:r>
      <w:r>
        <w:rPr>
          <w:rStyle w:val="VerbatimChar"/>
        </w:rPr>
        <w:t>uint128</w:t>
      </w:r>
      <w:r>
        <w:t xml:space="preserve"> and </w:t>
      </w:r>
      <w:r>
        <w:rPr>
          <w:rStyle w:val="VerbatimChar"/>
        </w:rPr>
        <w:t>deadline</w:t>
      </w:r>
      <w:r>
        <w:t xml:space="preserve"> into </w:t>
      </w:r>
      <w:r>
        <w:rPr>
          <w:rStyle w:val="VerbatimChar"/>
        </w:rPr>
        <w:t>uint64</w:t>
      </w:r>
      <w:r>
        <w:t xml:space="preserve"> so the address + numeric fields fit in two storage slots, reducing gas cost on every state-changing call.</w:t>
      </w:r>
    </w:p>
    <w:p w14:paraId="05EC200D" w14:textId="77777777" w:rsidR="006C4DEE" w:rsidRDefault="00000000">
      <w:pPr>
        <w:pStyle w:val="BodyText"/>
      </w:pPr>
      <w:r>
        <w:rPr>
          <w:b/>
          <w:bCs/>
        </w:rPr>
        <w:t>Reentrancy-guarded outflows.</w:t>
      </w:r>
      <w:r>
        <w:t xml:space="preserve"> </w:t>
      </w:r>
      <w:r>
        <w:rPr>
          <w:rStyle w:val="VerbatimChar"/>
        </w:rPr>
        <w:t>claim</w:t>
      </w:r>
      <w:r>
        <w:t xml:space="preserve"> and </w:t>
      </w:r>
      <w:r>
        <w:rPr>
          <w:rStyle w:val="VerbatimChar"/>
        </w:rPr>
        <w:t>refund</w:t>
      </w:r>
      <w:r>
        <w:t xml:space="preserve"> use OpenZeppelin’s </w:t>
      </w:r>
      <w:r>
        <w:rPr>
          <w:rStyle w:val="VerbatimChar"/>
        </w:rPr>
        <w:t>ReentrancyGuard</w:t>
      </w:r>
      <w:r>
        <w:t xml:space="preserve"> and follow the checks-effects-interactions pattern: storage is updated before the ETH transfer, and the call uses </w:t>
      </w:r>
      <w:r>
        <w:rPr>
          <w:rStyle w:val="VerbatimChar"/>
        </w:rPr>
        <w:t>.call{value: ...}("")</w:t>
      </w:r>
      <w:r>
        <w:t xml:space="preserve"> with an explicit failure check.</w:t>
      </w:r>
    </w:p>
    <w:p w14:paraId="4E964406" w14:textId="77777777" w:rsidR="006C4DEE" w:rsidRDefault="00000000">
      <w:pPr>
        <w:pStyle w:val="BodyText"/>
      </w:pPr>
      <w:r>
        <w:t xml:space="preserve">The Hardhat test suite covers the happy path plus every revert: 18 specs, 100% statement and function coverage, 85% branch coverage (uncovered branches are reentrancy internals). Running </w:t>
      </w:r>
      <w:r>
        <w:rPr>
          <w:rStyle w:val="VerbatimChar"/>
        </w:rPr>
        <w:t>npm --workspace contracts run coverage</w:t>
      </w:r>
      <w:r>
        <w:t xml:space="preserve"> produces an Istanbul report saved to </w:t>
      </w:r>
      <w:r>
        <w:rPr>
          <w:rStyle w:val="VerbatimChar"/>
        </w:rPr>
        <w:t>contracts/coverage/</w:t>
      </w:r>
      <w:r>
        <w:t>.</w:t>
      </w:r>
    </w:p>
    <w:p w14:paraId="75BC87F2" w14:textId="77777777" w:rsidR="006C4DEE" w:rsidRDefault="00000000">
      <w:pPr>
        <w:pStyle w:val="Heading2"/>
      </w:pPr>
      <w:bookmarkStart w:id="8" w:name="back-end"/>
      <w:bookmarkStart w:id="9" w:name="_Toc228424202"/>
      <w:bookmarkEnd w:id="6"/>
      <w:r>
        <w:t>4. Back-end</w:t>
      </w:r>
      <w:bookmarkEnd w:id="9"/>
    </w:p>
    <w:p w14:paraId="5CB85316" w14:textId="77777777" w:rsidR="006C4DEE" w:rsidRDefault="00000000">
      <w:pPr>
        <w:pStyle w:val="FirstParagraph"/>
      </w:pPr>
      <w:r>
        <w:t>The back-end is a small Express + TypeScript service backed by SQLite via Prisma. Two layers do the work:</w:t>
      </w:r>
    </w:p>
    <w:p w14:paraId="26585CB8" w14:textId="77777777" w:rsidR="006C4DEE" w:rsidRDefault="00000000">
      <w:pPr>
        <w:pStyle w:val="BodyText"/>
      </w:pPr>
      <w:r>
        <w:rPr>
          <w:b/>
          <w:bCs/>
        </w:rPr>
        <w:t>REST routes (</w:t>
      </w:r>
      <w:r>
        <w:rPr>
          <w:rStyle w:val="VerbatimChar"/>
          <w:b/>
          <w:bCs/>
        </w:rPr>
        <w:t>/campaigns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/uploads</w:t>
      </w:r>
      <w:r>
        <w:rPr>
          <w:b/>
          <w:bCs/>
        </w:rPr>
        <w:t>).</w:t>
      </w:r>
      <w:r>
        <w:t xml:space="preserve"> </w:t>
      </w:r>
      <w:r>
        <w:rPr>
          <w:rStyle w:val="VerbatimChar"/>
        </w:rPr>
        <w:t>GET /campaigns</w:t>
      </w:r>
      <w:r>
        <w:t xml:space="preserve"> returns the campaign list from SQLite (a cache, not the source of truth). </w:t>
      </w:r>
      <w:r>
        <w:rPr>
          <w:rStyle w:val="VerbatimChar"/>
        </w:rPr>
        <w:t>GET /campaigns/:id</w:t>
      </w:r>
      <w:r>
        <w:t xml:space="preserve"> returns a single campaign with its pledge history. </w:t>
      </w:r>
      <w:r>
        <w:rPr>
          <w:rStyle w:val="VerbatimChar"/>
        </w:rPr>
        <w:t>POST /uploads</w:t>
      </w:r>
      <w:r>
        <w:t xml:space="preserve"> accepts an </w:t>
      </w:r>
      <w:r>
        <w:rPr>
          <w:rStyle w:val="VerbatimChar"/>
        </w:rPr>
        <w:t>image/*</w:t>
      </w:r>
      <w:r>
        <w:t xml:space="preserve"> multipart body, pins it to IPFS via Pinata, and returns the resulting </w:t>
      </w:r>
      <w:r>
        <w:rPr>
          <w:rStyle w:val="VerbatimChar"/>
        </w:rPr>
        <w:t>ipfs://</w:t>
      </w:r>
      <w:r>
        <w:t xml:space="preserve"> URI for the frontend to embed in the campaign metadata. Validation uses </w:t>
      </w:r>
      <w:r>
        <w:rPr>
          <w:rStyle w:val="VerbatimChar"/>
        </w:rPr>
        <w:t>zod</w:t>
      </w:r>
      <w:r>
        <w:t xml:space="preserve">; logging uses </w:t>
      </w:r>
      <w:r>
        <w:rPr>
          <w:rStyle w:val="VerbatimChar"/>
        </w:rPr>
        <w:t>pino</w:t>
      </w:r>
      <w:r>
        <w:t xml:space="preserve"> for structured, queryable JSON output.</w:t>
      </w:r>
    </w:p>
    <w:p w14:paraId="26E9BDA3" w14:textId="77777777" w:rsidR="006C4DEE" w:rsidRDefault="00000000">
      <w:pPr>
        <w:pStyle w:val="BodyText"/>
      </w:pPr>
      <w:r>
        <w:rPr>
          <w:b/>
          <w:bCs/>
        </w:rPr>
        <w:t>Event indexer.</w:t>
      </w:r>
      <w:r>
        <w:t xml:space="preserve"> On boot, the service connects to the configured RPC, replays all historical events from the contract’s deploy block into SQLite, then subscribes to live events. </w:t>
      </w:r>
      <w:r>
        <w:rPr>
          <w:rStyle w:val="VerbatimChar"/>
        </w:rPr>
        <w:t>CampaignCreated</w:t>
      </w:r>
      <w:r>
        <w:t xml:space="preserve"> upserts a row, </w:t>
      </w:r>
      <w:r>
        <w:rPr>
          <w:rStyle w:val="VerbatimChar"/>
        </w:rPr>
        <w:t>Pledged</w:t>
      </w:r>
      <w:r>
        <w:t xml:space="preserve"> records the pledge transactionally and updates the running </w:t>
      </w:r>
      <w:r>
        <w:rPr>
          <w:rStyle w:val="VerbatimChar"/>
        </w:rPr>
        <w:t>pledged</w:t>
      </w:r>
      <w:r>
        <w:t xml:space="preserve"> total, and </w:t>
      </w:r>
      <w:r>
        <w:rPr>
          <w:rStyle w:val="VerbatimChar"/>
        </w:rPr>
        <w:t>Claimed</w:t>
      </w:r>
      <w:r>
        <w:t xml:space="preserve"> marks the campaign as claimed. The indexer is </w:t>
      </w:r>
      <w:r>
        <w:rPr>
          <w:b/>
          <w:bCs/>
        </w:rPr>
        <w:t>idempotent</w:t>
      </w:r>
      <w:r>
        <w:t xml:space="preserve"> — pledges are keyed by transaction hash, so replays during restart never double-count. A persistent cursor (</w:t>
      </w:r>
      <w:r>
        <w:rPr>
          <w:rStyle w:val="VerbatimChar"/>
        </w:rPr>
        <w:t>IndexerCursor.lastBlock</w:t>
      </w:r>
      <w:r>
        <w:t>) lets the service crash-recover.</w:t>
      </w:r>
    </w:p>
    <w:p w14:paraId="701CD1EE" w14:textId="77777777" w:rsidR="006C4DEE" w:rsidRDefault="00000000">
      <w:pPr>
        <w:pStyle w:val="BodyText"/>
      </w:pPr>
      <w:r>
        <w:t>A subtle point worth highlighting: the four ethers event listeners (</w:t>
      </w:r>
      <w:r>
        <w:rPr>
          <w:rStyle w:val="VerbatimChar"/>
        </w:rPr>
        <w:t>CampaignCreated</w:t>
      </w:r>
      <w:r>
        <w:t xml:space="preserve">, </w:t>
      </w:r>
      <w:r>
        <w:rPr>
          <w:rStyle w:val="VerbatimChar"/>
        </w:rPr>
        <w:t>Pledged</w:t>
      </w:r>
      <w:r>
        <w:t xml:space="preserve">, </w:t>
      </w:r>
      <w:r>
        <w:rPr>
          <w:rStyle w:val="VerbatimChar"/>
        </w:rPr>
        <w:t>Claimed</w:t>
      </w:r>
      <w:r>
        <w:t xml:space="preserve">, </w:t>
      </w:r>
      <w:r>
        <w:rPr>
          <w:rStyle w:val="VerbatimChar"/>
        </w:rPr>
        <w:t>Refunded</w:t>
      </w:r>
      <w:r>
        <w:t xml:space="preserve">) are independent callbacks, so without coordination they can interleave. An early end-to-end test surfaced this — a </w:t>
      </w:r>
      <w:r>
        <w:rPr>
          <w:rStyle w:val="VerbatimChar"/>
        </w:rPr>
        <w:t>Pledged</w:t>
      </w:r>
      <w:r>
        <w:t xml:space="preserve"> event landed in SQLite before the </w:t>
      </w:r>
      <w:r>
        <w:rPr>
          <w:rStyle w:val="VerbatimChar"/>
        </w:rPr>
        <w:t>CampaignCreated</w:t>
      </w:r>
      <w:r>
        <w:t xml:space="preserve"> row it depended on, violating the foreign key. The fix was to put a single-flight promise queue (</w:t>
      </w:r>
      <w:r>
        <w:rPr>
          <w:rStyle w:val="VerbatimChar"/>
        </w:rPr>
        <w:t>enqueue</w:t>
      </w:r>
      <w:r>
        <w:t xml:space="preserve">) in front of the handlers so events are applied </w:t>
      </w:r>
      <w:r>
        <w:lastRenderedPageBreak/>
        <w:t>strictly in arrival order. This is the kind of “messages can arrive out of order at independent consumers” issue that the module’s distributed-systems lectures call out, and it’s invisible until you actually wire two services together.</w:t>
      </w:r>
    </w:p>
    <w:p w14:paraId="1CAE8EC0" w14:textId="77777777" w:rsidR="006C4DEE" w:rsidRDefault="00000000">
      <w:pPr>
        <w:pStyle w:val="BodyText"/>
      </w:pPr>
      <w:r>
        <w:t xml:space="preserve">This is also where the “distributed systems” depth from week 1 shows up more broadly: the chain and the SQLite cache are two replicas whose convergence is asynchronous. The chain is authoritative; the cache is </w:t>
      </w:r>
      <w:r>
        <w:rPr>
          <w:i/>
          <w:iCs/>
        </w:rPr>
        <w:t>eventually</w:t>
      </w:r>
      <w:r>
        <w:t xml:space="preserve"> consistent. The frontend therefore reads from the cache for fast SSR but reads the chain directly when it matters (waiting for pledge confirmation through </w:t>
      </w:r>
      <w:r>
        <w:rPr>
          <w:rStyle w:val="VerbatimChar"/>
        </w:rPr>
        <w:t>useWaitForTransactionReceipt</w:t>
      </w:r>
      <w:r>
        <w:t>).</w:t>
      </w:r>
    </w:p>
    <w:p w14:paraId="6FA715D1" w14:textId="77777777" w:rsidR="006C4DEE" w:rsidRDefault="00000000">
      <w:pPr>
        <w:pStyle w:val="BodyText"/>
      </w:pPr>
      <w:r>
        <w:t>Backend tests use Jest + supertest with a real SQLite DB (no mocking), 12 specs covering routes and the indexer’s event handler.</w:t>
      </w:r>
    </w:p>
    <w:p w14:paraId="77FCEA5C" w14:textId="77777777" w:rsidR="006C4DEE" w:rsidRDefault="00000000">
      <w:pPr>
        <w:pStyle w:val="Heading2"/>
      </w:pPr>
      <w:bookmarkStart w:id="10" w:name="api-gateway"/>
      <w:bookmarkStart w:id="11" w:name="_Toc228424203"/>
      <w:bookmarkEnd w:id="8"/>
      <w:r>
        <w:t>5. API Gateway</w:t>
      </w:r>
      <w:bookmarkEnd w:id="11"/>
    </w:p>
    <w:p w14:paraId="3CB7B9CB" w14:textId="77777777" w:rsidR="006C4DEE" w:rsidRDefault="00000000">
      <w:pPr>
        <w:pStyle w:val="FirstParagraph"/>
      </w:pPr>
      <w:r>
        <w:t>A second Express service (</w:t>
      </w:r>
      <w:r>
        <w:rPr>
          <w:rStyle w:val="VerbatimChar"/>
        </w:rPr>
        <w:t>gateway/</w:t>
      </w:r>
      <w:r>
        <w:t xml:space="preserve">) sits in front of the back-end on port 4000. Requests pass through </w:t>
      </w:r>
      <w:r>
        <w:rPr>
          <w:rStyle w:val="VerbatimChar"/>
        </w:rPr>
        <w:t>pino-http</w:t>
      </w:r>
      <w:r>
        <w:t xml:space="preserve"> for structured access logs, </w:t>
      </w:r>
      <w:r>
        <w:rPr>
          <w:rStyle w:val="VerbatimChar"/>
        </w:rPr>
        <w:t>express-rate-limit</w:t>
      </w:r>
      <w:r>
        <w:t xml:space="preserve"> (60 req/minute/IP, configurable), CORS pinned to the frontend origin, and a SIWE (Sign-In With Ethereum) middleware on </w:t>
      </w:r>
      <w:r>
        <w:rPr>
          <w:rStyle w:val="VerbatimChar"/>
        </w:rPr>
        <w:t>POST /uploads</w:t>
      </w:r>
      <w:r>
        <w:t xml:space="preserve">. The remaining traffic is forwarded by </w:t>
      </w:r>
      <w:r>
        <w:rPr>
          <w:rStyle w:val="VerbatimChar"/>
        </w:rPr>
        <w:t>http-proxy-middleware</w:t>
      </w:r>
      <w:r>
        <w:t xml:space="preserve"> to the back-end on port 4001.</w:t>
      </w:r>
    </w:p>
    <w:p w14:paraId="6F5F69A6" w14:textId="77777777" w:rsidR="006C4DEE" w:rsidRDefault="00000000">
      <w:pPr>
        <w:pStyle w:val="BodyText"/>
      </w:pPr>
      <w:r>
        <w:t xml:space="preserve">Keeping the gateway in a separate process means cross-cutting concerns can change independently of business logic, the back-end never needs to be exposed publicly, and additional services (e.g. an analytics worker, a webhook receiver) can be added behind the same gateway later. Tests stand up a stub upstream and assert that </w:t>
      </w:r>
      <w:r>
        <w:rPr>
          <w:rStyle w:val="VerbatimChar"/>
        </w:rPr>
        <w:t>/health</w:t>
      </w:r>
      <w:r>
        <w:t xml:space="preserve"> is served locally, that proxying works, and that SIWE auth blocks unauthenticated </w:t>
      </w:r>
      <w:r>
        <w:rPr>
          <w:rStyle w:val="VerbatimChar"/>
        </w:rPr>
        <w:t>/uploads</w:t>
      </w:r>
      <w:r>
        <w:t xml:space="preserve"> when enabled.</w:t>
      </w:r>
    </w:p>
    <w:p w14:paraId="3A64FB64" w14:textId="77777777" w:rsidR="006C4DEE" w:rsidRDefault="00000000">
      <w:pPr>
        <w:pStyle w:val="Heading2"/>
      </w:pPr>
      <w:bookmarkStart w:id="12" w:name="front-end"/>
      <w:bookmarkStart w:id="13" w:name="_Toc228424204"/>
      <w:bookmarkEnd w:id="10"/>
      <w:r>
        <w:t>6. Front-end</w:t>
      </w:r>
      <w:bookmarkEnd w:id="13"/>
    </w:p>
    <w:p w14:paraId="4F0D0F5B" w14:textId="77777777" w:rsidR="006C4DEE" w:rsidRDefault="00000000">
      <w:pPr>
        <w:pStyle w:val="FirstParagraph"/>
      </w:pPr>
      <w:r>
        <w:t>The front-end is Next.js 14 with the App Router, Tailwind CSS, wagmi v2, RainbowKit, and viem. Three pages cover the user journey:</w:t>
      </w:r>
    </w:p>
    <w:p w14:paraId="431302B4" w14:textId="77777777" w:rsidR="006C4DEE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/</w:t>
      </w:r>
      <w:r>
        <w:t xml:space="preserve"> — campaign list, </w:t>
      </w:r>
      <w:r>
        <w:rPr>
          <w:b/>
          <w:bCs/>
        </w:rPr>
        <w:t>server-rendered</w:t>
      </w:r>
      <w:r>
        <w:t xml:space="preserve"> by fetching from the gateway in the page component (</w:t>
      </w:r>
      <w:r>
        <w:rPr>
          <w:rStyle w:val="VerbatimChar"/>
        </w:rPr>
        <w:t>force-dynamic</w:t>
      </w:r>
      <w:r>
        <w:t>, ISR every 5s).</w:t>
      </w:r>
    </w:p>
    <w:p w14:paraId="4B5B9BC4" w14:textId="77777777" w:rsidR="006C4DEE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/campaigns/[id]</w:t>
      </w:r>
      <w:r>
        <w:t xml:space="preserve"> — detail page with pledge history, server-rendered, with a client </w:t>
      </w:r>
      <w:r>
        <w:rPr>
          <w:rStyle w:val="VerbatimChar"/>
        </w:rPr>
        <w:t>&lt;PledgeForm&gt;</w:t>
      </w:r>
      <w:r>
        <w:t xml:space="preserve"> and </w:t>
      </w:r>
      <w:r>
        <w:rPr>
          <w:rStyle w:val="VerbatimChar"/>
        </w:rPr>
        <w:t>&lt;CampaignActions&gt;</w:t>
      </w:r>
      <w:r>
        <w:t xml:space="preserve"> that drive </w:t>
      </w:r>
      <w:r>
        <w:rPr>
          <w:rStyle w:val="VerbatimChar"/>
        </w:rPr>
        <w:t>pledge</w:t>
      </w:r>
      <w:r>
        <w:t xml:space="preserve">, </w:t>
      </w:r>
      <w:r>
        <w:rPr>
          <w:rStyle w:val="VerbatimChar"/>
        </w:rPr>
        <w:t>claim</w:t>
      </w:r>
      <w:r>
        <w:t xml:space="preserve">, and </w:t>
      </w:r>
      <w:r>
        <w:rPr>
          <w:rStyle w:val="VerbatimChar"/>
        </w:rPr>
        <w:t>refund</w:t>
      </w:r>
      <w:r>
        <w:t xml:space="preserve"> transactions through wagmi’s </w:t>
      </w:r>
      <w:r>
        <w:rPr>
          <w:rStyle w:val="VerbatimChar"/>
        </w:rPr>
        <w:t>useWriteContract</w:t>
      </w:r>
      <w:r>
        <w:t>.</w:t>
      </w:r>
    </w:p>
    <w:p w14:paraId="14738905" w14:textId="77777777" w:rsidR="006C4DEE" w:rsidRDefault="00000000">
      <w:pPr>
        <w:pStyle w:val="Compact"/>
        <w:numPr>
          <w:ilvl w:val="0"/>
          <w:numId w:val="2"/>
        </w:numPr>
      </w:pPr>
      <w:r>
        <w:rPr>
          <w:rStyle w:val="VerbatimChar"/>
        </w:rPr>
        <w:t>/campaigns/new</w:t>
      </w:r>
      <w:r>
        <w:t xml:space="preserve"> — create form. The browser uploads the image to the gateway → backend → Pinata, then sends </w:t>
      </w:r>
      <w:r>
        <w:rPr>
          <w:rStyle w:val="VerbatimChar"/>
        </w:rPr>
        <w:t>createCampaign</w:t>
      </w:r>
      <w:r>
        <w:t xml:space="preserve"> directly to the chain.</w:t>
      </w:r>
    </w:p>
    <w:p w14:paraId="2F5C3DFD" w14:textId="77777777" w:rsidR="006C4DEE" w:rsidRDefault="00000000">
      <w:pPr>
        <w:pStyle w:val="FirstParagraph"/>
      </w:pPr>
      <w:r>
        <w:t>Layout is mobile-first with a single Tailwind breakpoint (</w:t>
      </w:r>
      <w:r>
        <w:rPr>
          <w:rStyle w:val="VerbatimChar"/>
        </w:rPr>
        <w:t>sm</w:t>
      </w:r>
      <w:r>
        <w:t>/</w:t>
      </w:r>
      <w:r>
        <w:rPr>
          <w:rStyle w:val="VerbatimChar"/>
        </w:rPr>
        <w:t>md</w:t>
      </w:r>
      <w:r>
        <w:t xml:space="preserve">); the campaign cards reflow from a single column on phones to three on desktop. </w:t>
      </w:r>
      <w:r>
        <w:rPr>
          <w:rStyle w:val="VerbatimChar"/>
        </w:rPr>
        <w:t>sonner</w:t>
      </w:r>
      <w:r>
        <w:t xml:space="preserve"> provides transaction toasts; </w:t>
      </w:r>
      <w:r>
        <w:rPr>
          <w:rStyle w:val="VerbatimChar"/>
        </w:rPr>
        <w:t>useWaitForTransactionReceipt</w:t>
      </w:r>
      <w:r>
        <w:t xml:space="preserve"> drives loading states. RainbowKit ships with WalletConnect support out of the box, so users can sign from desktop or mobile wallets.</w:t>
      </w:r>
    </w:p>
    <w:p w14:paraId="00C2DD18" w14:textId="77777777" w:rsidR="006C4DEE" w:rsidRDefault="00000000">
      <w:pPr>
        <w:pStyle w:val="BodyText"/>
      </w:pPr>
      <w:r>
        <w:lastRenderedPageBreak/>
        <w:t xml:space="preserve">A small </w:t>
      </w:r>
      <w:r>
        <w:rPr>
          <w:rStyle w:val="VerbatimChar"/>
        </w:rPr>
        <w:t>lib/format.ts</w:t>
      </w:r>
      <w:r>
        <w:t xml:space="preserve"> helper encapsulates </w:t>
      </w:r>
      <w:r>
        <w:rPr>
          <w:rStyle w:val="VerbatimChar"/>
        </w:rPr>
        <w:t>formatEther</w:t>
      </w:r>
      <w:r>
        <w:t>, deadline formatting, address shortening, and progress-bar maths; ten Vitest specs cover it.</w:t>
      </w:r>
    </w:p>
    <w:p w14:paraId="4EA88E73" w14:textId="77777777" w:rsidR="006C4DEE" w:rsidRDefault="00000000">
      <w:pPr>
        <w:pStyle w:val="Heading2"/>
      </w:pPr>
      <w:bookmarkStart w:id="14" w:name="code-quality-version-control-and-ci"/>
      <w:bookmarkStart w:id="15" w:name="_Toc228424205"/>
      <w:bookmarkEnd w:id="12"/>
      <w:r>
        <w:t>7. Code quality, version control, and CI</w:t>
      </w:r>
      <w:bookmarkEnd w:id="15"/>
    </w:p>
    <w:p w14:paraId="336DBC7A" w14:textId="77777777" w:rsidR="006C4DE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ESLint + Prettier</w:t>
      </w:r>
      <w:r>
        <w:t xml:space="preserve"> across all four workspaces; </w:t>
      </w:r>
      <w:r>
        <w:rPr>
          <w:b/>
          <w:bCs/>
        </w:rPr>
        <w:t>Solhint</w:t>
      </w:r>
      <w:r>
        <w:t xml:space="preserve"> on Solidity sources.</w:t>
      </w:r>
    </w:p>
    <w:p w14:paraId="13E46C70" w14:textId="77777777" w:rsidR="006C4DE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Husky + lint-staged</w:t>
      </w:r>
      <w:r>
        <w:t xml:space="preserve"> pre-commit hook runs </w:t>
      </w:r>
      <w:r>
        <w:rPr>
          <w:rStyle w:val="VerbatimChar"/>
        </w:rPr>
        <w:t>prettier</w:t>
      </w:r>
      <w:r>
        <w:t xml:space="preserve"> and </w:t>
      </w:r>
      <w:r>
        <w:rPr>
          <w:rStyle w:val="VerbatimChar"/>
        </w:rPr>
        <w:t>eslint --fix</w:t>
      </w:r>
      <w:r>
        <w:t xml:space="preserve"> on staged files.</w:t>
      </w:r>
    </w:p>
    <w:p w14:paraId="3D20CF8B" w14:textId="77777777" w:rsidR="006C4DE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GitHub Actions</w:t>
      </w:r>
      <w:r>
        <w:t xml:space="preserve"> (</w:t>
      </w:r>
      <w:r>
        <w:rPr>
          <w:rStyle w:val="VerbatimChar"/>
        </w:rPr>
        <w:t>.github/workflows/ci.yml</w:t>
      </w:r>
      <w:r>
        <w:t>) runs format-check, lint, and the full test suite on every push and pull request.</w:t>
      </w:r>
    </w:p>
    <w:p w14:paraId="2EC6CC95" w14:textId="77777777" w:rsidR="006C4DE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Conventional Commits</w:t>
      </w:r>
      <w:r>
        <w:t xml:space="preserve">, feature branches even when working solo, and a </w:t>
      </w:r>
      <w:r>
        <w:rPr>
          <w:rStyle w:val="VerbatimChar"/>
        </w:rPr>
        <w:t>v1.0.0</w:t>
      </w:r>
      <w:r>
        <w:t xml:space="preserve"> tag at submission.</w:t>
      </w:r>
    </w:p>
    <w:p w14:paraId="1BA335BD" w14:textId="77777777" w:rsidR="006C4DEE" w:rsidRDefault="00000000">
      <w:pPr>
        <w:pStyle w:val="FirstParagraph"/>
      </w:pPr>
      <w:r>
        <w:t xml:space="preserve">Running </w:t>
      </w:r>
      <w:r>
        <w:rPr>
          <w:rStyle w:val="VerbatimChar"/>
        </w:rPr>
        <w:t>npm test</w:t>
      </w:r>
      <w:r>
        <w:t xml:space="preserve"> at the repository root executes the contract tests, backend tests, gateway tests, and frontend Vitest specs in sequence — 44 tests total at time of writing.</w:t>
      </w:r>
    </w:p>
    <w:p w14:paraId="5F5163AF" w14:textId="77777777" w:rsidR="006C4DEE" w:rsidRDefault="00000000">
      <w:pPr>
        <w:pStyle w:val="Heading2"/>
      </w:pPr>
      <w:bookmarkStart w:id="16" w:name="critical-evaluation"/>
      <w:bookmarkStart w:id="17" w:name="_Toc228424206"/>
      <w:bookmarkEnd w:id="14"/>
      <w:r>
        <w:t>8. Critical evaluation</w:t>
      </w:r>
      <w:bookmarkEnd w:id="17"/>
    </w:p>
    <w:p w14:paraId="506A0A1D" w14:textId="77777777" w:rsidR="006C4DEE" w:rsidRDefault="00000000">
      <w:pPr>
        <w:pStyle w:val="FirstParagraph"/>
      </w:pPr>
      <w:r>
        <w:rPr>
          <w:b/>
          <w:bCs/>
        </w:rPr>
        <w:t>Strengths.</w:t>
      </w:r>
      <w:r>
        <w:t xml:space="preserve"> The hybrid architecture genuinely exercises the breadth of the module: a typed Solidity contract with custom errors and reentrancy protection; a node back-end with a real (not mocked) database, a working event indexer, and proper structured logging; a separate API gateway demonstrating the pattern from week 4 rather than colocating its concerns; a server-rendered React front-end using current-generation Web3 tooling. Tests are first-class — they run on every commit, the contract has full statement coverage, and the gateway’s proxy behaviour is tested against a stub upstream rather than mocked.</w:t>
      </w:r>
    </w:p>
    <w:p w14:paraId="0F12D6B3" w14:textId="77777777" w:rsidR="006C4DEE" w:rsidRDefault="00000000">
      <w:pPr>
        <w:pStyle w:val="BodyText"/>
      </w:pPr>
      <w:r>
        <w:rPr>
          <w:b/>
          <w:bCs/>
        </w:rPr>
        <w:t>Limitations.</w:t>
      </w:r>
      <w:r>
        <w:t xml:space="preserve"> SQLite suits a single-process demo but would not scale beyond one node; a production version would replace it with Postgres and run the indexer separately from the REST API. Front-running and MEV are not addressed; the contract is intentionally simple. Image uploads to Pinata cost the operator real money — for a real product the upload would be paid, gated by SIWE, or replaced with client-side signed uploads. The mobile experience is responsive web rather than a native app; under a longer timeline a Capacitor wrapper could ship the same bundle as an installable iOS/Android binary.</w:t>
      </w:r>
    </w:p>
    <w:p w14:paraId="60C35489" w14:textId="77777777" w:rsidR="006C4DEE" w:rsidRDefault="00000000">
      <w:pPr>
        <w:pStyle w:val="BodyText"/>
      </w:pPr>
      <w:r>
        <w:rPr>
          <w:b/>
          <w:bCs/>
        </w:rPr>
        <w:t>Design alternatives considered.</w:t>
      </w:r>
      <w:r>
        <w:t xml:space="preserve"> I evaluated NFT event ticketing and a marketplace + escrow before settling on crowdfunding. Crowdfunding has the cleanest revert paths (it is purely value-flow, no off-chain validation), the simplest demo script (create → pledge → wait → claim), and is the smallest contract that can still meaningfully exercise the indexer.</w:t>
      </w:r>
    </w:p>
    <w:p w14:paraId="0CEB29E7" w14:textId="77777777" w:rsidR="006C4DEE" w:rsidRDefault="00000000">
      <w:pPr>
        <w:pStyle w:val="Heading2"/>
      </w:pPr>
      <w:bookmarkStart w:id="18" w:name="conclusion"/>
      <w:bookmarkStart w:id="19" w:name="_Toc228424208"/>
      <w:bookmarkEnd w:id="16"/>
      <w:r>
        <w:t>10. Conclusion</w:t>
      </w:r>
      <w:bookmarkEnd w:id="19"/>
    </w:p>
    <w:p w14:paraId="34B32888" w14:textId="77777777" w:rsidR="006C4DEE" w:rsidRDefault="00000000">
      <w:pPr>
        <w:pStyle w:val="FirstParagraph"/>
      </w:pPr>
      <w:r>
        <w:t>DeFund satisfies the hybrid DApp brief by giving the on-chain contract a meaningful off-chain partner — an event indexer, a structured REST API, a security-aware gateway, and an SSR React front-end. Each architectural element ties back to a specific lecture topic, the test suite passes on CI, and the demo flow exercises every state transition of the contract end-to-end on Sepolia.</w:t>
      </w:r>
    </w:p>
    <w:bookmarkEnd w:id="0"/>
    <w:bookmarkEnd w:id="18"/>
    <w:p w14:paraId="5826CA4A" w14:textId="2FBBA2E9" w:rsidR="006C4DEE" w:rsidRDefault="006C4DEE">
      <w:pPr>
        <w:pStyle w:val="BodyText"/>
      </w:pPr>
    </w:p>
    <w:sectPr w:rsidR="006C4DE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4210C88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D9A86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55924424">
    <w:abstractNumId w:val="0"/>
  </w:num>
  <w:num w:numId="2" w16cid:durableId="1848979661">
    <w:abstractNumId w:val="1"/>
  </w:num>
  <w:num w:numId="3" w16cid:durableId="1205480600">
    <w:abstractNumId w:val="1"/>
  </w:num>
  <w:num w:numId="4" w16cid:durableId="2051416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4DEE"/>
    <w:rsid w:val="006C4DEE"/>
    <w:rsid w:val="00775CA9"/>
    <w:rsid w:val="00F7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6AB6E3"/>
  <w15:docId w15:val="{CB6CD17A-2A5D-4744-B2AF-4FF50FEC8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F72B1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F72B1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1747</Words>
  <Characters>9959</Characters>
  <Application>Microsoft Office Word</Application>
  <DocSecurity>0</DocSecurity>
  <Lines>82</Lines>
  <Paragraphs>23</Paragraphs>
  <ScaleCrop>false</ScaleCrop>
  <Company/>
  <LinksUpToDate>false</LinksUpToDate>
  <CharactersWithSpaces>11683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DeFund — A Hybrid Crowdfunding DApp</dc:title>
  <dc:creator>CN6035 Task 1 Coursework</dc:creator>
  <cp:keywords/>
  <cp:lastModifiedBy>Komronbek OLIMOV</cp:lastModifiedBy>
  <cp:revision>2</cp:revision>
  <dcterms:created xsi:type="dcterms:W3CDTF">2026-04-30T05:39:00Z</dcterms:created>
  <dcterms:modified xsi:type="dcterms:W3CDTF">2026-04-30T05:50:00Z</dcterms:modified>
</cp:coreProperties>
</file>