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40"/>
        <w:tblBorders>
          <w:top w:val="none"/>
          <w:left w:val="none"/>
          <w:bottom w:val="none"/>
          <w:right w:val="none"/>
          <w:insideH w:val="none"/>
          <w:insideV w:val="none"/>
        </w:tblBorders>
      </w:tblPr>
      <w:tblGrid>
        <w:gridCol w:w="1600"/>
        <w:gridCol w:w="5440"/>
        <w:gridCol w:w="1600"/>
      </w:tblGrid>
      <w:tr>
        <w:tc>
          <w:tcPr>
            <w:tcW w:type="dxa" w:w="1600"/>
            <w:tcMar>
              <w:top w:type="dxa" w:w="40"/>
              <w:bottom w:type="dxa" w:w="40"/>
            </w:tcMar>
            <w:vAlign w:val="center"/>
          </w:tcPr>
          <w:p>
            <w:pPr>
              <w:spacing w:after="0"/>
              <w:jc w:val="center"/>
            </w:pPr>
            <w:r>
              <w:drawing>
                <wp:inline distT="0" distB="0" distL="0" distR="0">
                  <wp:extent cx="904875"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904875"/>
                          </a:xfrm>
                          <a:prstGeom prst="rect">
                            <a:avLst/>
                          </a:prstGeom>
                        </pic:spPr>
                      </pic:pic>
                    </a:graphicData>
                  </a:graphic>
                </wp:inline>
              </w:drawing>
            </w:r>
          </w:p>
        </w:tc>
        <w:tc>
          <w:tcPr>
            <w:tcW w:type="dxa" w:w="5440"/>
            <w:vAlign w:val="center"/>
          </w:tcPr>
          <w:p>
            <w:pPr>
              <w:spacing w:after="60"/>
              <w:jc w:val="center"/>
            </w:pPr>
            <w:r>
              <w:rPr>
                <w:rFonts w:ascii="Times New Roman" w:cs="Times New Roman" w:eastAsia="Times New Roman" w:hAnsi="Times New Roman"/>
                <w:b/>
                <w:bCs/>
                <w:sz w:val="24"/>
                <w:szCs w:val="24"/>
              </w:rPr>
              <w:t xml:space="preserve">Dr. SPM International Institute of Information Technology</w:t>
            </w:r>
          </w:p>
          <w:p>
            <w:pPr>
              <w:spacing w:after="80"/>
              <w:jc w:val="center"/>
            </w:pPr>
            <w:r>
              <w:rPr>
                <w:rFonts w:ascii="Times New Roman" w:cs="Times New Roman" w:eastAsia="Times New Roman" w:hAnsi="Times New Roman"/>
                <w:b/>
                <w:bCs/>
                <w:sz w:val="24"/>
                <w:szCs w:val="24"/>
              </w:rPr>
              <w:t xml:space="preserve">Naya Raipur</w:t>
            </w:r>
          </w:p>
          <w:p>
            <w:pPr>
              <w:spacing w:after="0"/>
              <w:jc w:val="center"/>
            </w:pPr>
            <w:r>
              <w:rPr>
                <w:rFonts w:ascii="Times New Roman" w:cs="Times New Roman" w:eastAsia="Times New Roman" w:hAnsi="Times New Roman"/>
                <w:i/>
                <w:iCs/>
                <w:sz w:val="19"/>
                <w:szCs w:val="19"/>
              </w:rPr>
              <w:t xml:space="preserve">in association with</w:t>
            </w:r>
          </w:p>
          <w:p>
            <w:pPr>
              <w:spacing w:after="0"/>
              <w:jc w:val="center"/>
            </w:pPr>
            <w:r>
              <w:rPr>
                <w:rFonts w:ascii="Times New Roman" w:cs="Times New Roman" w:eastAsia="Times New Roman" w:hAnsi="Times New Roman"/>
                <w:i/>
                <w:iCs/>
                <w:sz w:val="20"/>
                <w:szCs w:val="20"/>
              </w:rPr>
              <w:t xml:space="preserve">Chhattisgarh Infotech Promotion Society (CHiPS)</w:t>
            </w:r>
          </w:p>
        </w:tc>
        <w:tc>
          <w:tcPr>
            <w:tcW w:type="dxa" w:w="1600"/>
            <w:tcMar>
              <w:top w:type="dxa" w:w="40"/>
              <w:bottom w:type="dxa" w:w="40"/>
            </w:tcMar>
            <w:vAlign w:val="center"/>
          </w:tcPr>
          <w:p>
            <w:pPr>
              <w:spacing w:after="0"/>
              <w:jc w:val="center"/>
            </w:pPr>
            <w:r>
              <w:drawing>
                <wp:inline distT="0" distB="0" distL="0" distR="0">
                  <wp:extent cx="904875"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904875"/>
                          </a:xfrm>
                          <a:prstGeom prst="rect">
                            <a:avLst/>
                          </a:prstGeom>
                        </pic:spPr>
                      </pic:pic>
                    </a:graphicData>
                  </a:graphic>
                </wp:inline>
              </w:drawing>
            </w:r>
          </w:p>
        </w:tc>
      </w:tr>
    </w:tbl>
    <w:p>
      <w:pPr>
        <w:pBdr>
          <w:bottom w:val="single" w:color="1F3864" w:sz="12" w:space="1"/>
        </w:pBdr>
        <w:spacing w:after="60" w:before="180"/>
      </w:pPr>
      <w:r>
        <w:rPr>
          <w:sz w:val="2"/>
          <w:szCs w:val="2"/>
        </w:rPr>
        <w:t xml:space="preserve"/>
      </w:r>
    </w:p>
    <w:p>
      <w:pPr>
        <w:pBdr>
          <w:bottom w:val="single" w:color="1F3864" w:sz="12" w:space="1"/>
        </w:pBdr>
        <w:spacing w:after="700" w:before="0"/>
      </w:pPr>
      <w:r>
        <w:rPr>
          <w:sz w:val="2"/>
          <w:szCs w:val="2"/>
        </w:rPr>
        <w:t xml:space="preserve"/>
      </w:r>
    </w:p>
    <w:p>
      <w:pPr>
        <w:spacing w:after="100"/>
        <w:jc w:val="center"/>
      </w:pPr>
      <w:r>
        <w:rPr>
          <w:rFonts w:ascii="Times New Roman" w:cs="Times New Roman" w:eastAsia="Times New Roman" w:hAnsi="Times New Roman"/>
          <w:b/>
          <w:bCs/>
          <w:color w:val="1F3864"/>
          <w:sz w:val="34"/>
          <w:szCs w:val="34"/>
        </w:rPr>
        <w:t xml:space="preserve">M O N T H L Y   P R O G R E S S   R E P O R T</w:t>
      </w:r>
    </w:p>
    <w:p>
      <w:pPr>
        <w:spacing w:after="60"/>
        <w:jc w:val="center"/>
      </w:pPr>
      <w:r>
        <w:rPr>
          <w:rFonts w:ascii="Times New Roman" w:cs="Times New Roman" w:eastAsia="Times New Roman" w:hAnsi="Times New Roman"/>
          <w:i/>
          <w:iCs/>
          <w:sz w:val="22"/>
          <w:szCs w:val="22"/>
        </w:rPr>
        <w:t xml:space="preserve">on</w:t>
      </w:r>
    </w:p>
    <w:p>
      <w:pPr>
        <w:spacing w:after="700"/>
        <w:jc w:val="center"/>
      </w:pPr>
      <w:r>
        <w:rPr>
          <w:rFonts w:ascii="Times New Roman" w:cs="Times New Roman" w:eastAsia="Times New Roman" w:hAnsi="Times New Roman"/>
          <w:b/>
          <w:bCs/>
          <w:sz w:val="28"/>
          <w:szCs w:val="28"/>
        </w:rPr>
        <w:t xml:space="preserve">Aadhaar Kit &amp; Operator Registration Management Portal</w:t>
      </w:r>
    </w:p>
    <w:tbl>
      <w:tblPr>
        <w:tblW w:type="dxa" w:w="8640"/>
        <w:tblBorders>
          <w:top w:val="single" w:color="999999" w:sz="6"/>
          <w:left w:val="single" w:color="999999" w:sz="6"/>
          <w:bottom w:val="single" w:color="999999" w:sz="6"/>
          <w:right w:val="single" w:color="999999" w:sz="6"/>
          <w:insideH w:val="single" w:color="CCCCCC" w:sz="4"/>
          <w:insideV w:val="single" w:color="CCCCCC" w:sz="4"/>
        </w:tblBorders>
      </w:tblPr>
      <w:tblGrid>
        <w:gridCol w:w="3000"/>
        <w:gridCol w:w="5640"/>
      </w:tblGrid>
      <w:tr>
        <w:tc>
          <w:tcPr>
            <w:tcW w:type="dxa" w:w="3000"/>
            <w:shd w:fill="EDF0F7" w:val="clear"/>
            <w:tcMar>
              <w:top w:type="dxa" w:w="110"/>
              <w:left w:type="dxa" w:w="160"/>
              <w:bottom w:type="dxa" w:w="110"/>
              <w:right w:type="dxa" w:w="120"/>
            </w:tcMar>
          </w:tcPr>
          <w:p>
            <w:pPr>
              <w:spacing w:after="0" w:line="300"/>
              <w:jc w:val="left"/>
            </w:pPr>
            <w:r>
              <w:rPr>
                <w:rFonts w:ascii="Times New Roman" w:cs="Times New Roman" w:eastAsia="Times New Roman" w:hAnsi="Times New Roman"/>
                <w:b/>
                <w:bCs/>
                <w:sz w:val="22"/>
                <w:szCs w:val="22"/>
              </w:rPr>
              <w:t xml:space="preserve">Submitted by</w:t>
            </w:r>
          </w:p>
        </w:tc>
        <w:tc>
          <w:tcPr>
            <w:tcW w:type="dxa" w:w="5640"/>
            <w:tcMar>
              <w:top w:type="dxa" w:w="110"/>
              <w:left w:type="dxa" w:w="160"/>
              <w:bottom w:type="dxa" w:w="110"/>
              <w:right w:type="dxa" w:w="120"/>
            </w:tcMar>
          </w:tcPr>
          <w:p>
            <w:pPr>
              <w:spacing w:after="0" w:line="300"/>
              <w:jc w:val="left"/>
            </w:pPr>
            <w:r>
              <w:rPr>
                <w:rFonts w:ascii="Times New Roman" w:cs="Times New Roman" w:eastAsia="Times New Roman" w:hAnsi="Times New Roman"/>
                <w:sz w:val="22"/>
                <w:szCs w:val="22"/>
              </w:rPr>
              <w:t xml:space="preserve">Mayur Kumar Gaikwad</w:t>
            </w:r>
          </w:p>
        </w:tc>
      </w:tr>
      <w:tr>
        <w:tc>
          <w:tcPr>
            <w:tcW w:type="dxa" w:w="3000"/>
            <w:shd w:fill="EDF0F7" w:val="clear"/>
            <w:tcMar>
              <w:top w:type="dxa" w:w="110"/>
              <w:left w:type="dxa" w:w="160"/>
              <w:bottom w:type="dxa" w:w="110"/>
              <w:right w:type="dxa" w:w="120"/>
            </w:tcMar>
          </w:tcPr>
          <w:p>
            <w:pPr>
              <w:spacing w:after="0" w:line="300"/>
              <w:jc w:val="left"/>
            </w:pPr>
            <w:r>
              <w:rPr>
                <w:rFonts w:ascii="Times New Roman" w:cs="Times New Roman" w:eastAsia="Times New Roman" w:hAnsi="Times New Roman"/>
                <w:b/>
                <w:bCs/>
                <w:sz w:val="22"/>
                <w:szCs w:val="22"/>
              </w:rPr>
              <w:t xml:space="preserve">Designation</w:t>
            </w:r>
          </w:p>
        </w:tc>
        <w:tc>
          <w:tcPr>
            <w:tcW w:type="dxa" w:w="5640"/>
            <w:tcMar>
              <w:top w:type="dxa" w:w="110"/>
              <w:left w:type="dxa" w:w="160"/>
              <w:bottom w:type="dxa" w:w="110"/>
              <w:right w:type="dxa" w:w="120"/>
            </w:tcMar>
          </w:tcPr>
          <w:p>
            <w:pPr>
              <w:spacing w:after="0" w:line="300"/>
              <w:jc w:val="left"/>
            </w:pPr>
            <w:r>
              <w:rPr>
                <w:rFonts w:ascii="Times New Roman" w:cs="Times New Roman" w:eastAsia="Times New Roman" w:hAnsi="Times New Roman"/>
                <w:sz w:val="22"/>
                <w:szCs w:val="22"/>
              </w:rPr>
              <w:t xml:space="preserve">CMIT Fellow</w:t>
            </w:r>
          </w:p>
        </w:tc>
      </w:tr>
      <w:tr>
        <w:tc>
          <w:tcPr>
            <w:tcW w:type="dxa" w:w="3000"/>
            <w:shd w:fill="EDF0F7" w:val="clear"/>
            <w:tcMar>
              <w:top w:type="dxa" w:w="110"/>
              <w:left w:type="dxa" w:w="160"/>
              <w:bottom w:type="dxa" w:w="110"/>
              <w:right w:type="dxa" w:w="120"/>
            </w:tcMar>
          </w:tcPr>
          <w:p>
            <w:pPr>
              <w:spacing w:after="0" w:line="300"/>
              <w:jc w:val="left"/>
            </w:pPr>
            <w:r>
              <w:rPr>
                <w:rFonts w:ascii="Times New Roman" w:cs="Times New Roman" w:eastAsia="Times New Roman" w:hAnsi="Times New Roman"/>
                <w:b/>
                <w:bCs/>
                <w:sz w:val="22"/>
                <w:szCs w:val="22"/>
              </w:rPr>
              <w:t xml:space="preserve">Project</w:t>
            </w:r>
          </w:p>
        </w:tc>
        <w:tc>
          <w:tcPr>
            <w:tcW w:type="dxa" w:w="5640"/>
            <w:tcMar>
              <w:top w:type="dxa" w:w="110"/>
              <w:left w:type="dxa" w:w="160"/>
              <w:bottom w:type="dxa" w:w="110"/>
              <w:right w:type="dxa" w:w="120"/>
            </w:tcMar>
          </w:tcPr>
          <w:p>
            <w:pPr>
              <w:spacing w:after="0" w:line="300"/>
              <w:jc w:val="left"/>
            </w:pPr>
            <w:r>
              <w:rPr>
                <w:rFonts w:ascii="Times New Roman" w:cs="Times New Roman" w:eastAsia="Times New Roman" w:hAnsi="Times New Roman"/>
                <w:sz w:val="22"/>
                <w:szCs w:val="22"/>
              </w:rPr>
              <w:t xml:space="preserve">Aadhaar Kit &amp; Operator Registration Management Portal</w:t>
            </w:r>
          </w:p>
        </w:tc>
      </w:tr>
      <w:tr>
        <w:tc>
          <w:tcPr>
            <w:tcW w:type="dxa" w:w="3000"/>
            <w:shd w:fill="EDF0F7" w:val="clear"/>
            <w:tcMar>
              <w:top w:type="dxa" w:w="110"/>
              <w:left w:type="dxa" w:w="160"/>
              <w:bottom w:type="dxa" w:w="110"/>
              <w:right w:type="dxa" w:w="120"/>
            </w:tcMar>
          </w:tcPr>
          <w:p>
            <w:pPr>
              <w:spacing w:after="0" w:line="300"/>
              <w:jc w:val="left"/>
            </w:pPr>
            <w:r>
              <w:rPr>
                <w:rFonts w:ascii="Times New Roman" w:cs="Times New Roman" w:eastAsia="Times New Roman" w:hAnsi="Times New Roman"/>
                <w:b/>
                <w:bCs/>
                <w:sz w:val="22"/>
                <w:szCs w:val="22"/>
              </w:rPr>
              <w:t xml:space="preserve">Role</w:t>
            </w:r>
          </w:p>
        </w:tc>
        <w:tc>
          <w:tcPr>
            <w:tcW w:type="dxa" w:w="5640"/>
            <w:tcMar>
              <w:top w:type="dxa" w:w="110"/>
              <w:left w:type="dxa" w:w="160"/>
              <w:bottom w:type="dxa" w:w="110"/>
              <w:right w:type="dxa" w:w="120"/>
            </w:tcMar>
          </w:tcPr>
          <w:p>
            <w:pPr>
              <w:spacing w:after="0" w:line="300"/>
              <w:jc w:val="left"/>
            </w:pPr>
            <w:r>
              <w:rPr>
                <w:rFonts w:ascii="Times New Roman" w:cs="Times New Roman" w:eastAsia="Times New Roman" w:hAnsi="Times New Roman"/>
                <w:sz w:val="22"/>
                <w:szCs w:val="22"/>
              </w:rPr>
              <w:t xml:space="preserve">Frontend Development</w:t>
            </w:r>
          </w:p>
        </w:tc>
      </w:tr>
      <w:tr>
        <w:tc>
          <w:tcPr>
            <w:tcW w:type="dxa" w:w="3000"/>
            <w:shd w:fill="EDF0F7" w:val="clear"/>
            <w:tcMar>
              <w:top w:type="dxa" w:w="110"/>
              <w:left w:type="dxa" w:w="160"/>
              <w:bottom w:type="dxa" w:w="110"/>
              <w:right w:type="dxa" w:w="120"/>
            </w:tcMar>
          </w:tcPr>
          <w:p>
            <w:pPr>
              <w:spacing w:after="0" w:line="300"/>
              <w:jc w:val="left"/>
            </w:pPr>
            <w:r>
              <w:rPr>
                <w:rFonts w:ascii="Times New Roman" w:cs="Times New Roman" w:eastAsia="Times New Roman" w:hAnsi="Times New Roman"/>
                <w:b/>
                <w:bCs/>
                <w:sz w:val="22"/>
                <w:szCs w:val="22"/>
              </w:rPr>
              <w:t xml:space="preserve">Mentors</w:t>
            </w:r>
          </w:p>
        </w:tc>
        <w:tc>
          <w:tcPr>
            <w:tcW w:type="dxa" w:w="5640"/>
            <w:tcMar>
              <w:top w:type="dxa" w:w="110"/>
              <w:left w:type="dxa" w:w="160"/>
              <w:bottom w:type="dxa" w:w="110"/>
              <w:right w:type="dxa" w:w="120"/>
            </w:tcMar>
          </w:tcPr>
          <w:p>
            <w:pPr>
              <w:spacing w:after="0" w:line="300"/>
              <w:jc w:val="left"/>
            </w:pPr>
            <w:r>
              <w:rPr>
                <w:rFonts w:ascii="Times New Roman" w:cs="Times New Roman" w:eastAsia="Times New Roman" w:hAnsi="Times New Roman"/>
                <w:sz w:val="22"/>
                <w:szCs w:val="22"/>
              </w:rPr>
              <w:t xml:space="preserve">Ms. Swati Garg, Mr. Prabhat Singh</w:t>
            </w:r>
          </w:p>
        </w:tc>
      </w:tr>
      <w:tr>
        <w:tc>
          <w:tcPr>
            <w:tcW w:type="dxa" w:w="3000"/>
            <w:shd w:fill="EDF0F7" w:val="clear"/>
            <w:tcMar>
              <w:top w:type="dxa" w:w="110"/>
              <w:left w:type="dxa" w:w="160"/>
              <w:bottom w:type="dxa" w:w="110"/>
              <w:right w:type="dxa" w:w="120"/>
            </w:tcMar>
          </w:tcPr>
          <w:p>
            <w:pPr>
              <w:spacing w:after="0" w:line="300"/>
              <w:jc w:val="left"/>
            </w:pPr>
            <w:r>
              <w:rPr>
                <w:rFonts w:ascii="Times New Roman" w:cs="Times New Roman" w:eastAsia="Times New Roman" w:hAnsi="Times New Roman"/>
                <w:b/>
                <w:bCs/>
                <w:sz w:val="22"/>
                <w:szCs w:val="22"/>
              </w:rPr>
              <w:t xml:space="preserve">Organisation</w:t>
            </w:r>
          </w:p>
        </w:tc>
        <w:tc>
          <w:tcPr>
            <w:tcW w:type="dxa" w:w="5640"/>
            <w:tcMar>
              <w:top w:type="dxa" w:w="110"/>
              <w:left w:type="dxa" w:w="160"/>
              <w:bottom w:type="dxa" w:w="110"/>
              <w:right w:type="dxa" w:w="120"/>
            </w:tcMar>
          </w:tcPr>
          <w:p>
            <w:pPr>
              <w:spacing w:after="0" w:line="300"/>
              <w:jc w:val="left"/>
            </w:pPr>
            <w:r>
              <w:rPr>
                <w:rFonts w:ascii="Times New Roman" w:cs="Times New Roman" w:eastAsia="Times New Roman" w:hAnsi="Times New Roman"/>
                <w:sz w:val="22"/>
                <w:szCs w:val="22"/>
              </w:rPr>
              <w:t xml:space="preserve">Chhattisgarh Infotech Promotion Society (CHiPS)</w:t>
            </w:r>
          </w:p>
        </w:tc>
      </w:tr>
      <w:tr>
        <w:tc>
          <w:tcPr>
            <w:tcW w:type="dxa" w:w="3000"/>
            <w:shd w:fill="EDF0F7" w:val="clear"/>
            <w:tcMar>
              <w:top w:type="dxa" w:w="110"/>
              <w:left w:type="dxa" w:w="160"/>
              <w:bottom w:type="dxa" w:w="110"/>
              <w:right w:type="dxa" w:w="120"/>
            </w:tcMar>
          </w:tcPr>
          <w:p>
            <w:pPr>
              <w:spacing w:after="0" w:line="300"/>
              <w:jc w:val="left"/>
            </w:pPr>
            <w:r>
              <w:rPr>
                <w:rFonts w:ascii="Times New Roman" w:cs="Times New Roman" w:eastAsia="Times New Roman" w:hAnsi="Times New Roman"/>
                <w:b/>
                <w:bCs/>
                <w:sz w:val="22"/>
                <w:szCs w:val="22"/>
              </w:rPr>
              <w:t xml:space="preserve">Date of Submission</w:t>
            </w:r>
          </w:p>
        </w:tc>
        <w:tc>
          <w:tcPr>
            <w:tcW w:type="dxa" w:w="5640"/>
            <w:tcMar>
              <w:top w:type="dxa" w:w="110"/>
              <w:left w:type="dxa" w:w="160"/>
              <w:bottom w:type="dxa" w:w="110"/>
              <w:right w:type="dxa" w:w="120"/>
            </w:tcMar>
          </w:tcPr>
          <w:p>
            <w:pPr>
              <w:spacing w:after="0" w:line="300"/>
              <w:jc w:val="left"/>
            </w:pPr>
            <w:r>
              <w:rPr>
                <w:rFonts w:ascii="Times New Roman" w:cs="Times New Roman" w:eastAsia="Times New Roman" w:hAnsi="Times New Roman"/>
                <w:sz w:val="22"/>
                <w:szCs w:val="22"/>
              </w:rPr>
              <w:t xml:space="preserve">24 / 07 / 2026</w:t>
            </w:r>
          </w:p>
        </w:tc>
      </w:tr>
    </w:tbl>
    <w:p>
      <w:pPr>
        <w:pBdr>
          <w:bottom w:val="single" w:color="1F3864" w:sz="12" w:space="1"/>
        </w:pBdr>
        <w:spacing w:after="60" w:before="700"/>
      </w:pPr>
      <w:r>
        <w:rPr>
          <w:sz w:val="2"/>
          <w:szCs w:val="2"/>
        </w:rPr>
        <w:t xml:space="preserve"/>
      </w:r>
    </w:p>
    <w:p>
      <w:pPr>
        <w:pBdr>
          <w:bottom w:val="single" w:color="1F3864" w:sz="12" w:space="1"/>
        </w:pBdr>
        <w:spacing w:after="0" w:before="0"/>
      </w:pPr>
      <w:r>
        <w:rPr>
          <w:sz w:val="2"/>
          <w:szCs w:val="2"/>
        </w:rPr>
        <w:t xml:space="preserve"/>
      </w:r>
    </w:p>
    <w:p>
      <w:r>
        <w:br w:type="page"/>
      </w:r>
    </w:p>
    <w:p>
      <w:pPr>
        <w:pStyle w:val="Heading1"/>
        <w:spacing w:after="120" w:before="240"/>
      </w:pPr>
      <w:r>
        <w:rPr>
          <w:rFonts w:ascii="Times New Roman" w:cs="Times New Roman" w:eastAsia="Times New Roman" w:hAnsi="Times New Roman"/>
          <w:b/>
          <w:bCs/>
          <w:color w:val="000000"/>
          <w:sz w:val="26"/>
          <w:szCs w:val="26"/>
        </w:rPr>
        <w:t xml:space="preserve">1. Project Focus</w:t>
      </w:r>
    </w:p>
    <w:p>
      <w:pPr>
        <w:spacing w:after="120" w:line="300"/>
        <w:jc w:val="both"/>
      </w:pPr>
      <w:r>
        <w:rPr>
          <w:rFonts w:ascii="Times New Roman" w:cs="Times New Roman" w:eastAsia="Times New Roman" w:hAnsi="Times New Roman"/>
          <w:sz w:val="22"/>
          <w:szCs w:val="22"/>
        </w:rPr>
        <w:t xml:space="preserve">Aadhaar enrolment and update operations across Chhattisgarh rely on certified operators and localised equipment kits. Historically, operator onboarding, LMS training requests, NSEIT examination tracking, kit allotment and activation or reactivation were managed through disconnected spreadsheets, emails, hard-copy submissions and manual verification, which resulted in significant processing bottlenecks. The Aadhaar Kit &amp; Operator Registration Management Portal has been developed to consolidate these processes into a single, auditable platform.</w:t>
      </w:r>
    </w:p>
    <w:p>
      <w:pPr>
        <w:spacing w:after="60" w:line="300"/>
        <w:jc w:val="both"/>
      </w:pPr>
      <w:r>
        <w:rPr>
          <w:rFonts w:ascii="Times New Roman" w:cs="Times New Roman" w:eastAsia="Times New Roman" w:hAnsi="Times New Roman"/>
          <w:b/>
          <w:bCs/>
          <w:sz w:val="22"/>
          <w:szCs w:val="22"/>
        </w:rPr>
        <w:t xml:space="preserve">Core Objectives:</w:t>
      </w:r>
    </w:p>
    <w:p>
      <w:pPr>
        <w:pStyle w:val="ListParagraph"/>
        <w:numPr>
          <w:ilvl w:val="0"/>
          <w:numId w:val="2"/>
        </w:numPr>
        <w:spacing w:after="60" w:line="280"/>
        <w:jc w:val="both"/>
      </w:pPr>
      <w:r>
        <w:rPr>
          <w:rFonts w:ascii="Times New Roman" w:cs="Times New Roman" w:eastAsia="Times New Roman" w:hAnsi="Times New Roman"/>
          <w:sz w:val="22"/>
          <w:szCs w:val="22"/>
        </w:rPr>
        <w:t xml:space="preserve">Automate Operator Lifecycle: provide candidate self-registration, automated status tracking, LMS credential issuance and NSEIT certificate tracking.</w:t>
      </w:r>
    </w:p>
    <w:p>
      <w:pPr>
        <w:pStyle w:val="ListParagraph"/>
        <w:numPr>
          <w:ilvl w:val="0"/>
          <w:numId w:val="2"/>
        </w:numPr>
        <w:spacing w:after="60" w:line="280"/>
        <w:jc w:val="both"/>
      </w:pPr>
      <w:r>
        <w:rPr>
          <w:rFonts w:ascii="Times New Roman" w:cs="Times New Roman" w:eastAsia="Times New Roman" w:hAnsi="Times New Roman"/>
          <w:sz w:val="22"/>
          <w:szCs w:val="22"/>
        </w:rPr>
        <w:t xml:space="preserve">Streamline District Approval Workflows: enable District Coordinators to review, approve or reject candidates with feedback through real-time queues, along with export capabilities.</w:t>
      </w:r>
    </w:p>
    <w:p>
      <w:pPr>
        <w:pStyle w:val="ListParagraph"/>
        <w:numPr>
          <w:ilvl w:val="0"/>
          <w:numId w:val="2"/>
        </w:numPr>
        <w:spacing w:after="60" w:line="280"/>
        <w:jc w:val="both"/>
      </w:pPr>
      <w:r>
        <w:rPr>
          <w:rFonts w:ascii="Times New Roman" w:cs="Times New Roman" w:eastAsia="Times New Roman" w:hAnsi="Times New Roman"/>
          <w:sz w:val="22"/>
          <w:szCs w:val="22"/>
        </w:rPr>
        <w:t xml:space="preserve">State-Level Administrative Oversight: provide CHiPS State Admins and EDMs with state-wide analytics, kit allotment matrices, operator mapping and automated notifications.</w:t>
      </w:r>
    </w:p>
    <w:p>
      <w:pPr>
        <w:pStyle w:val="ListParagraph"/>
        <w:numPr>
          <w:ilvl w:val="0"/>
          <w:numId w:val="2"/>
        </w:numPr>
        <w:spacing w:after="60" w:line="280"/>
        <w:jc w:val="both"/>
      </w:pPr>
      <w:r>
        <w:rPr>
          <w:rFonts w:ascii="Times New Roman" w:cs="Times New Roman" w:eastAsia="Times New Roman" w:hAnsi="Times New Roman"/>
          <w:sz w:val="22"/>
          <w:szCs w:val="22"/>
        </w:rPr>
        <w:t xml:space="preserve">Intelligent Document Processing: integrate optical character recognition to automatically extract text and validate key credentials such as Aadhaar cards, PAN cards, marksheets and passbooks.</w:t>
      </w:r>
    </w:p>
    <w:p>
      <w:pPr>
        <w:pStyle w:val="Heading1"/>
        <w:spacing w:after="120" w:before="240"/>
      </w:pPr>
      <w:r>
        <w:rPr>
          <w:rFonts w:ascii="Times New Roman" w:cs="Times New Roman" w:eastAsia="Times New Roman" w:hAnsi="Times New Roman"/>
          <w:b/>
          <w:bCs/>
          <w:color w:val="000000"/>
          <w:sz w:val="26"/>
          <w:szCs w:val="26"/>
        </w:rPr>
        <w:t xml:space="preserve">2. System Architecture &amp; Technology Stack</w:t>
      </w:r>
    </w:p>
    <w:p>
      <w:pPr>
        <w:spacing w:after="140" w:line="300"/>
        <w:jc w:val="both"/>
      </w:pPr>
      <w:r>
        <w:rPr>
          <w:rFonts w:ascii="Times New Roman" w:cs="Times New Roman" w:eastAsia="Times New Roman" w:hAnsi="Times New Roman"/>
          <w:sz w:val="22"/>
          <w:szCs w:val="22"/>
        </w:rPr>
        <w:t xml:space="preserve">The platform uses a modern, production-ready, decoupled microservices architecture that ensures high throughput, security and scalability. The layers of the system and the technologies used in each are summarised below.</w:t>
      </w:r>
    </w:p>
    <w:tbl>
      <w:tblPr>
        <w:tblW w:type="dxa" w:w="8640"/>
        <w:tblBorders>
          <w:top w:val="single" w:color="888888" w:sz="6"/>
          <w:left w:val="single" w:color="888888" w:sz="6"/>
          <w:bottom w:val="single" w:color="888888" w:sz="6"/>
          <w:right w:val="single" w:color="888888" w:sz="6"/>
          <w:insideH w:val="single" w:color="BBBBBB" w:sz="4"/>
          <w:insideV w:val="single" w:color="BBBBBB" w:sz="4"/>
        </w:tblBorders>
      </w:tblPr>
      <w:tblGrid>
        <w:gridCol w:w="1900"/>
        <w:gridCol w:w="2400"/>
        <w:gridCol w:w="4340"/>
      </w:tblGrid>
      <w:tr>
        <w:trPr>
          <w:tblHeader/>
        </w:trPr>
        <w:tc>
          <w:tcPr>
            <w:tcW w:type="dxa" w:w="1900"/>
            <w:shd w:fill="D9E2F3" w:val="clear"/>
            <w:tcMar>
              <w:top w:type="dxa" w:w="60"/>
              <w:left w:type="dxa" w:w="110"/>
              <w:bottom w:type="dxa" w:w="60"/>
              <w:right w:type="dxa" w:w="110"/>
            </w:tcMar>
          </w:tcPr>
          <w:p>
            <w:pPr>
              <w:spacing w:after="0" w:line="300"/>
              <w:jc w:val="left"/>
            </w:pPr>
            <w:r>
              <w:rPr>
                <w:rFonts w:ascii="Times New Roman" w:cs="Times New Roman" w:eastAsia="Times New Roman" w:hAnsi="Times New Roman"/>
                <w:b/>
                <w:bCs/>
                <w:sz w:val="19"/>
                <w:szCs w:val="19"/>
              </w:rPr>
              <w:t xml:space="preserve">Layer</w:t>
            </w:r>
          </w:p>
        </w:tc>
        <w:tc>
          <w:tcPr>
            <w:tcW w:type="dxa" w:w="2400"/>
            <w:shd w:fill="D9E2F3" w:val="clear"/>
            <w:tcMar>
              <w:top w:type="dxa" w:w="60"/>
              <w:left w:type="dxa" w:w="110"/>
              <w:bottom w:type="dxa" w:w="60"/>
              <w:right w:type="dxa" w:w="110"/>
            </w:tcMar>
          </w:tcPr>
          <w:p>
            <w:pPr>
              <w:spacing w:after="0" w:line="300"/>
              <w:jc w:val="left"/>
            </w:pPr>
            <w:r>
              <w:rPr>
                <w:rFonts w:ascii="Times New Roman" w:cs="Times New Roman" w:eastAsia="Times New Roman" w:hAnsi="Times New Roman"/>
                <w:b/>
                <w:bCs/>
                <w:sz w:val="19"/>
                <w:szCs w:val="19"/>
              </w:rPr>
              <w:t xml:space="preserve">Components / Description</w:t>
            </w:r>
          </w:p>
        </w:tc>
        <w:tc>
          <w:tcPr>
            <w:tcW w:type="dxa" w:w="4340"/>
            <w:shd w:fill="D9E2F3" w:val="clear"/>
            <w:tcMar>
              <w:top w:type="dxa" w:w="60"/>
              <w:left w:type="dxa" w:w="110"/>
              <w:bottom w:type="dxa" w:w="60"/>
              <w:right w:type="dxa" w:w="110"/>
            </w:tcMar>
          </w:tcPr>
          <w:p>
            <w:pPr>
              <w:spacing w:after="0" w:line="300"/>
              <w:jc w:val="both"/>
            </w:pPr>
            <w:r>
              <w:rPr>
                <w:rFonts w:ascii="Times New Roman" w:cs="Times New Roman" w:eastAsia="Times New Roman" w:hAnsi="Times New Roman"/>
                <w:b/>
                <w:bCs/>
                <w:sz w:val="19"/>
                <w:szCs w:val="19"/>
              </w:rPr>
              <w:t xml:space="preserve">Details</w:t>
            </w:r>
          </w:p>
        </w:tc>
      </w:tr>
      <w:tr>
        <w:trPr>
          <w:tblHeader w:val="false"/>
        </w:trPr>
        <w:tc>
          <w:tcPr>
            <w:tcW w:type="dxa" w:w="1900"/>
            <w:shd w:fill="F4F6FB" w:val="clear"/>
            <w:tcMar>
              <w:top w:type="dxa" w:w="60"/>
              <w:left w:type="dxa" w:w="110"/>
              <w:bottom w:type="dxa" w:w="60"/>
              <w:right w:type="dxa" w:w="110"/>
            </w:tcMar>
          </w:tcPr>
          <w:p>
            <w:pPr>
              <w:spacing w:after="0" w:line="300"/>
              <w:jc w:val="left"/>
            </w:pPr>
            <w:r>
              <w:rPr>
                <w:rFonts w:ascii="Times New Roman" w:cs="Times New Roman" w:eastAsia="Times New Roman" w:hAnsi="Times New Roman"/>
                <w:b/>
                <w:bCs/>
                <w:sz w:val="19"/>
                <w:szCs w:val="19"/>
              </w:rPr>
              <w:t xml:space="preserve">Client Layer</w:t>
            </w:r>
          </w:p>
        </w:tc>
        <w:tc>
          <w:tcPr>
            <w:tcW w:type="dxa" w:w="2400"/>
            <w:tcMar>
              <w:top w:type="dxa" w:w="60"/>
              <w:left w:type="dxa" w:w="110"/>
              <w:bottom w:type="dxa" w:w="60"/>
              <w:right w:type="dxa" w:w="110"/>
            </w:tcMar>
          </w:tcPr>
          <w:p>
            <w:pPr>
              <w:spacing w:after="0" w:line="300"/>
              <w:jc w:val="left"/>
            </w:pPr>
            <w:r>
              <w:rPr>
                <w:rFonts w:ascii="Times New Roman" w:cs="Times New Roman" w:eastAsia="Times New Roman" w:hAnsi="Times New Roman"/>
                <w:b w:val="false"/>
                <w:bCs w:val="false"/>
                <w:sz w:val="19"/>
                <w:szCs w:val="19"/>
              </w:rPr>
              <w:t xml:space="preserve">Browser Clients</w:t>
            </w:r>
          </w:p>
        </w:tc>
        <w:tc>
          <w:tcPr>
            <w:tcW w:type="dxa" w:w="4340"/>
            <w:tcMar>
              <w:top w:type="dxa" w:w="60"/>
              <w:left w:type="dxa" w:w="110"/>
              <w:bottom w:type="dxa" w:w="60"/>
              <w:right w:type="dxa" w:w="110"/>
            </w:tcMar>
          </w:tcPr>
          <w:p>
            <w:pPr>
              <w:spacing w:after="0" w:line="300"/>
              <w:jc w:val="both"/>
            </w:pPr>
            <w:r>
              <w:rPr>
                <w:rFonts w:ascii="Times New Roman" w:cs="Times New Roman" w:eastAsia="Times New Roman" w:hAnsi="Times New Roman"/>
                <w:b w:val="false"/>
                <w:bCs w:val="false"/>
                <w:sz w:val="19"/>
                <w:szCs w:val="19"/>
              </w:rPr>
              <w:t xml:space="preserve">Candidates, District Coordinators, CHiPS Admin</w:t>
            </w:r>
          </w:p>
        </w:tc>
      </w:tr>
      <w:tr>
        <w:trPr>
          <w:tblHeader w:val="false"/>
        </w:trPr>
        <w:tc>
          <w:tcPr>
            <w:tcW w:type="dxa" w:w="1900"/>
            <w:shd w:fill="F4F6FB" w:val="clear"/>
            <w:tcMar>
              <w:top w:type="dxa" w:w="60"/>
              <w:left w:type="dxa" w:w="110"/>
              <w:bottom w:type="dxa" w:w="60"/>
              <w:right w:type="dxa" w:w="110"/>
            </w:tcMar>
          </w:tcPr>
          <w:p>
            <w:pPr>
              <w:spacing w:after="0" w:line="300"/>
              <w:jc w:val="left"/>
            </w:pPr>
            <w:r>
              <w:rPr>
                <w:rFonts w:ascii="Times New Roman" w:cs="Times New Roman" w:eastAsia="Times New Roman" w:hAnsi="Times New Roman"/>
                <w:b/>
                <w:bCs/>
                <w:sz w:val="19"/>
                <w:szCs w:val="19"/>
              </w:rPr>
              <w:t xml:space="preserve">Frontend Proxy</w:t>
            </w:r>
          </w:p>
        </w:tc>
        <w:tc>
          <w:tcPr>
            <w:tcW w:type="dxa" w:w="2400"/>
            <w:tcMar>
              <w:top w:type="dxa" w:w="60"/>
              <w:left w:type="dxa" w:w="110"/>
              <w:bottom w:type="dxa" w:w="60"/>
              <w:right w:type="dxa" w:w="110"/>
            </w:tcMar>
          </w:tcPr>
          <w:p>
            <w:pPr>
              <w:spacing w:after="0" w:line="300"/>
              <w:jc w:val="left"/>
            </w:pPr>
            <w:r>
              <w:rPr>
                <w:rFonts w:ascii="Times New Roman" w:cs="Times New Roman" w:eastAsia="Times New Roman" w:hAnsi="Times New Roman"/>
                <w:b w:val="false"/>
                <w:bCs w:val="false"/>
                <w:sz w:val="19"/>
                <w:szCs w:val="19"/>
              </w:rPr>
              <w:t xml:space="preserve">Flask Server</w:t>
            </w:r>
          </w:p>
        </w:tc>
        <w:tc>
          <w:tcPr>
            <w:tcW w:type="dxa" w:w="4340"/>
            <w:tcMar>
              <w:top w:type="dxa" w:w="60"/>
              <w:left w:type="dxa" w:w="110"/>
              <w:bottom w:type="dxa" w:w="60"/>
              <w:right w:type="dxa" w:w="110"/>
            </w:tcMar>
          </w:tcPr>
          <w:p>
            <w:pPr>
              <w:spacing w:after="0" w:line="300"/>
              <w:jc w:val="both"/>
            </w:pPr>
            <w:r>
              <w:rPr>
                <w:rFonts w:ascii="Times New Roman" w:cs="Times New Roman" w:eastAsia="Times New Roman" w:hAnsi="Times New Roman"/>
                <w:b w:val="false"/>
                <w:bCs w:val="false"/>
                <w:sz w:val="19"/>
                <w:szCs w:val="19"/>
              </w:rPr>
              <w:t xml:space="preserve">Jinja2, Python 3.12, Flask, HTML5, Vanilla CSS3, Tailwind CSS, JavaScript (Fetch API), SweetAlert2</w:t>
            </w:r>
          </w:p>
        </w:tc>
      </w:tr>
      <w:tr>
        <w:trPr>
          <w:tblHeader w:val="false"/>
        </w:trPr>
        <w:tc>
          <w:tcPr>
            <w:tcW w:type="dxa" w:w="1900"/>
            <w:shd w:fill="F4F6FB" w:val="clear"/>
            <w:tcMar>
              <w:top w:type="dxa" w:w="60"/>
              <w:left w:type="dxa" w:w="110"/>
              <w:bottom w:type="dxa" w:w="60"/>
              <w:right w:type="dxa" w:w="110"/>
            </w:tcMar>
          </w:tcPr>
          <w:p>
            <w:pPr>
              <w:spacing w:after="0" w:line="300"/>
              <w:jc w:val="left"/>
            </w:pPr>
            <w:r>
              <w:rPr>
                <w:rFonts w:ascii="Times New Roman" w:cs="Times New Roman" w:eastAsia="Times New Roman" w:hAnsi="Times New Roman"/>
                <w:b/>
                <w:bCs/>
                <w:sz w:val="19"/>
                <w:szCs w:val="19"/>
              </w:rPr>
              <w:t xml:space="preserve">Backend API</w:t>
            </w:r>
          </w:p>
        </w:tc>
        <w:tc>
          <w:tcPr>
            <w:tcW w:type="dxa" w:w="2400"/>
            <w:tcMar>
              <w:top w:type="dxa" w:w="60"/>
              <w:left w:type="dxa" w:w="110"/>
              <w:bottom w:type="dxa" w:w="60"/>
              <w:right w:type="dxa" w:w="110"/>
            </w:tcMar>
          </w:tcPr>
          <w:p>
            <w:pPr>
              <w:spacing w:after="0" w:line="300"/>
              <w:jc w:val="left"/>
            </w:pPr>
            <w:r>
              <w:rPr>
                <w:rFonts w:ascii="Times New Roman" w:cs="Times New Roman" w:eastAsia="Times New Roman" w:hAnsi="Times New Roman"/>
                <w:b w:val="false"/>
                <w:bCs w:val="false"/>
                <w:sz w:val="19"/>
                <w:szCs w:val="19"/>
              </w:rPr>
              <w:t xml:space="preserve">FastAPI Gateway</w:t>
            </w:r>
          </w:p>
        </w:tc>
        <w:tc>
          <w:tcPr>
            <w:tcW w:type="dxa" w:w="4340"/>
            <w:tcMar>
              <w:top w:type="dxa" w:w="60"/>
              <w:left w:type="dxa" w:w="110"/>
              <w:bottom w:type="dxa" w:w="60"/>
              <w:right w:type="dxa" w:w="110"/>
            </w:tcMar>
          </w:tcPr>
          <w:p>
            <w:pPr>
              <w:spacing w:after="0" w:line="300"/>
              <w:jc w:val="both"/>
            </w:pPr>
            <w:r>
              <w:rPr>
                <w:rFonts w:ascii="Times New Roman" w:cs="Times New Roman" w:eastAsia="Times New Roman" w:hAnsi="Times New Roman"/>
                <w:b w:val="false"/>
                <w:bCs w:val="false"/>
                <w:sz w:val="19"/>
                <w:szCs w:val="19"/>
              </w:rPr>
              <w:t xml:space="preserve">FastAPI, Uvicorn (ASGI), Pydantic v2, PyJWT (Jose), Passlib (Bcrypt), FastMail</w:t>
            </w:r>
          </w:p>
        </w:tc>
      </w:tr>
      <w:tr>
        <w:trPr>
          <w:tblHeader w:val="false"/>
        </w:trPr>
        <w:tc>
          <w:tcPr>
            <w:tcW w:type="dxa" w:w="1900"/>
            <w:shd w:fill="F4F6FB" w:val="clear"/>
            <w:tcMar>
              <w:top w:type="dxa" w:w="60"/>
              <w:left w:type="dxa" w:w="110"/>
              <w:bottom w:type="dxa" w:w="60"/>
              <w:right w:type="dxa" w:w="110"/>
            </w:tcMar>
          </w:tcPr>
          <w:p>
            <w:pPr>
              <w:spacing w:after="0" w:line="300"/>
              <w:jc w:val="left"/>
            </w:pPr>
            <w:r>
              <w:rPr>
                <w:rFonts w:ascii="Times New Roman" w:cs="Times New Roman" w:eastAsia="Times New Roman" w:hAnsi="Times New Roman"/>
                <w:b/>
                <w:bCs/>
                <w:sz w:val="19"/>
                <w:szCs w:val="19"/>
              </w:rPr>
              <w:t xml:space="preserve">Database &amp; Tasks</w:t>
            </w:r>
          </w:p>
        </w:tc>
        <w:tc>
          <w:tcPr>
            <w:tcW w:type="dxa" w:w="2400"/>
            <w:tcMar>
              <w:top w:type="dxa" w:w="60"/>
              <w:left w:type="dxa" w:w="110"/>
              <w:bottom w:type="dxa" w:w="60"/>
              <w:right w:type="dxa" w:w="110"/>
            </w:tcMar>
          </w:tcPr>
          <w:p>
            <w:pPr>
              <w:spacing w:after="0" w:line="300"/>
              <w:jc w:val="left"/>
            </w:pPr>
            <w:r>
              <w:rPr>
                <w:rFonts w:ascii="Times New Roman" w:cs="Times New Roman" w:eastAsia="Times New Roman" w:hAnsi="Times New Roman"/>
                <w:b w:val="false"/>
                <w:bCs w:val="false"/>
                <w:sz w:val="19"/>
                <w:szCs w:val="19"/>
              </w:rPr>
              <w:t xml:space="preserve">PostgreSQL &amp; Redis Queue</w:t>
            </w:r>
          </w:p>
        </w:tc>
        <w:tc>
          <w:tcPr>
            <w:tcW w:type="dxa" w:w="4340"/>
            <w:tcMar>
              <w:top w:type="dxa" w:w="60"/>
              <w:left w:type="dxa" w:w="110"/>
              <w:bottom w:type="dxa" w:w="60"/>
              <w:right w:type="dxa" w:w="110"/>
            </w:tcMar>
          </w:tcPr>
          <w:p>
            <w:pPr>
              <w:spacing w:after="0" w:line="300"/>
              <w:jc w:val="both"/>
            </w:pPr>
            <w:r>
              <w:rPr>
                <w:rFonts w:ascii="Times New Roman" w:cs="Times New Roman" w:eastAsia="Times New Roman" w:hAnsi="Times New Roman"/>
                <w:b w:val="false"/>
                <w:bCs w:val="false"/>
                <w:sz w:val="19"/>
                <w:szCs w:val="19"/>
              </w:rPr>
              <w:t xml:space="preserve">PostgreSQL 18, SQLAlchemy ORM, Alembic Migrations, Psycopg2, Celery, Redis</w:t>
            </w:r>
          </w:p>
        </w:tc>
      </w:tr>
      <w:tr>
        <w:trPr>
          <w:tblHeader w:val="false"/>
        </w:trPr>
        <w:tc>
          <w:tcPr>
            <w:tcW w:type="dxa" w:w="1900"/>
            <w:shd w:fill="F4F6FB" w:val="clear"/>
            <w:tcMar>
              <w:top w:type="dxa" w:w="60"/>
              <w:left w:type="dxa" w:w="110"/>
              <w:bottom w:type="dxa" w:w="60"/>
              <w:right w:type="dxa" w:w="110"/>
            </w:tcMar>
          </w:tcPr>
          <w:p>
            <w:pPr>
              <w:spacing w:after="0" w:line="300"/>
              <w:jc w:val="left"/>
            </w:pPr>
            <w:r>
              <w:rPr>
                <w:rFonts w:ascii="Times New Roman" w:cs="Times New Roman" w:eastAsia="Times New Roman" w:hAnsi="Times New Roman"/>
                <w:b/>
                <w:bCs/>
                <w:sz w:val="19"/>
                <w:szCs w:val="19"/>
              </w:rPr>
              <w:t xml:space="preserve">Document Processing &amp; OCR</w:t>
            </w:r>
          </w:p>
        </w:tc>
        <w:tc>
          <w:tcPr>
            <w:tcW w:type="dxa" w:w="2400"/>
            <w:tcMar>
              <w:top w:type="dxa" w:w="60"/>
              <w:left w:type="dxa" w:w="110"/>
              <w:bottom w:type="dxa" w:w="60"/>
              <w:right w:type="dxa" w:w="110"/>
            </w:tcMar>
          </w:tcPr>
          <w:p>
            <w:pPr>
              <w:spacing w:after="0" w:line="300"/>
              <w:jc w:val="left"/>
            </w:pPr>
            <w:r>
              <w:rPr>
                <w:rFonts w:ascii="Times New Roman" w:cs="Times New Roman" w:eastAsia="Times New Roman" w:hAnsi="Times New Roman"/>
                <w:b w:val="false"/>
                <w:bCs w:val="false"/>
                <w:sz w:val="19"/>
                <w:szCs w:val="19"/>
              </w:rPr>
              <w:t xml:space="preserve">Tesseract OCR</w:t>
            </w:r>
          </w:p>
        </w:tc>
        <w:tc>
          <w:tcPr>
            <w:tcW w:type="dxa" w:w="4340"/>
            <w:tcMar>
              <w:top w:type="dxa" w:w="60"/>
              <w:left w:type="dxa" w:w="110"/>
              <w:bottom w:type="dxa" w:w="60"/>
              <w:right w:type="dxa" w:w="110"/>
            </w:tcMar>
          </w:tcPr>
          <w:p>
            <w:pPr>
              <w:spacing w:after="0" w:line="300"/>
              <w:jc w:val="both"/>
            </w:pPr>
            <w:r>
              <w:rPr>
                <w:rFonts w:ascii="Times New Roman" w:cs="Times New Roman" w:eastAsia="Times New Roman" w:hAnsi="Times New Roman"/>
                <w:b w:val="false"/>
                <w:bCs w:val="false"/>
                <w:sz w:val="19"/>
                <w:szCs w:val="19"/>
              </w:rPr>
              <w:t xml:space="preserve">Tesseract OCR, PyTesseract, pdf2image, Pillow (PIL), thefuzz (Fuzzy String Matching)</w:t>
            </w:r>
          </w:p>
        </w:tc>
      </w:tr>
    </w:tbl>
    <w:p>
      <w:pPr>
        <w:spacing w:after="140" w:line="300"/>
        <w:jc w:val="both"/>
      </w:pPr>
      <w:r>
        <w:rPr>
          <w:rFonts w:ascii="Times New Roman" w:cs="Times New Roman" w:eastAsia="Times New Roman" w:hAnsi="Times New Roman"/>
          <w:sz w:val="22"/>
          <w:szCs w:val="22"/>
        </w:rPr>
        <w:t xml:space="preserve"/>
      </w:r>
    </w:p>
    <w:p>
      <w:r>
        <w:br w:type="page"/>
      </w:r>
    </w:p>
    <w:p>
      <w:pPr>
        <w:pStyle w:val="Heading1"/>
        <w:spacing w:after="120" w:before="240"/>
      </w:pPr>
      <w:r>
        <w:rPr>
          <w:rFonts w:ascii="Times New Roman" w:cs="Times New Roman" w:eastAsia="Times New Roman" w:hAnsi="Times New Roman"/>
          <w:b/>
          <w:bCs/>
          <w:color w:val="000000"/>
          <w:sz w:val="26"/>
          <w:szCs w:val="26"/>
        </w:rPr>
        <w:t xml:space="preserve">3. Week-wise Progress</w:t>
      </w:r>
    </w:p>
    <w:p>
      <w:pPr>
        <w:spacing w:after="140" w:line="300"/>
        <w:jc w:val="both"/>
      </w:pPr>
      <w:r>
        <w:rPr>
          <w:rFonts w:ascii="Times New Roman" w:cs="Times New Roman" w:eastAsia="Times New Roman" w:hAnsi="Times New Roman"/>
          <w:sz w:val="22"/>
          <w:szCs w:val="22"/>
        </w:rPr>
        <w:t xml:space="preserve">The work carried out by the undersigned during the reporting period is presented below on a week-wise basis. The contribution was primarily directed towards the frontend layer of the portal, covering the request workflows, the administrative dashboard and the reporting module.</w:t>
      </w:r>
    </w:p>
    <w:tbl>
      <w:tblPr>
        <w:tblW w:type="dxa" w:w="8640"/>
        <w:tblBorders>
          <w:top w:val="single" w:color="888888" w:sz="6"/>
          <w:left w:val="single" w:color="888888" w:sz="6"/>
          <w:bottom w:val="single" w:color="888888" w:sz="6"/>
          <w:right w:val="single" w:color="888888" w:sz="6"/>
          <w:insideH w:val="single" w:color="BBBBBB" w:sz="4"/>
          <w:insideV w:val="single" w:color="BBBBBB" w:sz="4"/>
        </w:tblBorders>
      </w:tblPr>
      <w:tblGrid>
        <w:gridCol w:w="900"/>
        <w:gridCol w:w="1900"/>
        <w:gridCol w:w="5840"/>
      </w:tblGrid>
      <w:tr>
        <w:trPr>
          <w:tblHeader/>
        </w:trPr>
        <w:tc>
          <w:tcPr>
            <w:tcW w:type="dxa" w:w="900"/>
            <w:shd w:fill="D9E2F3" w:val="clear"/>
            <w:tcMar>
              <w:top w:type="dxa" w:w="60"/>
              <w:left w:type="dxa" w:w="110"/>
              <w:bottom w:type="dxa" w:w="60"/>
              <w:right w:type="dxa" w:w="110"/>
            </w:tcMar>
          </w:tcPr>
          <w:p>
            <w:pPr>
              <w:spacing w:after="0" w:line="300"/>
              <w:jc w:val="left"/>
            </w:pPr>
            <w:r>
              <w:rPr>
                <w:rFonts w:ascii="Times New Roman" w:cs="Times New Roman" w:eastAsia="Times New Roman" w:hAnsi="Times New Roman"/>
                <w:b/>
                <w:bCs/>
                <w:sz w:val="19"/>
                <w:szCs w:val="19"/>
              </w:rPr>
              <w:t xml:space="preserve">Week</w:t>
            </w:r>
          </w:p>
        </w:tc>
        <w:tc>
          <w:tcPr>
            <w:tcW w:type="dxa" w:w="1900"/>
            <w:shd w:fill="D9E2F3" w:val="clear"/>
            <w:tcMar>
              <w:top w:type="dxa" w:w="60"/>
              <w:left w:type="dxa" w:w="110"/>
              <w:bottom w:type="dxa" w:w="60"/>
              <w:right w:type="dxa" w:w="110"/>
            </w:tcMar>
          </w:tcPr>
          <w:p>
            <w:pPr>
              <w:spacing w:after="0" w:line="300"/>
              <w:jc w:val="left"/>
            </w:pPr>
            <w:r>
              <w:rPr>
                <w:rFonts w:ascii="Times New Roman" w:cs="Times New Roman" w:eastAsia="Times New Roman" w:hAnsi="Times New Roman"/>
                <w:b/>
                <w:bCs/>
                <w:sz w:val="19"/>
                <w:szCs w:val="19"/>
              </w:rPr>
              <w:t xml:space="preserve">Period</w:t>
            </w:r>
          </w:p>
        </w:tc>
        <w:tc>
          <w:tcPr>
            <w:tcW w:type="dxa" w:w="5840"/>
            <w:shd w:fill="D9E2F3" w:val="clear"/>
            <w:tcMar>
              <w:top w:type="dxa" w:w="60"/>
              <w:left w:type="dxa" w:w="110"/>
              <w:bottom w:type="dxa" w:w="60"/>
              <w:right w:type="dxa" w:w="110"/>
            </w:tcMar>
          </w:tcPr>
          <w:p>
            <w:pPr>
              <w:spacing w:after="0" w:line="300"/>
              <w:jc w:val="both"/>
            </w:pPr>
            <w:r>
              <w:rPr>
                <w:rFonts w:ascii="Times New Roman" w:cs="Times New Roman" w:eastAsia="Times New Roman" w:hAnsi="Times New Roman"/>
                <w:b/>
                <w:bCs/>
                <w:sz w:val="19"/>
                <w:szCs w:val="19"/>
              </w:rPr>
              <w:t xml:space="preserve">Work Carried Out</w:t>
            </w:r>
          </w:p>
        </w:tc>
      </w:tr>
      <w:tr>
        <w:trPr>
          <w:tblHeader w:val="false"/>
        </w:trPr>
        <w:tc>
          <w:tcPr>
            <w:tcW w:type="dxa" w:w="900"/>
            <w:shd w:fill="F4F6FB" w:val="clear"/>
            <w:tcMar>
              <w:top w:type="dxa" w:w="60"/>
              <w:left w:type="dxa" w:w="110"/>
              <w:bottom w:type="dxa" w:w="60"/>
              <w:right w:type="dxa" w:w="110"/>
            </w:tcMar>
          </w:tcPr>
          <w:p>
            <w:pPr>
              <w:spacing w:after="0" w:line="300"/>
              <w:jc w:val="left"/>
            </w:pPr>
            <w:r>
              <w:rPr>
                <w:rFonts w:ascii="Times New Roman" w:cs="Times New Roman" w:eastAsia="Times New Roman" w:hAnsi="Times New Roman"/>
                <w:b/>
                <w:bCs/>
                <w:sz w:val="19"/>
                <w:szCs w:val="19"/>
              </w:rPr>
              <w:t xml:space="preserve">Week 1</w:t>
            </w:r>
          </w:p>
        </w:tc>
        <w:tc>
          <w:tcPr>
            <w:tcW w:type="dxa" w:w="1900"/>
            <w:tcMar>
              <w:top w:type="dxa" w:w="60"/>
              <w:left w:type="dxa" w:w="110"/>
              <w:bottom w:type="dxa" w:w="60"/>
              <w:right w:type="dxa" w:w="110"/>
            </w:tcMar>
          </w:tcPr>
          <w:p>
            <w:pPr>
              <w:spacing w:after="0" w:line="300"/>
              <w:jc w:val="left"/>
            </w:pPr>
            <w:r>
              <w:rPr>
                <w:rFonts w:ascii="Times New Roman" w:cs="Times New Roman" w:eastAsia="Times New Roman" w:hAnsi="Times New Roman"/>
                <w:b w:val="false"/>
                <w:bCs w:val="false"/>
                <w:sz w:val="19"/>
                <w:szCs w:val="19"/>
              </w:rPr>
              <w:t xml:space="preserve">25.05.2026 – 29.05.2026</w:t>
            </w:r>
          </w:p>
        </w:tc>
        <w:tc>
          <w:tcPr>
            <w:tcW w:type="dxa" w:w="5840"/>
            <w:tcMar>
              <w:top w:type="dxa" w:w="60"/>
              <w:left w:type="dxa" w:w="110"/>
              <w:bottom w:type="dxa" w:w="60"/>
              <w:right w:type="dxa" w:w="110"/>
            </w:tcMar>
          </w:tcPr>
          <w:p>
            <w:pPr>
              <w:spacing w:after="0" w:line="300"/>
              <w:jc w:val="both"/>
            </w:pPr>
            <w:r>
              <w:rPr>
                <w:rFonts w:ascii="Times New Roman" w:cs="Times New Roman" w:eastAsia="Times New Roman" w:hAnsi="Times New Roman"/>
                <w:b w:val="false"/>
                <w:bCs w:val="false"/>
                <w:sz w:val="19"/>
                <w:szCs w:val="19"/>
              </w:rPr>
              <w:t xml:space="preserve">Studied the domain of operation in detail, covering the Aadhaar Operator Selection Process, the Kit Registration Process and the requirements for Mandatory Biometric Updates. Analysed the operational differences between the Inhouse and VLE models and reviewed the working of the legacy Kit Tracker Portal.</w:t>
            </w:r>
          </w:p>
        </w:tc>
      </w:tr>
      <w:tr>
        <w:trPr>
          <w:tblHeader w:val="false"/>
        </w:trPr>
        <w:tc>
          <w:tcPr>
            <w:tcW w:type="dxa" w:w="900"/>
            <w:shd w:fill="F4F6FB" w:val="clear"/>
            <w:tcMar>
              <w:top w:type="dxa" w:w="60"/>
              <w:left w:type="dxa" w:w="110"/>
              <w:bottom w:type="dxa" w:w="60"/>
              <w:right w:type="dxa" w:w="110"/>
            </w:tcMar>
          </w:tcPr>
          <w:p>
            <w:pPr>
              <w:spacing w:after="0" w:line="300"/>
              <w:jc w:val="left"/>
            </w:pPr>
            <w:r>
              <w:rPr>
                <w:rFonts w:ascii="Times New Roman" w:cs="Times New Roman" w:eastAsia="Times New Roman" w:hAnsi="Times New Roman"/>
                <w:b/>
                <w:bCs/>
                <w:sz w:val="19"/>
                <w:szCs w:val="19"/>
              </w:rPr>
              <w:t xml:space="preserve">Week 2</w:t>
            </w:r>
          </w:p>
        </w:tc>
        <w:tc>
          <w:tcPr>
            <w:tcW w:type="dxa" w:w="1900"/>
            <w:tcMar>
              <w:top w:type="dxa" w:w="60"/>
              <w:left w:type="dxa" w:w="110"/>
              <w:bottom w:type="dxa" w:w="60"/>
              <w:right w:type="dxa" w:w="110"/>
            </w:tcMar>
          </w:tcPr>
          <w:p>
            <w:pPr>
              <w:spacing w:after="0" w:line="300"/>
              <w:jc w:val="left"/>
            </w:pPr>
            <w:r>
              <w:rPr>
                <w:rFonts w:ascii="Times New Roman" w:cs="Times New Roman" w:eastAsia="Times New Roman" w:hAnsi="Times New Roman"/>
                <w:b w:val="false"/>
                <w:bCs w:val="false"/>
                <w:sz w:val="19"/>
                <w:szCs w:val="19"/>
              </w:rPr>
              <w:t xml:space="preserve">01.06.2026 – 05.06.2026</w:t>
            </w:r>
          </w:p>
        </w:tc>
        <w:tc>
          <w:tcPr>
            <w:tcW w:type="dxa" w:w="5840"/>
            <w:tcMar>
              <w:top w:type="dxa" w:w="60"/>
              <w:left w:type="dxa" w:w="110"/>
              <w:bottom w:type="dxa" w:w="60"/>
              <w:right w:type="dxa" w:w="110"/>
            </w:tcMar>
          </w:tcPr>
          <w:p>
            <w:pPr>
              <w:spacing w:after="0" w:line="300"/>
              <w:jc w:val="both"/>
            </w:pPr>
            <w:r>
              <w:rPr>
                <w:rFonts w:ascii="Times New Roman" w:cs="Times New Roman" w:eastAsia="Times New Roman" w:hAnsi="Times New Roman"/>
                <w:b w:val="false"/>
                <w:bCs w:val="false"/>
                <w:sz w:val="19"/>
                <w:szCs w:val="19"/>
              </w:rPr>
              <w:t xml:space="preserve">Discussed optimised solution approaches with the mentors and the development team. Undertook responsibility for the frontend layer of the Request Acceptance Portal and established the initial project structure and interface foundation.</w:t>
            </w:r>
          </w:p>
        </w:tc>
      </w:tr>
      <w:tr>
        <w:trPr>
          <w:tblHeader w:val="false"/>
        </w:trPr>
        <w:tc>
          <w:tcPr>
            <w:tcW w:type="dxa" w:w="900"/>
            <w:shd w:fill="F4F6FB" w:val="clear"/>
            <w:tcMar>
              <w:top w:type="dxa" w:w="60"/>
              <w:left w:type="dxa" w:w="110"/>
              <w:bottom w:type="dxa" w:w="60"/>
              <w:right w:type="dxa" w:w="110"/>
            </w:tcMar>
          </w:tcPr>
          <w:p>
            <w:pPr>
              <w:spacing w:after="0" w:line="300"/>
              <w:jc w:val="left"/>
            </w:pPr>
            <w:r>
              <w:rPr>
                <w:rFonts w:ascii="Times New Roman" w:cs="Times New Roman" w:eastAsia="Times New Roman" w:hAnsi="Times New Roman"/>
                <w:b/>
                <w:bCs/>
                <w:sz w:val="19"/>
                <w:szCs w:val="19"/>
              </w:rPr>
              <w:t xml:space="preserve">Week 3</w:t>
            </w:r>
          </w:p>
        </w:tc>
        <w:tc>
          <w:tcPr>
            <w:tcW w:type="dxa" w:w="1900"/>
            <w:tcMar>
              <w:top w:type="dxa" w:w="60"/>
              <w:left w:type="dxa" w:w="110"/>
              <w:bottom w:type="dxa" w:w="60"/>
              <w:right w:type="dxa" w:w="110"/>
            </w:tcMar>
          </w:tcPr>
          <w:p>
            <w:pPr>
              <w:spacing w:after="0" w:line="300"/>
              <w:jc w:val="left"/>
            </w:pPr>
            <w:r>
              <w:rPr>
                <w:rFonts w:ascii="Times New Roman" w:cs="Times New Roman" w:eastAsia="Times New Roman" w:hAnsi="Times New Roman"/>
                <w:b w:val="false"/>
                <w:bCs w:val="false"/>
                <w:sz w:val="19"/>
                <w:szCs w:val="19"/>
              </w:rPr>
              <w:t xml:space="preserve">08.06.2026 – 12.06.2026</w:t>
            </w:r>
          </w:p>
        </w:tc>
        <w:tc>
          <w:tcPr>
            <w:tcW w:type="dxa" w:w="5840"/>
            <w:tcMar>
              <w:top w:type="dxa" w:w="60"/>
              <w:left w:type="dxa" w:w="110"/>
              <w:bottom w:type="dxa" w:w="60"/>
              <w:right w:type="dxa" w:w="110"/>
            </w:tcMar>
          </w:tcPr>
          <w:p>
            <w:pPr>
              <w:spacing w:after="0" w:line="300"/>
              <w:jc w:val="both"/>
            </w:pPr>
            <w:r>
              <w:rPr>
                <w:rFonts w:ascii="Times New Roman" w:cs="Times New Roman" w:eastAsia="Times New Roman" w:hAnsi="Times New Roman"/>
                <w:b w:val="false"/>
                <w:bCs w:val="false"/>
                <w:sz w:val="19"/>
                <w:szCs w:val="19"/>
              </w:rPr>
              <w:t xml:space="preserve">Developed the complete workflow and user interface of the Operator Activation Request page. Subsequently developed the Station ID Request section along with its interface and incorporated the modifications suggested during mentor review.</w:t>
            </w:r>
          </w:p>
        </w:tc>
      </w:tr>
      <w:tr>
        <w:trPr>
          <w:tblHeader w:val="false"/>
        </w:trPr>
        <w:tc>
          <w:tcPr>
            <w:tcW w:type="dxa" w:w="900"/>
            <w:shd w:fill="F4F6FB" w:val="clear"/>
            <w:tcMar>
              <w:top w:type="dxa" w:w="60"/>
              <w:left w:type="dxa" w:w="110"/>
              <w:bottom w:type="dxa" w:w="60"/>
              <w:right w:type="dxa" w:w="110"/>
            </w:tcMar>
          </w:tcPr>
          <w:p>
            <w:pPr>
              <w:spacing w:after="0" w:line="300"/>
              <w:jc w:val="left"/>
            </w:pPr>
            <w:r>
              <w:rPr>
                <w:rFonts w:ascii="Times New Roman" w:cs="Times New Roman" w:eastAsia="Times New Roman" w:hAnsi="Times New Roman"/>
                <w:b/>
                <w:bCs/>
                <w:sz w:val="19"/>
                <w:szCs w:val="19"/>
              </w:rPr>
              <w:t xml:space="preserve">Week 4</w:t>
            </w:r>
          </w:p>
        </w:tc>
        <w:tc>
          <w:tcPr>
            <w:tcW w:type="dxa" w:w="1900"/>
            <w:tcMar>
              <w:top w:type="dxa" w:w="60"/>
              <w:left w:type="dxa" w:w="110"/>
              <w:bottom w:type="dxa" w:w="60"/>
              <w:right w:type="dxa" w:w="110"/>
            </w:tcMar>
          </w:tcPr>
          <w:p>
            <w:pPr>
              <w:spacing w:after="0" w:line="300"/>
              <w:jc w:val="left"/>
            </w:pPr>
            <w:r>
              <w:rPr>
                <w:rFonts w:ascii="Times New Roman" w:cs="Times New Roman" w:eastAsia="Times New Roman" w:hAnsi="Times New Roman"/>
                <w:b w:val="false"/>
                <w:bCs w:val="false"/>
                <w:sz w:val="19"/>
                <w:szCs w:val="19"/>
              </w:rPr>
              <w:t xml:space="preserve">15.06.2026 – 19.06.2026</w:t>
            </w:r>
          </w:p>
        </w:tc>
        <w:tc>
          <w:tcPr>
            <w:tcW w:type="dxa" w:w="5840"/>
            <w:tcMar>
              <w:top w:type="dxa" w:w="60"/>
              <w:left w:type="dxa" w:w="110"/>
              <w:bottom w:type="dxa" w:w="60"/>
              <w:right w:type="dxa" w:w="110"/>
            </w:tcMar>
          </w:tcPr>
          <w:p>
            <w:pPr>
              <w:spacing w:after="0" w:line="300"/>
              <w:jc w:val="both"/>
            </w:pPr>
            <w:r>
              <w:rPr>
                <w:rFonts w:ascii="Times New Roman" w:cs="Times New Roman" w:eastAsia="Times New Roman" w:hAnsi="Times New Roman"/>
                <w:b w:val="false"/>
                <w:bCs w:val="false"/>
                <w:sz w:val="19"/>
                <w:szCs w:val="19"/>
              </w:rPr>
              <w:t xml:space="preserve">Developed the L1 Request section and its interface, followed by the L2 Request section and its interface. Implemented the changes suggested by Ms. Swati Garg and Mr. Prabhat Singh after review.</w:t>
            </w:r>
          </w:p>
        </w:tc>
      </w:tr>
      <w:tr>
        <w:trPr>
          <w:tblHeader w:val="false"/>
        </w:trPr>
        <w:tc>
          <w:tcPr>
            <w:tcW w:type="dxa" w:w="900"/>
            <w:shd w:fill="F4F6FB" w:val="clear"/>
            <w:tcMar>
              <w:top w:type="dxa" w:w="60"/>
              <w:left w:type="dxa" w:w="110"/>
              <w:bottom w:type="dxa" w:w="60"/>
              <w:right w:type="dxa" w:w="110"/>
            </w:tcMar>
          </w:tcPr>
          <w:p>
            <w:pPr>
              <w:spacing w:after="0" w:line="300"/>
              <w:jc w:val="left"/>
            </w:pPr>
            <w:r>
              <w:rPr>
                <w:rFonts w:ascii="Times New Roman" w:cs="Times New Roman" w:eastAsia="Times New Roman" w:hAnsi="Times New Roman"/>
                <w:b/>
                <w:bCs/>
                <w:sz w:val="19"/>
                <w:szCs w:val="19"/>
              </w:rPr>
              <w:t xml:space="preserve">Week 5</w:t>
            </w:r>
          </w:p>
        </w:tc>
        <w:tc>
          <w:tcPr>
            <w:tcW w:type="dxa" w:w="1900"/>
            <w:tcMar>
              <w:top w:type="dxa" w:w="60"/>
              <w:left w:type="dxa" w:w="110"/>
              <w:bottom w:type="dxa" w:w="60"/>
              <w:right w:type="dxa" w:w="110"/>
            </w:tcMar>
          </w:tcPr>
          <w:p>
            <w:pPr>
              <w:spacing w:after="0" w:line="300"/>
              <w:jc w:val="left"/>
            </w:pPr>
            <w:r>
              <w:rPr>
                <w:rFonts w:ascii="Times New Roman" w:cs="Times New Roman" w:eastAsia="Times New Roman" w:hAnsi="Times New Roman"/>
                <w:b w:val="false"/>
                <w:bCs w:val="false"/>
                <w:sz w:val="19"/>
                <w:szCs w:val="19"/>
              </w:rPr>
              <w:t xml:space="preserve">22.06.2026 – 26.06.2026</w:t>
            </w:r>
          </w:p>
        </w:tc>
        <w:tc>
          <w:tcPr>
            <w:tcW w:type="dxa" w:w="5840"/>
            <w:tcMar>
              <w:top w:type="dxa" w:w="60"/>
              <w:left w:type="dxa" w:w="110"/>
              <w:bottom w:type="dxa" w:w="60"/>
              <w:right w:type="dxa" w:w="110"/>
            </w:tcMar>
          </w:tcPr>
          <w:p>
            <w:pPr>
              <w:spacing w:after="0" w:line="300"/>
              <w:jc w:val="both"/>
            </w:pPr>
            <w:r>
              <w:rPr>
                <w:rFonts w:ascii="Times New Roman" w:cs="Times New Roman" w:eastAsia="Times New Roman" w:hAnsi="Times New Roman"/>
                <w:b w:val="false"/>
                <w:bCs w:val="false"/>
                <w:sz w:val="19"/>
                <w:szCs w:val="19"/>
              </w:rPr>
              <w:t xml:space="preserve">Initiated development of the administrative dashboard for CHiPS officials, providing a consolidated view of all incoming requests, and applied the modifications suggested during mentor review.</w:t>
            </w:r>
          </w:p>
        </w:tc>
      </w:tr>
      <w:tr>
        <w:trPr>
          <w:tblHeader w:val="false"/>
        </w:trPr>
        <w:tc>
          <w:tcPr>
            <w:tcW w:type="dxa" w:w="900"/>
            <w:shd w:fill="F4F6FB" w:val="clear"/>
            <w:tcMar>
              <w:top w:type="dxa" w:w="60"/>
              <w:left w:type="dxa" w:w="110"/>
              <w:bottom w:type="dxa" w:w="60"/>
              <w:right w:type="dxa" w:w="110"/>
            </w:tcMar>
          </w:tcPr>
          <w:p>
            <w:pPr>
              <w:spacing w:after="0" w:line="300"/>
              <w:jc w:val="left"/>
            </w:pPr>
            <w:r>
              <w:rPr>
                <w:rFonts w:ascii="Times New Roman" w:cs="Times New Roman" w:eastAsia="Times New Roman" w:hAnsi="Times New Roman"/>
                <w:b/>
                <w:bCs/>
                <w:sz w:val="19"/>
                <w:szCs w:val="19"/>
              </w:rPr>
              <w:t xml:space="preserve">Week 6</w:t>
            </w:r>
          </w:p>
        </w:tc>
        <w:tc>
          <w:tcPr>
            <w:tcW w:type="dxa" w:w="1900"/>
            <w:tcMar>
              <w:top w:type="dxa" w:w="60"/>
              <w:left w:type="dxa" w:w="110"/>
              <w:bottom w:type="dxa" w:w="60"/>
              <w:right w:type="dxa" w:w="110"/>
            </w:tcMar>
          </w:tcPr>
          <w:p>
            <w:pPr>
              <w:spacing w:after="0" w:line="300"/>
              <w:jc w:val="left"/>
            </w:pPr>
            <w:r>
              <w:rPr>
                <w:rFonts w:ascii="Times New Roman" w:cs="Times New Roman" w:eastAsia="Times New Roman" w:hAnsi="Times New Roman"/>
                <w:b w:val="false"/>
                <w:bCs w:val="false"/>
                <w:sz w:val="19"/>
                <w:szCs w:val="19"/>
              </w:rPr>
              <w:t xml:space="preserve">29.06.2026 – 03.07.2026</w:t>
            </w:r>
          </w:p>
        </w:tc>
        <w:tc>
          <w:tcPr>
            <w:tcW w:type="dxa" w:w="5840"/>
            <w:tcMar>
              <w:top w:type="dxa" w:w="60"/>
              <w:left w:type="dxa" w:w="110"/>
              <w:bottom w:type="dxa" w:w="60"/>
              <w:right w:type="dxa" w:w="110"/>
            </w:tcMar>
          </w:tcPr>
          <w:p>
            <w:pPr>
              <w:spacing w:after="0" w:line="300"/>
              <w:jc w:val="both"/>
            </w:pPr>
            <w:r>
              <w:rPr>
                <w:rFonts w:ascii="Times New Roman" w:cs="Times New Roman" w:eastAsia="Times New Roman" w:hAnsi="Times New Roman"/>
                <w:b w:val="false"/>
                <w:bCs w:val="false"/>
                <w:sz w:val="19"/>
                <w:szCs w:val="19"/>
              </w:rPr>
              <w:t xml:space="preserve">Continued development of the operator request and kit request sections of the dashboard and completed the final refinements to the dashboard homepage. Incorporated the changes recommended by the development team.</w:t>
            </w:r>
          </w:p>
        </w:tc>
      </w:tr>
      <w:tr>
        <w:trPr>
          <w:tblHeader w:val="false"/>
        </w:trPr>
        <w:tc>
          <w:tcPr>
            <w:tcW w:type="dxa" w:w="900"/>
            <w:shd w:fill="F4F6FB" w:val="clear"/>
            <w:tcMar>
              <w:top w:type="dxa" w:w="60"/>
              <w:left w:type="dxa" w:w="110"/>
              <w:bottom w:type="dxa" w:w="60"/>
              <w:right w:type="dxa" w:w="110"/>
            </w:tcMar>
          </w:tcPr>
          <w:p>
            <w:pPr>
              <w:spacing w:after="0" w:line="300"/>
              <w:jc w:val="left"/>
            </w:pPr>
            <w:r>
              <w:rPr>
                <w:rFonts w:ascii="Times New Roman" w:cs="Times New Roman" w:eastAsia="Times New Roman" w:hAnsi="Times New Roman"/>
                <w:b/>
                <w:bCs/>
                <w:sz w:val="19"/>
                <w:szCs w:val="19"/>
              </w:rPr>
              <w:t xml:space="preserve">Week 7</w:t>
            </w:r>
          </w:p>
        </w:tc>
        <w:tc>
          <w:tcPr>
            <w:tcW w:type="dxa" w:w="1900"/>
            <w:tcMar>
              <w:top w:type="dxa" w:w="60"/>
              <w:left w:type="dxa" w:w="110"/>
              <w:bottom w:type="dxa" w:w="60"/>
              <w:right w:type="dxa" w:w="110"/>
            </w:tcMar>
          </w:tcPr>
          <w:p>
            <w:pPr>
              <w:spacing w:after="0" w:line="300"/>
              <w:jc w:val="left"/>
            </w:pPr>
            <w:r>
              <w:rPr>
                <w:rFonts w:ascii="Times New Roman" w:cs="Times New Roman" w:eastAsia="Times New Roman" w:hAnsi="Times New Roman"/>
                <w:b w:val="false"/>
                <w:bCs w:val="false"/>
                <w:sz w:val="19"/>
                <w:szCs w:val="19"/>
              </w:rPr>
              <w:t xml:space="preserve">06.07.2026 – 10.07.2026</w:t>
            </w:r>
          </w:p>
        </w:tc>
        <w:tc>
          <w:tcPr>
            <w:tcW w:type="dxa" w:w="5840"/>
            <w:tcMar>
              <w:top w:type="dxa" w:w="60"/>
              <w:left w:type="dxa" w:w="110"/>
              <w:bottom w:type="dxa" w:w="60"/>
              <w:right w:type="dxa" w:w="110"/>
            </w:tcMar>
          </w:tcPr>
          <w:p>
            <w:pPr>
              <w:spacing w:after="0" w:line="300"/>
              <w:jc w:val="both"/>
            </w:pPr>
            <w:r>
              <w:rPr>
                <w:rFonts w:ascii="Times New Roman" w:cs="Times New Roman" w:eastAsia="Times New Roman" w:hAnsi="Times New Roman"/>
                <w:b w:val="false"/>
                <w:bCs w:val="false"/>
                <w:sz w:val="19"/>
                <w:szCs w:val="19"/>
              </w:rPr>
              <w:t xml:space="preserve">Revised the Station ID section and added the additional features proposed by the development team. Carried out corresponding revisions in the L1 Registration and L2 Registration sections in line with the finalised requirements.</w:t>
            </w:r>
          </w:p>
        </w:tc>
      </w:tr>
      <w:tr>
        <w:trPr>
          <w:tblHeader w:val="false"/>
        </w:trPr>
        <w:tc>
          <w:tcPr>
            <w:tcW w:type="dxa" w:w="900"/>
            <w:shd w:fill="F4F6FB" w:val="clear"/>
            <w:tcMar>
              <w:top w:type="dxa" w:w="60"/>
              <w:left w:type="dxa" w:w="110"/>
              <w:bottom w:type="dxa" w:w="60"/>
              <w:right w:type="dxa" w:w="110"/>
            </w:tcMar>
          </w:tcPr>
          <w:p>
            <w:pPr>
              <w:spacing w:after="0" w:line="300"/>
              <w:jc w:val="left"/>
            </w:pPr>
            <w:r>
              <w:rPr>
                <w:rFonts w:ascii="Times New Roman" w:cs="Times New Roman" w:eastAsia="Times New Roman" w:hAnsi="Times New Roman"/>
                <w:b/>
                <w:bCs/>
                <w:sz w:val="19"/>
                <w:szCs w:val="19"/>
              </w:rPr>
              <w:t xml:space="preserve">Week 8</w:t>
            </w:r>
          </w:p>
        </w:tc>
        <w:tc>
          <w:tcPr>
            <w:tcW w:type="dxa" w:w="1900"/>
            <w:tcMar>
              <w:top w:type="dxa" w:w="60"/>
              <w:left w:type="dxa" w:w="110"/>
              <w:bottom w:type="dxa" w:w="60"/>
              <w:right w:type="dxa" w:w="110"/>
            </w:tcMar>
          </w:tcPr>
          <w:p>
            <w:pPr>
              <w:spacing w:after="0" w:line="300"/>
              <w:jc w:val="left"/>
            </w:pPr>
            <w:r>
              <w:rPr>
                <w:rFonts w:ascii="Times New Roman" w:cs="Times New Roman" w:eastAsia="Times New Roman" w:hAnsi="Times New Roman"/>
                <w:b w:val="false"/>
                <w:bCs w:val="false"/>
                <w:sz w:val="19"/>
                <w:szCs w:val="19"/>
              </w:rPr>
              <w:t xml:space="preserve">13.07.2026 – 17.07.2026</w:t>
            </w:r>
          </w:p>
        </w:tc>
        <w:tc>
          <w:tcPr>
            <w:tcW w:type="dxa" w:w="5840"/>
            <w:tcMar>
              <w:top w:type="dxa" w:w="60"/>
              <w:left w:type="dxa" w:w="110"/>
              <w:bottom w:type="dxa" w:w="60"/>
              <w:right w:type="dxa" w:w="110"/>
            </w:tcMar>
          </w:tcPr>
          <w:p>
            <w:pPr>
              <w:spacing w:after="0" w:line="300"/>
              <w:jc w:val="both"/>
            </w:pPr>
            <w:r>
              <w:rPr>
                <w:rFonts w:ascii="Times New Roman" w:cs="Times New Roman" w:eastAsia="Times New Roman" w:hAnsi="Times New Roman"/>
                <w:b w:val="false"/>
                <w:bCs w:val="false"/>
                <w:sz w:val="19"/>
                <w:szCs w:val="19"/>
              </w:rPr>
              <w:t xml:space="preserve">Commenced development of the report generation section of the portal, intended to produce consolidated summaries of operator and kit requests for administrative review.</w:t>
            </w:r>
          </w:p>
        </w:tc>
      </w:tr>
      <w:tr>
        <w:trPr>
          <w:tblHeader w:val="false"/>
        </w:trPr>
        <w:tc>
          <w:tcPr>
            <w:tcW w:type="dxa" w:w="900"/>
            <w:shd w:fill="F4F6FB" w:val="clear"/>
            <w:tcMar>
              <w:top w:type="dxa" w:w="60"/>
              <w:left w:type="dxa" w:w="110"/>
              <w:bottom w:type="dxa" w:w="60"/>
              <w:right w:type="dxa" w:w="110"/>
            </w:tcMar>
          </w:tcPr>
          <w:p>
            <w:pPr>
              <w:spacing w:after="0" w:line="300"/>
              <w:jc w:val="left"/>
            </w:pPr>
            <w:r>
              <w:rPr>
                <w:rFonts w:ascii="Times New Roman" w:cs="Times New Roman" w:eastAsia="Times New Roman" w:hAnsi="Times New Roman"/>
                <w:b/>
                <w:bCs/>
                <w:sz w:val="19"/>
                <w:szCs w:val="19"/>
              </w:rPr>
              <w:t xml:space="preserve">Week 9</w:t>
            </w:r>
          </w:p>
        </w:tc>
        <w:tc>
          <w:tcPr>
            <w:tcW w:type="dxa" w:w="1900"/>
            <w:tcMar>
              <w:top w:type="dxa" w:w="60"/>
              <w:left w:type="dxa" w:w="110"/>
              <w:bottom w:type="dxa" w:w="60"/>
              <w:right w:type="dxa" w:w="110"/>
            </w:tcMar>
          </w:tcPr>
          <w:p>
            <w:pPr>
              <w:spacing w:after="0" w:line="300"/>
              <w:jc w:val="left"/>
            </w:pPr>
            <w:r>
              <w:rPr>
                <w:rFonts w:ascii="Times New Roman" w:cs="Times New Roman" w:eastAsia="Times New Roman" w:hAnsi="Times New Roman"/>
                <w:b w:val="false"/>
                <w:bCs w:val="false"/>
                <w:sz w:val="19"/>
                <w:szCs w:val="19"/>
              </w:rPr>
              <w:t xml:space="preserve">20.07.2026 – 24.07.2026</w:t>
            </w:r>
          </w:p>
        </w:tc>
        <w:tc>
          <w:tcPr>
            <w:tcW w:type="dxa" w:w="5840"/>
            <w:tcMar>
              <w:top w:type="dxa" w:w="60"/>
              <w:left w:type="dxa" w:w="110"/>
              <w:bottom w:type="dxa" w:w="60"/>
              <w:right w:type="dxa" w:w="110"/>
            </w:tcMar>
          </w:tcPr>
          <w:p>
            <w:pPr>
              <w:spacing w:after="0" w:line="300"/>
              <w:jc w:val="both"/>
            </w:pPr>
            <w:r>
              <w:rPr>
                <w:rFonts w:ascii="Times New Roman" w:cs="Times New Roman" w:eastAsia="Times New Roman" w:hAnsi="Times New Roman"/>
                <w:b w:val="false"/>
                <w:bCs w:val="false"/>
                <w:sz w:val="19"/>
                <w:szCs w:val="19"/>
              </w:rPr>
              <w:t xml:space="preserve">Worked on improving the overall user interface of the portal for consistency of layout and ease of navigation, and initiated development of the Operator Activity (Enrolments and Updates) section.</w:t>
            </w:r>
          </w:p>
        </w:tc>
      </w:tr>
    </w:tbl>
    <w:p>
      <w:pPr>
        <w:spacing w:after="160" w:line="300"/>
        <w:jc w:val="both"/>
      </w:pPr>
      <w:r>
        <w:rPr>
          <w:rFonts w:ascii="Times New Roman" w:cs="Times New Roman" w:eastAsia="Times New Roman" w:hAnsi="Times New Roman"/>
          <w:sz w:val="22"/>
          <w:szCs w:val="22"/>
        </w:rPr>
        <w:t xml:space="preserve"/>
      </w:r>
    </w:p>
    <w:p>
      <w:pPr>
        <w:pStyle w:val="Heading1"/>
        <w:spacing w:after="120" w:before="240"/>
      </w:pPr>
      <w:r>
        <w:rPr>
          <w:rFonts w:ascii="Times New Roman" w:cs="Times New Roman" w:eastAsia="Times New Roman" w:hAnsi="Times New Roman"/>
          <w:b/>
          <w:bCs/>
          <w:color w:val="000000"/>
          <w:sz w:val="26"/>
          <w:szCs w:val="26"/>
        </w:rPr>
        <w:t xml:space="preserve">4. Monthly Summary</w:t>
      </w:r>
    </w:p>
    <w:p>
      <w:pPr>
        <w:spacing w:after="120" w:line="300"/>
        <w:jc w:val="both"/>
      </w:pPr>
      <w:r>
        <w:rPr>
          <w:rFonts w:ascii="Times New Roman" w:cs="Times New Roman" w:eastAsia="Times New Roman" w:hAnsi="Times New Roman"/>
          <w:sz w:val="22"/>
          <w:szCs w:val="22"/>
        </w:rPr>
        <w:t xml:space="preserve">The first phase of the work was devoted to process discovery across the state's Aadhaar ecosystem, including the operator selection and kit registration processes, the distinction between the Inhouse and VLE models, and the shortcomings of the legacy Kit Tracker workflow. This understanding informed the design of the frontend layer of the Request Acceptance Portal, following which the Operator Activation, Station ID, L1 Registration and L2 Registration request workflows were developed along with their user interfaces, each being revised in accordance with mentor feedback.</w:t>
      </w:r>
    </w:p>
    <w:p>
      <w:pPr>
        <w:spacing w:after="120" w:line="300"/>
        <w:jc w:val="both"/>
      </w:pPr>
      <w:r>
        <w:rPr>
          <w:rFonts w:ascii="Times New Roman" w:cs="Times New Roman" w:eastAsia="Times New Roman" w:hAnsi="Times New Roman"/>
          <w:sz w:val="22"/>
          <w:szCs w:val="22"/>
        </w:rPr>
        <w:t xml:space="preserve">The subsequent phase focused on administrative functionality. The dashboard for CHiPS officials was developed to provide a consolidated view of incoming operator and kit requests, and its homepage and constituent sections were refined on the basis of development-team review. Existing request modules were then revised to align with the finalised requirements. Development of the report generation section was commenced thereafter, alongside improvements to the overall user interface and the initiation of the Operator Activity (Enrolments and Updates) section, both of which are presently in progress.</w:t>
      </w:r>
    </w:p>
    <w:p>
      <w:pPr>
        <w:pStyle w:val="Heading1"/>
        <w:spacing w:after="120" w:before="240"/>
      </w:pPr>
      <w:r>
        <w:rPr>
          <w:rFonts w:ascii="Times New Roman" w:cs="Times New Roman" w:eastAsia="Times New Roman" w:hAnsi="Times New Roman"/>
          <w:b/>
          <w:bCs/>
          <w:color w:val="000000"/>
          <w:sz w:val="26"/>
          <w:szCs w:val="26"/>
        </w:rPr>
        <w:t xml:space="preserve">5. Work Planned for the Next Period</w:t>
      </w:r>
    </w:p>
    <w:p>
      <w:pPr>
        <w:pStyle w:val="ListParagraph"/>
        <w:numPr>
          <w:ilvl w:val="0"/>
          <w:numId w:val="2"/>
        </w:numPr>
        <w:spacing w:after="60" w:line="280"/>
        <w:jc w:val="both"/>
      </w:pPr>
      <w:r>
        <w:rPr>
          <w:rFonts w:ascii="Times New Roman" w:cs="Times New Roman" w:eastAsia="Times New Roman" w:hAnsi="Times New Roman"/>
          <w:sz w:val="22"/>
          <w:szCs w:val="22"/>
        </w:rPr>
        <w:t xml:space="preserve">Completion of the report generation and Operator Activity (Enrolments and Updates) sections of the portal.</w:t>
      </w:r>
    </w:p>
    <w:p>
      <w:pPr>
        <w:pStyle w:val="ListParagraph"/>
        <w:numPr>
          <w:ilvl w:val="0"/>
          <w:numId w:val="2"/>
        </w:numPr>
        <w:spacing w:after="60" w:line="280"/>
        <w:jc w:val="both"/>
      </w:pPr>
      <w:r>
        <w:rPr>
          <w:rFonts w:ascii="Times New Roman" w:cs="Times New Roman" w:eastAsia="Times New Roman" w:hAnsi="Times New Roman"/>
          <w:sz w:val="22"/>
          <w:szCs w:val="22"/>
        </w:rPr>
        <w:t xml:space="preserve">End-to-end integration testing of all request modules with the backend services.</w:t>
      </w:r>
    </w:p>
    <w:p>
      <w:pPr>
        <w:pStyle w:val="ListParagraph"/>
        <w:numPr>
          <w:ilvl w:val="0"/>
          <w:numId w:val="2"/>
        </w:numPr>
        <w:spacing w:after="60" w:line="280"/>
        <w:jc w:val="both"/>
      </w:pPr>
      <w:r>
        <w:rPr>
          <w:rFonts w:ascii="Times New Roman" w:cs="Times New Roman" w:eastAsia="Times New Roman" w:hAnsi="Times New Roman"/>
          <w:sz w:val="22"/>
          <w:szCs w:val="22"/>
        </w:rPr>
        <w:t xml:space="preserve">Further refinement of the user interface, including validation handling and responsiveness across devices.</w:t>
      </w:r>
    </w:p>
    <w:p>
      <w:pPr>
        <w:pStyle w:val="ListParagraph"/>
        <w:numPr>
          <w:ilvl w:val="0"/>
          <w:numId w:val="2"/>
        </w:numPr>
        <w:spacing w:after="60" w:line="280"/>
        <w:jc w:val="both"/>
      </w:pPr>
      <w:r>
        <w:rPr>
          <w:rFonts w:ascii="Times New Roman" w:cs="Times New Roman" w:eastAsia="Times New Roman" w:hAnsi="Times New Roman"/>
          <w:sz w:val="22"/>
          <w:szCs w:val="22"/>
        </w:rPr>
        <w:t xml:space="preserve">Incorporation of any additional feedback received from the mentors and the development team.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b3b4c2d6b8ae11dbf974dec53e9127b373aa0c.jpg"/><Relationship Id="rId8" Type="http://schemas.openxmlformats.org/officeDocument/2006/relationships/image" Target="media/561230b5c384a69ff0dbb1f796c8ee1f081890b0.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2026-07-24T05:28:04.004Z</dcterms:created>
  <dcterms:modified xsi:type="dcterms:W3CDTF">2026-07-24T05:28:04.026Z</dcterms:modified>
</cp:coreProperties>
</file>

<file path=docProps/custom.xml><?xml version="1.0" encoding="utf-8"?>
<Properties xmlns="http://schemas.openxmlformats.org/officeDocument/2006/custom-properties" xmlns:vt="http://schemas.openxmlformats.org/officeDocument/2006/docPropsVTypes"/>
</file>