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Green Pace Developer: Security Policy Guide Template</w:t>
      </w:r>
    </w:p>
    <w:p>
      <w:pPr>
        <w:spacing w:before="0" w:after="460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object w:dxaOrig="3016" w:dyaOrig="3887">
          <v:rect xmlns:o="urn:schemas-microsoft-com:office:office" xmlns:v="urn:schemas-microsoft-com:vml" id="rectole0000000000" style="width:150.800000pt;height:19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Green Pace Secure Development Policy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Contents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b/>
          <w:color w:val="000000"/>
          <w:spacing w:val="0"/>
          <w:position w:val="0"/>
          <w:sz w:val="28"/>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Overview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Purpose</w:t>
      </w: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Understanding the Hierarchy of Principles, Policies, Standards, Procedures, and Guidelines</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Scope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applies to all staff that create, deploy, or support custom software at Green Pace.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Module Three Milestone </w:t>
      </w: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Ten Core Security Principles</w:t>
      </w:r>
    </w:p>
    <w:tbl>
      <w:tblPr/>
      <w:tblGrid>
        <w:gridCol w:w="2542"/>
        <w:gridCol w:w="8238"/>
      </w:tblGrid>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a short paragraph explaining each of the 10 principles of security.</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8"/>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Validate</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Input Data</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 validation is essential to protecting applications. There are many methods of database injections that can take place. Certain characters should be ommitted to prevent such intrusions.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1"/>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Heed Compiler Warnings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Compiler warnings can contain errors that can be known to contain security defects or other issues that could create larger problems within the application. Hackers can use these to bypass some metrics of security. You should always compile code with the highest warning level available. You should also minimize and remove them from your code.</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4"/>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Architect and Design for Security Policies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is neccesity to design/architect your software to be able to enforce security policies. Modularizing permission is an example of this where dividing the permissions different parts of the system can promote better security.</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7"/>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Keep It Simple</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Complicated designes in software can lead to many complications. There is increased risks of erros within the system the more complicated it is. Errors can arise from a variety of areas within the software</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0"/>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Default Deny</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Permissions should be the main branch concerning access within the software. By default, access should be denied unless the proper permissions have been granted.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3"/>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Adhere to the Principle of Least Privilege</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security best practice that requires limiting privileges to the minimum necessary to perform a job or task. This means that users, accounts, and processes should only have the access rights and permissions needed to complete their specific tasks, and no more.</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6"/>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Sanitize Data Sent to Other Systems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data in transit should be protected. Attackers can use methods such as sql injectiong or console commands. similar to input validation but more apparent in complex systems where unused functionality within the software is utilized by hackers.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9"/>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Practice Defense in Depth </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Having multiple layers of defense built into a software can help thwart attackers attempts. If there is a breach at one level, the other, non-redudent levels to the application can help protect the software, and prevent the unauthorized access.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42"/>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Use Effective Quality Assurance Techniques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quality assurance techniques can be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effective in identifying and eliminating vulnerabilities. by elimnating vulnerabilities we can manage the general risk better of the software.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45"/>
              </w:numPr>
              <w:spacing w:before="0" w:after="0" w:line="240"/>
              <w:ind w:right="0" w:left="342"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Adopt a Secure Coding Standard</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Providing a standard helps larger applications and software in development. Implmementing a standard gives measurable aspects to the security of the development. This can help with minimizing excessive time in development as well as providing the more security universally to the software and applications in development. </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C/C++ Ten Coding Standards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 </w:t>
      </w:r>
    </w:p>
    <w:p>
      <w:pPr>
        <w:spacing w:before="0" w:after="0" w:line="240"/>
        <w:ind w:right="0" w:left="0" w:firstLine="0"/>
        <w:jc w:val="left"/>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1</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Data Type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[STD-001-CPP]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not read uniinitialized memory</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uninitialized local variable is evaluated as part of an expression to print its value, resulting in undefined behavior.</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std::cout &lt;&lt; i;</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object is initialized prior to printing its value.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std::cout &lt;&lt; i;</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Heed compiler warmings: Compiler warnings can indicate instances of uninitialized memory that could be vulnerable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Secure coding standard: all exceptions and data types should be validated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input data: ensure users cannot manipulate structures with input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Architect and design for security policies: Design codebase around proper coding practices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P12</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Astree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uninitialized-read</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Partially checked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-Wuninitialized</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clang-analyzer-core.UndefinedBinaryOperatorResult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 pointer to local uninitialized variable</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Insure++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Runtime Detection</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 : EXP53-CPP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Non-initialized variables and non-initialized pointers.</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Rule Partially covered.</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2</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Data Value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[STD-002-CPP]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not define a C-style variadic function</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Calling this function without passing the value 0 as an argument (after the first two arguments) results in undefined behavior</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&lt;cstdarg&gt;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add(int first, int second,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 = first + second;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va_list va;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va_start(va, second);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(int v = va_arg(va, int))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 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va_end(va);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variadic function using a function parameter pack is used to implement the add() function, allowing identical behavior for call sites</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&lt;type_traits&gt;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 &lt;typename Arg, typename std::enable_if&lt;std::is_integral&lt;Arg&gt;::value&gt;::type * = nullptr&gt;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add(Arg f, Arg s) { return f + 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 &lt;typename Arg, typename... Ts, typename std::enable_if&lt;std::is_integral&lt;Arg&gt;::value&gt;::type * = nullptr&gt;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add(Arg f, Ts... rest)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 + add(rest...);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Keep it simple: keep unneccessary parameters removed from solutions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Adopt a Secure coding standard: test arguments and cases properly</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Architect and design for security policies: use parameter packs to keep behavior identical and consistent</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P12</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Astree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function-ellipsis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Fully checked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cert-dc150-cpp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Checked by clang-tidy</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41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Fully 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RuleChecker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function-ellepsis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Fully checked</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3</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String Correctness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[STD-003-CPP]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not attempt to create a std::string from a null pointer</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std::string object is created from the results of a call to std::getenv(). However, because std::getenv() returns a null pointer on failure, this code can lead to undefined behavior</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&lt;cstdlib&gt;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std::string tmp(std::getenv("TMP"));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(!tmp.empty())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results from the call to std::getenv() are checked for null before the std::string object is constructed.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&lt;cstdlib&gt;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char *tmpPtrVal = std::getenv("TMP");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std::string tmp(tmpPtrVal ? tmpPtrVal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(!tmp.empty())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Validate input data: Confirm that input leads to valid pointers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Heed compiler warnings: Confirm proper memory allocation/deallocation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Sanitize Data sent to other systems: Ensure data in transit if checked prior to object construction is used to a pointer</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Architect and design for security policies:Ensure all memory allocations are properly handled to ensure it is optimized</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LANG.MEM.NPD</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Null Pointer Dereference</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Parasort C/C++ 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CERT_CPP-STR51-a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Avoid null pointer dereferencing</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C++:STR51-CPP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Checks for string operations on null pointer(rule partially covered)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Astree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assert_failure</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4</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SQL Injection</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[STD-004-CPP]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Prevent SQL injection</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code example permits a SQL injection attack by incorporating the unsanitized input argument username into the SQL command, allowing an attacker to inject validuser' OR '1'='1. </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java.sql.SQLException;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Login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Connection getConnection() throws SQLException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DriverManager.registerDriver(new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com.microsoft.sqlserver.jdbc.SQLServerDriver());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dbConnection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PropertyManager.getProperty("db.connection");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 hold some value like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"jdbc:microsoft:sqlserver://&lt;HOST&gt;:1433,&lt;UID&gt;,&lt;PWD&gt;"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DriverManager.getConnection(dbConnection);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hashPassword(char[] password)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hash of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doPrivilegedAction(String username, char[]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throws SQLException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connection = getConnection();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(connection == 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pwd = hashPassword(password);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sqlString = "SELECT * FROM db_user WHERE username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AND password = '" + pwd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Statement stmt = connection.createStatement();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 rs = stmt.executeQuery(sqlString);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(!rs.next())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SecurityException(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name or password incorrect"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Authenticated; proceed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finally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(SQLException x)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Forward to handler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compliant solution uses a parametric query with a ? character as a placeholder for the argument. This code also validates the length of the username argument, preventing an attacker from submitting an arbitrarily long user name.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doPrivilegedAction(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username, char[]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throws SQLException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connection = getConnection();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(connection == 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pwd = hashPassword(password);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Validate username length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(username.length() &gt; 8)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sqlString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 from db_user where username=? and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PreparedStatement stmt = connection.prepareStatement(sqlString);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stmt.setString(1, username);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stmt.setString(2, pwd);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 rs = stmt.executeQuery();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(!rs.next())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SecurityException("User name or password incorrect");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Authenticated; proceed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finally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(SQLException x)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Forward to handler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240" w:hRule="auto"/>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Sanitize Data Sent to other Systems:Querries should be checked prior to usage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Validate Input data: Ensure that users cannot manipulate querries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Architect and design for security policies: Design databases and input to be validated prior to usage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P12</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5371"/>
        <w:gridCol w:w="226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537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226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Coverity</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7.5</w:t>
            </w:r>
          </w:p>
        </w:tc>
        <w:tc>
          <w:tcPr>
            <w:tcW w:w="537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SQLIFB.SQL_PREPARED_STATEMENT_GENERATED_ FB.SQL_NONCONSTANT_STRING_PASSED_TO_EXECUTE</w:t>
            </w:r>
          </w:p>
        </w:tc>
        <w:tc>
          <w:tcPr>
            <w:tcW w:w="226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Fortify</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537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HTTP_Response_Splitting SQL_Injection__Persistence SQL_Injection</w:t>
            </w:r>
          </w:p>
        </w:tc>
        <w:tc>
          <w:tcPr>
            <w:tcW w:w="226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Checker Framework</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7.5</w:t>
            </w:r>
          </w:p>
        </w:tc>
        <w:tc>
          <w:tcPr>
            <w:tcW w:w="537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Tainting Checker</w:t>
            </w:r>
          </w:p>
        </w:tc>
        <w:tc>
          <w:tcPr>
            <w:tcW w:w="226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Trust and security errors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Jtest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537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CERT.IDS00.TDSQL</w:t>
            </w:r>
          </w:p>
        </w:tc>
        <w:tc>
          <w:tcPr>
            <w:tcW w:w="226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Protect against SQL injection</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5</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Memory Protection</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[STD-005-CPP]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Properly deallocate dynamically allocated resources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 std::cout &lt;&lt; "S::S()" &lt;&lt; std::endl;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 std::cout &lt;&lt; "S::~S()" &lt;&lt; std::endl;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alignas(struct S) char space[sizeof(struct 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*s1 = new (&amp;space) 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 s1;</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removes the call to ::operator delete(), instead explicitly calling s1's destructor. This is one of the few times when explicitly invoking a destructor is warranted.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 std::cout &lt;&lt; "S::S()" &lt;&lt; std::endl;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 std::cout &lt;&lt; "S::~S()" &lt;&lt; std::endl;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alignas(struct S) char space[sizeof(struct 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*s1 = new (&amp;space) 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s1-&gt;~S();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Axivion Bauhaus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7.2.0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CertC++-MEM51</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clang-analyzer-cplusplus.NewDeleteLeaks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-Wmismatched-new-delete</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clang-analyzer-unix.MismatchedDeallocator </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Checked by clang-tidy, but does not catch all violations of this rule</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Astree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invalid_dynamic_memory_allocation</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dangling_pointer_use</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Helix QAC</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2024.1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C++2110, C++2111, C++2112, C++2113, C++2118, C++3337, C++3339, C++4262, C++4263, C++4264</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6</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Assertions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[STD-006-CPP]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a static assertion to test the value of a constant expression</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uses the assert() macro to assert a property concerning a memory-mapped structure that is essential for the code to behave correctly</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&lt;assert.h&gt;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timer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char MODE;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int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int 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func(void)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assert(sizeof(struct timer) == sizeof(unsigned char) + sizeof(unsigned int) + sizeof(unsigned int));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assertions involving only constant expressions, a preprocessor conditional statement may be used, as in this compliant solution</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timer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char MODE;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int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int 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(sizeof(struct timer) != (sizeof(unsigned char) + sizeof(unsigned int) + sizeof(unsigned 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 "Structure must not have any padding"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#endif</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Adopt a Secure coding standard: Memory should be optimized to maximize functionality of application as well as protect from leaks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Architect and design for Security Policies: When dynamically using memory it is important to plan concepts of creation and destruction to optimize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misc-static-assert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Checked by clang-tidy</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(customization)</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Users can implement a custom check that reports use of the assert() macro</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ECLAIR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CC2.DCL03</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Fully 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44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Fully implemented</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7</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Exceptions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[STD-007-]</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Handle all exceptions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neither f() nor main() catch exceptions thrown by throwing_func(). Because no matching handler can be found for the exception thrown, std::terminate() is called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throwing_func() noexcept(false);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throwing_func();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entry point handles all exceptions, which ensures that the stack is unwound up to the main() function and allows for graceful management of external resources.</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throwing_func() noexcept(false);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throwing_func();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Use Effective Quality Assurance techniques:Testing will help confirm that exceptions are properly handled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Keep it simple: Manage risk by practicing secure coding and handling exception and errors where they occur</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Architect and design for security policies: Always plan ways to handle exceptions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P4</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Astree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main-function-catch-all</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early-catch-all</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Partially checked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Parasort C/C++ 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CERT_CPP-ERR51-a</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CERT_CPP-ERR51-b</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Always catch exceptions. Each exception explicitly thrown in the code shall have a handler of a compatible type in all call paths that could lead to that point</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RuleChecker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main-function-catch-all</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early-catch-all</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Partially Checked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8</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 Choice]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[STD-080-CPP]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Guarantee that storage for strings has sufficient space for character data and the null terminator</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[Because the input is unbounded, the following code could lead to a buffer overflow.description]</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buf[12];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std::cin &gt;&gt; buf;</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best solution for ensuring that data is not truncated and for guarding against buffer overflows is to use std::string instead of a bounded array, as in this compliant solution.</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std::string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std::string stringOne, stringTwo;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std::cin &gt;&gt; stringOne &gt;&gt; stringTwo;</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Practice Denfese in depth: Checking input and desired outcomes while handling errors can help minimize risk of manipulation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Sanitize data sent to other systems: always validate and spounge information in transit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Keep it simple:adhere to best secure coding practices. </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Astree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stream-input-char-array</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Partially checked + soundly supported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489 S, 66 X, 70 X, 71 X</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Partially 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CERT_CPP-STR50-b</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CERT_CPP-STR50-c</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CERT_CPP-STR50-e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CERT_CPP-STR50-f</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CERT_CPP-STR50-g</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overflow due to reading a not zero terminated string</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overflow when writing to a buffer</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 buffer overflows from tainted data</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buffer write overflow from tainted data</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not use the 'char' buffer to store input from 'std::cin'</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RuleChecker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stream-input-char-array</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Partially checked</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9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 Choice]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[STD-090-CPP]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Close files when they are no longer needed</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&lt;exception&gt;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&lt;fstream&gt;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f(const std::string &amp;fileName)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std::fstream file(fileName);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(!file.is_open())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std::terminate();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std::fstream::close() is called before std::terminate() is called, ensuring that the file resources are properly closed.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&lt;exception&gt;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&lt;fstream&gt;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f(const std::string &amp;fileName)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std::fstream file(fileName);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(!file.is_open())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(file.fail())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std::terminate();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Architect and design for security policies: Practice proper secure coding technqiues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Deny: Access priviledges can help add defense to a system.</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Defence in depth: Multiple non-redundant layers can add security</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P4</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ALLOC.LEAK</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Leak</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 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CERT_CPP-FIO51-a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Ensure resources are freed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Helix QAC</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2024.1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DF4786, DF4787, DF4788</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Klocwork</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2024.1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RH.LEAK</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10</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Pseudorandom</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[STD-010-CPP]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Do not use std::rand() for generating pseudorandom numbers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code generates an ID with a numeric part produced by calling the rand() function. The IDs produced are predictable and have limited randomness. Further, depending on the value of RAND_MAX, the resulting value can have modulo bias.</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&lt;cstdlib&gt;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std::string id("ID"); // Holds the ID, starting with the characters "ID" followed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by a random integer in the range [0-10000].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std::to_string(std::rand() % 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compliant solution uses the Mersenne Twister algorithm as the engine for generating random values and a uniform distribution to negate the modulo bias from the noncompliant code example.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&lt;random&gt;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std::string id("ID"); // Holds the ID, starting with the characters "ID" followed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by a random integer in the range [0-10000].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std::uniform_int_distribution&lt;int&gt; distribution(0, 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std::random_device 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std::mt19937 engine(rd());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std::to_string(distribution(engine));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Stop here for the milestone. Complete this section for Project One in Module Six.</w:t>
      </w: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 </w:t>
            </w:r>
            <w:r>
              <w:rPr>
                <w:rFonts w:ascii="Calibri" w:hAnsi="Calibri" w:cs="Calibri" w:eastAsia="Calibri"/>
                <w:color w:val="auto"/>
                <w:spacing w:val="0"/>
                <w:position w:val="0"/>
                <w:sz w:val="22"/>
                <w:shd w:fill="auto" w:val="clear"/>
              </w:rPr>
              <w:t xml:space="preserve">Validate input data: ensure user data in handled properly before implementing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Architect and design for security policies: Practice proper secure coding practices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P6</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L2</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Astree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bad-function (AUTOSAR.26.5.1A)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Fully checked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4.0(prerelease)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cert-msc50-cpp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Checked by clang-tidy</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ECLAIR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CC2.MSC30</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Fully 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44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Enhanced Enforcement</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Defense-in-Depth Illustration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illustration provides a visual representation of the defense-in-depth best practice of layered security.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9131" w:dyaOrig="5163">
          <v:rect xmlns:o="urn:schemas-microsoft-com:office:office" xmlns:v="urn:schemas-microsoft-com:vml" id="rectole0000000001" style="width:456.550000pt;height:258.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Project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seven steps outlined below that align with the elements you will be graded on in the accompanying rubric. When you complete these steps, you will have finished the security policy.</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Revise the C/C++ Standards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Risk Assessment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Automated Detection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if any. This table ties to a specific C++ coding standard.</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Automation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written explanation using the image provided.</w:t>
      </w:r>
    </w:p>
    <w:p>
      <w:pPr>
        <w:spacing w:before="0" w:after="0" w:line="240"/>
        <w:ind w:right="0" w:left="720" w:firstLine="0"/>
        <w:jc w:val="center"/>
        <w:rPr>
          <w:rFonts w:ascii="Calibri" w:hAnsi="Calibri" w:cs="Calibri" w:eastAsia="Calibri"/>
          <w:color w:val="auto"/>
          <w:spacing w:val="0"/>
          <w:position w:val="0"/>
          <w:sz w:val="24"/>
          <w:shd w:fill="auto" w:val="clear"/>
        </w:rPr>
      </w:pPr>
      <w:r>
        <w:object w:dxaOrig="6641" w:dyaOrig="3361">
          <v:rect xmlns:o="urn:schemas-microsoft-com:office:office" xmlns:v="urn:schemas-microsoft-com:vml" id="rectole0000000002" style="width:332.050000pt;height:168.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Automation is crucial in enforcing and defining these security standards within pre-production as well as production. We can implement many of the practices in the entirety of coding practices throughout development. During designing and building, good coding practices and proper routing/handling can provide solid framworks for activity within an application. We can verify and test results of these via assertion and health checking. From there, monitoring the systems and maintaining becomes a core responsibility of the team. </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Summary of Risk Assessments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Consolidate all risk assessments into one table including both coding and systems standards, ordered by standard number.</w:t>
      </w:r>
    </w:p>
    <w:p>
      <w:pPr>
        <w:spacing w:before="0" w:after="0" w:line="240"/>
        <w:ind w:right="0" w:left="720" w:firstLine="0"/>
        <w:jc w:val="left"/>
        <w:rPr>
          <w:rFonts w:ascii="Calibri" w:hAnsi="Calibri" w:cs="Calibri" w:eastAsia="Calibri"/>
          <w:b/>
          <w:color w:val="auto"/>
          <w:spacing w:val="0"/>
          <w:position w:val="0"/>
          <w:sz w:val="26"/>
          <w:shd w:fill="auto" w:val="clear"/>
        </w:rPr>
      </w:pPr>
    </w:p>
    <w:tbl>
      <w:tblPr/>
      <w:tblGrid>
        <w:gridCol w:w="1430"/>
        <w:gridCol w:w="1419"/>
        <w:gridCol w:w="1364"/>
        <w:gridCol w:w="1856"/>
        <w:gridCol w:w="2041"/>
        <w:gridCol w:w="2680"/>
      </w:tblGrid>
      <w:tr>
        <w:trPr>
          <w:trHeight w:val="225" w:hRule="auto"/>
          <w:jc w:val="center"/>
        </w:trPr>
        <w:tc>
          <w:tcPr>
            <w:tcW w:w="1430" w:type="dxa"/>
            <w:tcBorders>
              <w:top w:val="single" w:color="836967"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Rule</w:t>
            </w:r>
          </w:p>
        </w:tc>
        <w:tc>
          <w:tcPr>
            <w:tcW w:w="1419"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Severity</w:t>
            </w:r>
          </w:p>
        </w:tc>
        <w:tc>
          <w:tcPr>
            <w:tcW w:w="1364"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Likelihood</w:t>
            </w:r>
          </w:p>
        </w:tc>
        <w:tc>
          <w:tcPr>
            <w:tcW w:w="1856"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Remediation Cost</w:t>
            </w:r>
          </w:p>
        </w:tc>
        <w:tc>
          <w:tcPr>
            <w:tcW w:w="2041"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Priority</w:t>
            </w:r>
          </w:p>
        </w:tc>
        <w:tc>
          <w:tcPr>
            <w:tcW w:w="2680"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Level</w:t>
            </w:r>
          </w:p>
        </w:tc>
      </w:tr>
      <w:tr>
        <w:trPr>
          <w:trHeight w:val="1" w:hRule="atLeast"/>
          <w:jc w:val="center"/>
        </w:trPr>
        <w:tc>
          <w:tcPr>
            <w:tcW w:w="1430" w:type="dxa"/>
            <w:tcBorders>
              <w:top w:val="single" w:color="836967"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STD-001-CPP</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6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P12</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836967"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STD-002-CPP</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 </w:t>
            </w:r>
          </w:p>
        </w:tc>
        <w:tc>
          <w:tcPr>
            <w:tcW w:w="1364"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P12</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836967"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STD-003-CPP</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6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P18</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836967"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STD-004-CPP</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64"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P12</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836967"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STD-005-CPP</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6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P18</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836967"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STD-006-CPP</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64"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L3</w:t>
            </w:r>
          </w:p>
        </w:tc>
      </w:tr>
      <w:tr>
        <w:trPr>
          <w:trHeight w:val="1" w:hRule="atLeast"/>
          <w:jc w:val="center"/>
        </w:trPr>
        <w:tc>
          <w:tcPr>
            <w:tcW w:w="1430" w:type="dxa"/>
            <w:tcBorders>
              <w:top w:val="single" w:color="836967"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STD-007-CPP</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6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P4</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L3</w:t>
            </w:r>
          </w:p>
        </w:tc>
      </w:tr>
      <w:tr>
        <w:trPr>
          <w:trHeight w:val="1" w:hRule="atLeast"/>
          <w:jc w:val="center"/>
        </w:trPr>
        <w:tc>
          <w:tcPr>
            <w:tcW w:w="1430" w:type="dxa"/>
            <w:tcBorders>
              <w:top w:val="single" w:color="836967"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STD-008-CPP</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64"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P18</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836967"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STD-009-CPP</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6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P4</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L3</w:t>
            </w:r>
          </w:p>
        </w:tc>
      </w:tr>
      <w:tr>
        <w:trPr>
          <w:trHeight w:val="1" w:hRule="atLeast"/>
          <w:jc w:val="center"/>
        </w:trPr>
        <w:tc>
          <w:tcPr>
            <w:tcW w:w="1430" w:type="dxa"/>
            <w:tcBorders>
              <w:top w:val="single" w:color="836967"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STD-010-CPP</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64"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P6</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L2</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Create Policies for Encryption and Triple A </w:t>
      </w:r>
    </w:p>
    <w:p>
      <w:pPr>
        <w:spacing w:before="0" w:after="0" w:line="240"/>
        <w:ind w:right="0" w:left="720" w:firstLine="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all three types of encryption (in flight, at rest, and in use) and each of the three elements of the Triple-A framework using the tables provided</w:t>
      </w:r>
      <w:r>
        <w:rPr>
          <w:rFonts w:ascii="Calibri" w:hAnsi="Calibri" w:cs="Calibri" w:eastAsia="Calibri"/>
          <w:b/>
          <w:i/>
          <w:color w:val="auto"/>
          <w:spacing w:val="0"/>
          <w:position w:val="0"/>
          <w:sz w:val="24"/>
          <w:shd w:fill="auto" w:val="clear"/>
        </w:rPr>
        <w:t xml:space="preserve">.</w:t>
      </w:r>
    </w:p>
    <w:p>
      <w:pPr>
        <w:numPr>
          <w:ilvl w:val="0"/>
          <w:numId w:val="63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each type of encryption, how it is used, and why and when the policy applies.</w:t>
      </w:r>
    </w:p>
    <w:p>
      <w:pPr>
        <w:numPr>
          <w:ilvl w:val="0"/>
          <w:numId w:val="63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each type of Triple-A framework strategy, how it is used, and why and when the policy applies.</w:t>
      </w:r>
    </w:p>
    <w:p>
      <w:pPr>
        <w:spacing w:before="0" w:after="0" w:line="240"/>
        <w:ind w:right="0" w:left="144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policies for each and explain what it is, how it should be applied in practice, and why it should be used.</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905"/>
        <w:gridCol w:w="8875"/>
      </w:tblGrid>
      <w:tr>
        <w:trPr>
          <w:trHeight w:val="420" w:hRule="auto"/>
          <w:jc w:val="left"/>
        </w:trPr>
        <w:tc>
          <w:tcPr>
            <w:tcW w:w="190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bottom"/>
          </w:tcPr>
          <w:p>
            <w:pPr>
              <w:numPr>
                <w:ilvl w:val="0"/>
                <w:numId w:val="643"/>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Encryption</w:t>
            </w:r>
          </w:p>
        </w:tc>
        <w:tc>
          <w:tcPr>
            <w:tcW w:w="887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Explain what it is and how and why the policy applies.</w:t>
            </w:r>
          </w:p>
        </w:tc>
      </w:tr>
      <w:tr>
        <w:trPr>
          <w:trHeight w:val="42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Encryption at rest</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that is stored on devices or accessed remotely needs to be proctected. That is why data at rest on servers/databases must always be encrypted if it can be accessed. Various tools exist as well as storage device encryption to ensure the integrity of the data in question.</w:t>
            </w:r>
          </w:p>
        </w:tc>
      </w:tr>
      <w:tr>
        <w:trPr>
          <w:trHeight w:val="42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Encryption in flight</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While in transit data can be vulernable. Properly managing the requests and the inputs from users can help deter chances of corruption. Internal measures such as encrypting the data and properly handling can be used, as well as exterior measures such as firewall and authentication to protect remote accessing.</w:t>
            </w:r>
          </w:p>
        </w:tc>
      </w:tr>
      <w:tr>
        <w:trPr>
          <w:trHeight w:val="42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Encryption in use</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Whenever new data is created it is important to properly format and store this information. This involves hashing or encrypting the information and properly storing it. Managing user access to the program can limit ill-intent to manipulate new data within a system and properly storing can make it addequately protected along with the rest of the information </w:t>
            </w:r>
          </w:p>
        </w:tc>
      </w:tr>
    </w:tbl>
    <w:p>
      <w:pPr>
        <w:spacing w:before="0" w:after="0" w:line="240"/>
        <w:ind w:right="0" w:left="0" w:firstLine="0"/>
        <w:jc w:val="left"/>
        <w:rPr>
          <w:rFonts w:ascii="Calibri" w:hAnsi="Calibri" w:cs="Calibri" w:eastAsia="Calibri"/>
          <w:color w:val="auto"/>
          <w:spacing w:val="0"/>
          <w:position w:val="0"/>
          <w:sz w:val="26"/>
          <w:shd w:fill="auto" w:val="clear"/>
        </w:rPr>
      </w:pPr>
    </w:p>
    <w:tbl>
      <w:tblPr/>
      <w:tblGrid>
        <w:gridCol w:w="2074"/>
        <w:gridCol w:w="8706"/>
      </w:tblGrid>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numPr>
                <w:ilvl w:val="0"/>
                <w:numId w:val="655"/>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Triple-A Framework*</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Explain what it is and how and why the policy applies.</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Authentication</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Authentication is neccessary to confirm identity of a user/admin within the system. There are usually keys or passwords required to authenticate within a system. MFA is another tool that can greatly improve the accredibility of those authorized within the system. Ensuring that users have been authenticated greatly improves the overall security of data that these authenticated invidivduals have access to.</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Authorization</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Authorization give access rights to a system that otherwise average individuals would not be entitled to. By limiting access to crucial components within a system it allows for more vulnerable or sensitive information to be protected behind these right. This is one of the reasons why default denying priviledges is a common practice within the industry and allows confidential data to have an additional level of security within the applicaition protecting it. </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Accounting</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Accounting is neccessary to implement to handle transactions within the system. Accurately tracking incoming and outgoing requests as well as system permissions can help confirm the accountability within a system. This also allows the system administrators to track user activity when neccessary.</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Use this checklist for the Triple A to be sure you include these elements in your policy: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6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User logins</w:t>
      </w:r>
    </w:p>
    <w:p>
      <w:pPr>
        <w:numPr>
          <w:ilvl w:val="0"/>
          <w:numId w:val="66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Changes to the database</w:t>
      </w:r>
    </w:p>
    <w:p>
      <w:pPr>
        <w:numPr>
          <w:ilvl w:val="0"/>
          <w:numId w:val="66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Addition of new users</w:t>
      </w:r>
    </w:p>
    <w:p>
      <w:pPr>
        <w:numPr>
          <w:ilvl w:val="0"/>
          <w:numId w:val="66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User level of access</w:t>
      </w:r>
    </w:p>
    <w:p>
      <w:pPr>
        <w:numPr>
          <w:ilvl w:val="0"/>
          <w:numId w:val="66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Files accessed by users</w:t>
      </w:r>
    </w:p>
    <w:p>
      <w:pPr>
        <w:spacing w:before="0" w:after="0" w:line="240"/>
        <w:ind w:right="0" w:left="720" w:firstLine="0"/>
        <w:jc w:val="left"/>
        <w:rPr>
          <w:rFonts w:ascii="Calibri" w:hAnsi="Calibri" w:cs="Calibri" w:eastAsia="Calibri"/>
          <w:color w:val="000000"/>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Map the Principles</w:t>
      </w:r>
      <w:r>
        <w:rPr>
          <w:rFonts w:ascii="Calibri" w:hAnsi="Calibri" w:cs="Calibri" w:eastAsia="Calibri"/>
          <w:b/>
          <w:i/>
          <w:color w:val="000000"/>
          <w:spacing w:val="0"/>
          <w:position w:val="0"/>
          <w:sz w:val="24"/>
          <w:shd w:fill="auto" w:val="clear"/>
        </w:rPr>
        <w:t xml:space="preserve"> </w:t>
      </w: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Green Pace has already successfully implemented the following: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75"/>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Operating system logs </w:t>
      </w:r>
    </w:p>
    <w:p>
      <w:pPr>
        <w:numPr>
          <w:ilvl w:val="0"/>
          <w:numId w:val="675"/>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Firewall logs </w:t>
      </w:r>
    </w:p>
    <w:p>
      <w:pPr>
        <w:numPr>
          <w:ilvl w:val="0"/>
          <w:numId w:val="675"/>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Anti-malware logs </w:t>
      </w:r>
    </w:p>
    <w:p>
      <w:pPr>
        <w:numPr>
          <w:ilvl w:val="0"/>
          <w:numId w:val="675"/>
        </w:numPr>
        <w:spacing w:before="0" w:after="0" w:line="240"/>
        <w:ind w:right="0" w:left="1440" w:hanging="360"/>
        <w:jc w:val="left"/>
        <w:rPr>
          <w:rFonts w:ascii="Calibri" w:hAnsi="Calibri" w:cs="Calibri" w:eastAsia="Calibri"/>
          <w:color w:val="000000"/>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only item you must complete beyond this point is the Policy Version History table.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Audit Controls and Management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software development effort must be able to provide evidence of compliance for each software deployed into any Green Pace managed environment.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Evidence will include the following: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8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compliance to standards</w:t>
      </w:r>
    </w:p>
    <w:p>
      <w:pPr>
        <w:numPr>
          <w:ilvl w:val="0"/>
          <w:numId w:val="68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Well-documented access-control strategies, with sampled evidence of compliance</w:t>
      </w:r>
    </w:p>
    <w:p>
      <w:pPr>
        <w:numPr>
          <w:ilvl w:val="0"/>
          <w:numId w:val="68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Well-documented data-control standards defining the expected security posture of data at rest, in flight, and in use</w:t>
      </w:r>
    </w:p>
    <w:p>
      <w:pPr>
        <w:numPr>
          <w:ilvl w:val="0"/>
          <w:numId w:val="68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Historical evidence of sustained practice (emails, logs, audits, meeting notes)</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Enforcement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Staff members, consultants, or employees found in violation of this policy will be subject to disciplinary action, up to and including termination.</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Exceptions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exception to the standards in this policy must be requested in writing with the following information: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8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Business or technical rationale</w:t>
      </w:r>
    </w:p>
    <w:p>
      <w:pPr>
        <w:numPr>
          <w:ilvl w:val="0"/>
          <w:numId w:val="68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 impact analysis</w:t>
      </w:r>
    </w:p>
    <w:p>
      <w:pPr>
        <w:numPr>
          <w:ilvl w:val="0"/>
          <w:numId w:val="68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 mitigation analysis</w:t>
      </w:r>
    </w:p>
    <w:p>
      <w:pPr>
        <w:numPr>
          <w:ilvl w:val="0"/>
          <w:numId w:val="68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 to come into compliance</w:t>
      </w:r>
    </w:p>
    <w:p>
      <w:pPr>
        <w:numPr>
          <w:ilvl w:val="0"/>
          <w:numId w:val="68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for when the plan to come into compliance will be completed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Approval for any exception must be granted by chief information officer (CIO) and the chief information security officer (CISO) or their appointed delegates of officer level.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Exceptions will remain on file with the office of the CISO, which will administer and govern compliance.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Distribution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policy is to be distributed to all Green Pace IT staff annually. All IT staff will need to certify acceptance and awareness of this policy annually.</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Policy Change Control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policy will be automatically reviewed annually, no later than 365 days from the last revision date. Further, it will be reviewed in response to regulatory or compliance changes, and on demand as determined by the OCISO.</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Policy Version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345"/>
        <w:gridCol w:w="1530"/>
        <w:gridCol w:w="3510"/>
        <w:gridCol w:w="1923"/>
        <w:gridCol w:w="2077"/>
      </w:tblGrid>
      <w:tr>
        <w:trPr>
          <w:trHeight w:val="1" w:hRule="atLeast"/>
          <w:jc w:val="left"/>
        </w:trPr>
        <w:tc>
          <w:tcPr>
            <w:tcW w:w="1345" w:type="dxa"/>
            <w:tcBorders>
              <w:top w:val="single" w:color="836967" w:sz="4"/>
              <w:left w:val="single" w:color="836967" w:sz="4"/>
              <w:bottom w:val="single" w:color="a5a5a5"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Version</w:t>
            </w:r>
          </w:p>
        </w:tc>
        <w:tc>
          <w:tcPr>
            <w:tcW w:w="1530"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Date</w:t>
            </w:r>
          </w:p>
        </w:tc>
        <w:tc>
          <w:tcPr>
            <w:tcW w:w="3510"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Description</w:t>
            </w:r>
          </w:p>
        </w:tc>
        <w:tc>
          <w:tcPr>
            <w:tcW w:w="1923"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Edited By</w:t>
            </w:r>
          </w:p>
        </w:tc>
        <w:tc>
          <w:tcPr>
            <w:tcW w:w="2077"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Approved By</w:t>
            </w:r>
          </w:p>
        </w:tc>
      </w:tr>
      <w:tr>
        <w:trPr>
          <w:trHeight w:val="240" w:hRule="auto"/>
          <w:jc w:val="left"/>
        </w:trPr>
        <w:tc>
          <w:tcPr>
            <w:tcW w:w="1345"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6//01/2023</w:t>
            </w:r>
          </w:p>
        </w:tc>
        <w:tc>
          <w:tcPr>
            <w:tcW w:w="351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Initial Template</w:t>
            </w:r>
          </w:p>
        </w:tc>
        <w:tc>
          <w:tcPr>
            <w:tcW w:w="192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David Buksbaum</w:t>
            </w:r>
          </w:p>
        </w:tc>
        <w:tc>
          <w:tcPr>
            <w:tcW w:w="2077"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5"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153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6/15/2023</w:t>
            </w:r>
          </w:p>
        </w:tc>
        <w:tc>
          <w:tcPr>
            <w:tcW w:w="351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Module 6 Project 1</w:t>
            </w:r>
          </w:p>
        </w:tc>
        <w:tc>
          <w:tcPr>
            <w:tcW w:w="1923"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Jesse Draper</w:t>
            </w:r>
          </w:p>
        </w:tc>
        <w:tc>
          <w:tcPr>
            <w:tcW w:w="2077"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5"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c>
          <w:tcPr>
            <w:tcW w:w="15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c>
          <w:tcPr>
            <w:tcW w:w="351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c>
          <w:tcPr>
            <w:tcW w:w="192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c>
          <w:tcPr>
            <w:tcW w:w="2077"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Appendix A Lookups</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Approved C/C++ Language Acronyms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192"/>
        <w:gridCol w:w="5193"/>
      </w:tblGrid>
      <w:tr>
        <w:trPr>
          <w:trHeight w:val="1" w:hRule="atLeast"/>
          <w:jc w:val="left"/>
        </w:trPr>
        <w:tc>
          <w:tcPr>
            <w:tcW w:w="5192" w:type="dxa"/>
            <w:tcBorders>
              <w:top w:val="single" w:color="836967" w:sz="4"/>
              <w:left w:val="single" w:color="836967" w:sz="4"/>
              <w:bottom w:val="single" w:color="a5a5a5"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Language</w:t>
            </w:r>
          </w:p>
        </w:tc>
        <w:tc>
          <w:tcPr>
            <w:tcW w:w="5193"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Acronym</w:t>
            </w:r>
          </w:p>
        </w:tc>
      </w:tr>
      <w:tr>
        <w:trPr>
          <w:trHeight w:val="1" w:hRule="atLeast"/>
          <w:jc w:val="left"/>
        </w:trPr>
        <w:tc>
          <w:tcPr>
            <w:tcW w:w="5192"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519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CPP</w:t>
            </w:r>
          </w:p>
        </w:tc>
      </w:tr>
      <w:tr>
        <w:trPr>
          <w:trHeight w:val="1" w:hRule="atLeast"/>
          <w:jc w:val="left"/>
        </w:trPr>
        <w:tc>
          <w:tcPr>
            <w:tcW w:w="5192"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5193"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CLG</w:t>
            </w:r>
          </w:p>
        </w:tc>
      </w:tr>
      <w:tr>
        <w:trPr>
          <w:trHeight w:val="1" w:hRule="atLeast"/>
          <w:jc w:val="left"/>
        </w:trPr>
        <w:tc>
          <w:tcPr>
            <w:tcW w:w="5192"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Java</w:t>
            </w:r>
          </w:p>
        </w:tc>
        <w:tc>
          <w:tcPr>
            <w:tcW w:w="519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JAV</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8">
    <w:abstractNumId w:val="96"/>
  </w:num>
  <w:num w:numId="21">
    <w:abstractNumId w:val="90"/>
  </w:num>
  <w:num w:numId="24">
    <w:abstractNumId w:val="84"/>
  </w:num>
  <w:num w:numId="27">
    <w:abstractNumId w:val="78"/>
  </w:num>
  <w:num w:numId="30">
    <w:abstractNumId w:val="72"/>
  </w:num>
  <w:num w:numId="33">
    <w:abstractNumId w:val="66"/>
  </w:num>
  <w:num w:numId="36">
    <w:abstractNumId w:val="60"/>
  </w:num>
  <w:num w:numId="39">
    <w:abstractNumId w:val="54"/>
  </w:num>
  <w:num w:numId="42">
    <w:abstractNumId w:val="48"/>
  </w:num>
  <w:num w:numId="45">
    <w:abstractNumId w:val="42"/>
  </w:num>
  <w:num w:numId="639">
    <w:abstractNumId w:val="36"/>
  </w:num>
  <w:num w:numId="643">
    <w:abstractNumId w:val="30"/>
  </w:num>
  <w:num w:numId="655">
    <w:abstractNumId w:val="24"/>
  </w:num>
  <w:num w:numId="668">
    <w:abstractNumId w:val="18"/>
  </w:num>
  <w:num w:numId="675">
    <w:abstractNumId w:val="12"/>
  </w:num>
  <w:num w:numId="680">
    <w:abstractNumId w:val="6"/>
  </w:num>
  <w:num w:numId="6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linkedin.com/pulse/understanding-hierarchy-principles-policies-standards-wally-beddoe/"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