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mc:Ignorable="w14">
  <w:body xmlns:a="http://schemas.openxmlformats.org/drawingml/2006/main" xmlns:mc="http://schemas.openxmlformats.org/markup-compatibility/2006" xmlns:ns2="http://schemas.microsoft.com/office/word/2010/word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>
    <w:p w14:paraId="78E37630" w14:textId="78E37631">
      <w:pPr>
        <w:pBdr/>
        <w:spacing w:before="60"/>
        <w:ind/>
        <w:jc w:val="center"/>
        <w:rPr>
          <w:rFonts w:ascii="黑体" w:eastAsia="黑体"/>
          <w:sz w:val="52"/>
          <w:szCs w:val="52"/>
        </w:rPr>
      </w:pPr>
      <w:r>
        <w:rPr>
          <w:rFonts w:ascii="黑体" w:eastAsia="黑体"/>
          <w:sz w:val="52"/>
          <w:szCs w:val="52"/>
        </w:rPr>
      </w:r>
      <w:r>
        <w:rPr>
          <w:rFonts w:ascii="黑体" w:eastAsia="黑体"/>
          <w:sz w:val="52"/>
          <w:szCs w:val="52"/>
        </w:rPr>
      </w:r>
      <w:r>
        <w:rPr>
          <w:rFonts w:ascii="黑体" w:eastAsia="黑体"/>
          <w:sz w:val="52"/>
          <w:szCs w:val="52"/>
        </w:rPr>
      </w:r>
    </w:p>
    <w:p w14:paraId="78E37632" w14:textId="78E37633">
      <w:pPr>
        <w:pBdr/>
        <w:spacing w:before="60"/>
        <w:ind/>
        <w:jc w:val="center"/>
        <w:rPr>
          <w:rFonts w:ascii="黑体" w:eastAsia="黑体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 xml:space="preserve">《</w:t>
      </w:r>
      <w:r>
        <w:rPr>
          <w:rFonts w:hint="eastAsia" w:ascii="黑体" w:eastAsia="黑体"/>
          <w:sz w:val="52"/>
          <w:szCs w:val="52"/>
        </w:rPr>
        <w:t xml:space="preserve">地理信息系统</w:t>
      </w:r>
      <w:r>
        <w:rPr>
          <w:rFonts w:hint="eastAsia" w:ascii="黑体" w:eastAsia="黑体"/>
          <w:sz w:val="52"/>
          <w:szCs w:val="52"/>
        </w:rPr>
        <w:t xml:space="preserve">开发</w:t>
      </w:r>
      <w:r>
        <w:rPr>
          <w:rFonts w:hint="eastAsia" w:ascii="黑体" w:eastAsia="黑体"/>
          <w:sz w:val="52"/>
          <w:szCs w:val="52"/>
        </w:rPr>
        <w:t xml:space="preserve">实习</w:t>
      </w:r>
      <w:r>
        <w:rPr>
          <w:rFonts w:hint="eastAsia" w:ascii="黑体" w:eastAsia="黑体"/>
          <w:sz w:val="52"/>
          <w:szCs w:val="52"/>
        </w:rPr>
        <w:t xml:space="preserve">》</w:t>
      </w:r>
      <w:r>
        <w:rPr>
          <w:rFonts w:hint="eastAsia" w:ascii="黑体" w:eastAsia="黑体"/>
          <w:sz w:val="52"/>
          <w:szCs w:val="52"/>
        </w:rPr>
        <w:t xml:space="preserve">报告</w:t>
      </w:r>
      <w:r>
        <w:rPr>
          <w:rFonts w:ascii="黑体" w:eastAsia="黑体"/>
          <w:sz w:val="52"/>
          <w:szCs w:val="52"/>
        </w:rPr>
      </w:r>
      <w:r>
        <w:rPr>
          <w:rFonts w:ascii="黑体" w:eastAsia="黑体"/>
          <w:sz w:val="52"/>
          <w:szCs w:val="52"/>
        </w:rPr>
      </w:r>
    </w:p>
    <w:p w14:paraId="78E37634" w14:textId="78E37635">
      <w:pPr>
        <w:pBdr/>
        <w:spacing w:before="60"/>
        <w:ind/>
        <w:jc w:val="center"/>
        <w:rPr>
          <w:rFonts w:ascii="黑体" w:eastAsia="黑体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 xml:space="preserve">地信20</w:t>
      </w:r>
      <w:r>
        <w:rPr>
          <w:rFonts w:ascii="黑体" w:eastAsia="黑体"/>
          <w:sz w:val="52"/>
          <w:szCs w:val="52"/>
        </w:rPr>
        <w:t xml:space="preserve">2</w:t>
      </w:r>
      <w:r>
        <w:rPr>
          <w:rFonts w:ascii="黑体" w:eastAsia="黑体"/>
          <w:sz w:val="52"/>
          <w:szCs w:val="52"/>
        </w:rPr>
        <w:t xml:space="preserve">3</w:t>
      </w:r>
      <w:r>
        <w:rPr>
          <w:rFonts w:hint="eastAsia" w:ascii="黑体" w:eastAsia="黑体"/>
          <w:sz w:val="52"/>
          <w:szCs w:val="52"/>
        </w:rPr>
        <w:t xml:space="preserve">级</w:t>
      </w:r>
      <w:r>
        <w:rPr>
          <w:rFonts w:ascii="黑体" w:eastAsia="黑体"/>
          <w:sz w:val="52"/>
          <w:szCs w:val="52"/>
        </w:rPr>
      </w:r>
      <w:r>
        <w:rPr>
          <w:rFonts w:ascii="黑体" w:eastAsia="黑体"/>
          <w:sz w:val="52"/>
          <w:szCs w:val="52"/>
        </w:rPr>
      </w:r>
    </w:p>
    <w:p w14:paraId="78E37636" w14:textId="78E37637">
      <w:pPr>
        <w:pBdr/>
        <w:spacing w:before="60"/>
        <w:ind w:start="1440" w:firstLine="1044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  <w:r>
        <w:rPr>
          <w:b/>
          <w:sz w:val="52"/>
          <w:szCs w:val="52"/>
        </w:rPr>
      </w:r>
      <w:r>
        <w:rPr>
          <w:b/>
          <w:sz w:val="52"/>
          <w:szCs w:val="52"/>
        </w:rPr>
      </w:r>
    </w:p>
    <w:p w14:paraId="09916D4B" w14:textId="78E37638">
      <w:pPr>
        <w:pBdr/>
        <w:spacing w:before="60"/>
        <w:ind w:start="1440" w:firstLine="643"/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8E3762F" w14:textId="78E37639">
      <w:pPr>
        <w:pBdr/>
        <w:spacing w:before="60"/>
        <w:ind w:start="1440" w:firstLine="64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606794D" w14:textId="78E3763A">
      <w:pPr>
        <w:pBdr/>
        <w:spacing w:before="60"/>
        <w:ind w:start="1440" w:firstLine="64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8A01D4C" w14:textId="78E3763B">
      <w:pPr>
        <w:pBdr/>
        <w:spacing w:before="60"/>
        <w:ind w:start="1440" w:firstLine="64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C44E7D0" w14:textId="78E3763C">
      <w:pPr>
        <w:pBdr/>
        <w:spacing w:before="60"/>
        <w:ind w:start="0"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8E3763D" w14:textId="78E3763E">
      <w:pPr>
        <w:pBdr/>
        <w:spacing w:before="60"/>
        <w:ind w:start="0"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 w14:paraId="78E3763F" w14:textId="78E37640">
      <w:pPr>
        <w:pBdr/>
        <w:spacing w:before="60"/>
        <w:ind w:start="1440" w:firstLine="5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78E37641" w14:textId="78E37642">
      <w:pPr>
        <w:suppressLineNumbers w:val="false"/>
        <w:pBdr/>
        <w:spacing w:before="60"/>
        <w:ind w:start="598" w:firstLine="280"/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pP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sz w:val="24"/>
          <w:vertAlign w:val="baseline"/>
          <w14:ligatures w14:val="none"/>
        </w:rPr>
        <w:t xml:space="preserve">    专    业：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     地理信息科学        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 </w:t>
      </w:r>
      <w:r>
        <w:rPr>
          <w:rFonts w:ascii="宋体" w:hAnsi="宋体" w:eastAsia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  <w:r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</w:p>
    <w:p w14:paraId="78E37643" w14:textId="78E37644">
      <w:pPr>
        <w:suppressLineNumbers w:val="false"/>
        <w:pBdr/>
        <w:spacing w:before="60"/>
        <w:ind w:start="598" w:firstLine="280"/>
        <w:jc w:val="left"/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pP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  班    级：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  地理信息科学2023-1班   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 </w:t>
      </w:r>
      <w:r>
        <w:rPr>
          <w:rFonts w:ascii="宋体" w:hAnsi="宋体" w:eastAsia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  <w:r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</w:p>
    <w:p w14:paraId="78E37645" w14:textId="78E37646">
      <w:pPr>
        <w:suppressLineNumbers w:val="false"/>
        <w:pBdr/>
        <w:spacing w:before="60"/>
        <w:ind w:start="598" w:firstLine="280"/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pP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  姓    名：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        冯峥嵘            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</w:t>
      </w:r>
      <w:r>
        <w:rPr>
          <w:rFonts w:ascii="宋体" w:hAnsi="宋体" w:eastAsia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  <w:r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</w:p>
    <w:p w14:paraId="78E37647" w14:textId="78E37648">
      <w:pPr>
        <w:suppressLineNumbers w:val="false"/>
        <w:pBdr/>
        <w:spacing w:before="60"/>
        <w:ind w:start="598" w:firstLine="280"/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pP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  学    号：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       07231533          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 </w:t>
      </w:r>
      <w:r>
        <w:rPr>
          <w:rFonts w:ascii="宋体" w:hAnsi="宋体" w:eastAsia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  <w:r>
        <w:rPr>
          <w:rFonts w:ascii="宋体" w:hAnsi="宋体" w:cs="宋体"/>
          <w:b w:val="0"/>
          <w:bCs w:val="0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</w:p>
    <w:p w14:paraId="78E37649" w14:textId="78E3764A">
      <w:pPr>
        <w:suppressLineNumbers w:val="false"/>
        <w:pBdr/>
        <w:spacing w:before="60"/>
        <w:ind w:start="598" w:firstLine="280"/>
        <w:rPr>
          <w:rFonts w:ascii="宋体" w:hAnsi="宋体" w:cs="宋体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pP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   组    长：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     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李兴俊</w:t>
      </w:r>
      <w:r>
        <w:rPr>
          <w:rFonts w:ascii="宋体" w:hAnsi="宋体" w:eastAsia="宋体" w:cs="宋体"/>
          <w:b w:val="0"/>
          <w:bCs w:val="0"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   </w:t>
      </w:r>
      <w:r>
        <w:rPr>
          <w:rFonts w:ascii="宋体" w:hAnsi="宋体" w:eastAsia="宋体" w:cs="宋体"/>
          <w:b/>
          <w:i w:val="0"/>
          <w:caps w:val="0"/>
          <w:smallCaps w:val="0"/>
          <w:strike w:val="0"/>
          <w:color w:val="000000" w:themeColor="text1"/>
          <w:sz w:val="24"/>
          <w:u w:val="single"/>
          <w:vertAlign w:val="baseline"/>
          <w14:ligatures w14:val="none"/>
        </w:rPr>
        <w:t xml:space="preserve">        </w:t>
      </w:r>
      <w:r>
        <w:rPr>
          <w:rFonts w:ascii="宋体" w:hAnsi="宋体" w:eastAsia="宋体" w:cs="宋体"/>
          <w:b/>
          <w:i w:val="0"/>
          <w:caps w:val="0"/>
          <w:smallCaps w:val="0"/>
          <w:strike w:val="0"/>
          <w:color w:val="000000" w:themeColor="text1"/>
          <w:sz w:val="24"/>
          <w:u w:val="none"/>
          <w:vertAlign w:val="baseline"/>
          <w14:ligatures w14:val="none"/>
        </w:rPr>
        <w:t xml:space="preserve"> </w:t>
      </w:r>
      <w:r>
        <w:rPr>
          <w:rFonts w:ascii="宋体" w:hAnsi="宋体" w:eastAsia="宋体" w:cs="宋体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  <w:r>
        <w:rPr>
          <w:rFonts w:ascii="宋体" w:hAnsi="宋体" w:cs="宋体"/>
          <w:caps w:val="0"/>
          <w:smallCaps w:val="0"/>
          <w:strike w:val="0"/>
          <w:color w:val="000000" w:themeColor="text1"/>
          <w:sz w:val="28"/>
          <w:szCs w:val="28"/>
          <w:u w:val="none"/>
          <w:vertAlign w:val="baseline"/>
          <w14:ligatures w14:val="none"/>
        </w:rPr>
      </w:r>
    </w:p>
    <w:p w14:paraId="78E3764B" w14:textId="78E3764C">
      <w:pPr>
        <w:pBdr/>
        <w:spacing w:before="60"/>
        <w:ind w:start="1440" w:firstLine="56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78E3764D" w14:textId="78E3764E">
      <w:pPr>
        <w:pBdr/>
        <w:spacing w:before="60"/>
        <w:ind w:start="1440" w:firstLine="562"/>
        <w:jc w:val="right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/>
          <w:b/>
          <w:sz w:val="28"/>
          <w:szCs w:val="28"/>
        </w:rPr>
      </w:r>
      <w:r>
        <w:rPr>
          <w:rFonts w:ascii="楷体_GB2312" w:eastAsia="楷体_GB2312"/>
          <w:b/>
          <w:sz w:val="28"/>
          <w:szCs w:val="28"/>
        </w:rPr>
      </w:r>
      <w:r>
        <w:rPr>
          <w:rFonts w:ascii="楷体_GB2312" w:eastAsia="楷体_GB2312"/>
          <w:b/>
          <w:sz w:val="28"/>
          <w:szCs w:val="28"/>
        </w:rPr>
      </w:r>
    </w:p>
    <w:p w14:paraId="1AB65901" w14:textId="78E3764F">
      <w:pPr>
        <w:pBdr/>
        <w:spacing w:before="60"/>
        <w:ind w:start="1440" w:firstLine="562"/>
        <w:jc w:val="right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/>
          <w:b/>
          <w:bCs/>
          <w:sz w:val="28"/>
          <w:szCs w:val="28"/>
        </w:rPr>
      </w:r>
      <w:r>
        <w:rPr>
          <w:rFonts w:ascii="楷体_GB2312" w:eastAsia="楷体_GB2312"/>
          <w:b/>
          <w:bCs/>
          <w:sz w:val="28"/>
          <w:szCs w:val="28"/>
        </w:rPr>
      </w:r>
      <w:r>
        <w:rPr>
          <w:rFonts w:ascii="楷体_GB2312" w:eastAsia="楷体_GB2312"/>
          <w:b/>
          <w:bCs/>
          <w:sz w:val="28"/>
          <w:szCs w:val="28"/>
        </w:rPr>
      </w:r>
    </w:p>
    <w:p w14:paraId="315FFAD3" w14:textId="78E37650">
      <w:pPr>
        <w:pBdr/>
        <w:spacing w:before="60"/>
        <w:ind w:start="1440" w:firstLine="562"/>
        <w:jc w:val="right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/>
          <w:b/>
          <w:sz w:val="28"/>
          <w:szCs w:val="28"/>
        </w:rPr>
      </w:r>
      <w:r>
        <w:rPr>
          <w:rFonts w:ascii="楷体_GB2312" w:eastAsia="楷体_GB2312"/>
          <w:b/>
          <w:sz w:val="28"/>
          <w:szCs w:val="28"/>
        </w:rPr>
      </w:r>
      <w:r>
        <w:rPr>
          <w:rFonts w:ascii="楷体_GB2312" w:eastAsia="楷体_GB2312"/>
          <w:b/>
          <w:bCs/>
          <w:sz w:val="28"/>
          <w:szCs w:val="28"/>
        </w:rPr>
      </w:r>
    </w:p>
    <w:p w14:paraId="78E37651" w14:textId="78E37652">
      <w:pPr>
        <w:pBdr/>
        <w:spacing w:before="60"/>
        <w:ind w:start="1440" w:firstLine="562"/>
        <w:jc w:val="right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/>
          <w:b/>
          <w:sz w:val="28"/>
          <w:szCs w:val="28"/>
        </w:rPr>
      </w:r>
      <w:r>
        <w:rPr>
          <w:rFonts w:ascii="楷体_GB2312" w:eastAsia="楷体_GB2312"/>
          <w:b/>
          <w:sz w:val="28"/>
          <w:szCs w:val="28"/>
        </w:rPr>
      </w:r>
      <w:r>
        <w:rPr>
          <w:rFonts w:ascii="楷体_GB2312" w:eastAsia="楷体_GB2312"/>
          <w:b/>
          <w:bCs/>
          <w:sz w:val="28"/>
          <w:szCs w:val="28"/>
        </w:rPr>
      </w:r>
    </w:p>
    <w:p w14:paraId="78E37653" w14:textId="78E37654">
      <w:pPr>
        <w:pBdr/>
        <w:spacing w:before="60"/>
        <w:ind w:start="1440" w:firstLine="801"/>
        <w:rPr>
          <w:rFonts w:ascii="华文行楷" w:eastAsia="华文行楷"/>
          <w:b/>
          <w:sz w:val="32"/>
          <w:szCs w:val="32"/>
        </w:rPr>
      </w:pPr>
      <w:r>
        <w:rPr>
          <w:rFonts w:hint="eastAsia" w:ascii="华文行楷" w:eastAsia="华文行楷"/>
          <w:b/>
          <w:sz w:val="32"/>
          <w:szCs w:val="32"/>
        </w:rPr>
        <w:t xml:space="preserve">中国矿业大学环境与测绘学院</w:t>
      </w:r>
      <w:r>
        <w:rPr>
          <w:rFonts w:ascii="华文行楷" w:eastAsia="华文行楷"/>
          <w:b/>
          <w:sz w:val="32"/>
          <w:szCs w:val="32"/>
        </w:rPr>
      </w:r>
      <w:r>
        <w:rPr>
          <w:rFonts w:ascii="华文行楷" w:eastAsia="华文行楷"/>
          <w:b/>
          <w:sz w:val="32"/>
          <w:szCs w:val="32"/>
        </w:rPr>
      </w:r>
    </w:p>
    <w:p w14:paraId="78E37655" w14:textId="78E37656">
      <w:pPr>
        <w:pBdr/>
        <w:spacing w:before="60"/>
        <w:ind w:start="1440" w:firstLine="2259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20</w:t>
      </w:r>
      <w:r>
        <w:rPr>
          <w:b/>
          <w:sz w:val="30"/>
          <w:szCs w:val="30"/>
        </w:rPr>
        <w:t xml:space="preserve">2</w:t>
      </w:r>
      <w:r>
        <w:rPr>
          <w:b/>
          <w:sz w:val="30"/>
          <w:szCs w:val="30"/>
        </w:rPr>
        <w:t xml:space="preserve">6</w:t>
      </w:r>
      <w:r>
        <w:rPr>
          <w:rFonts w:hint="eastAsia"/>
          <w:b/>
          <w:sz w:val="30"/>
          <w:szCs w:val="30"/>
        </w:rPr>
        <w:t xml:space="preserve">.0</w:t>
      </w:r>
      <w:r>
        <w:rPr>
          <w:b/>
          <w:sz w:val="30"/>
          <w:szCs w:val="30"/>
        </w:rPr>
        <w:t xml:space="preserve">6</w:t>
      </w:r>
      <w:r>
        <w:rPr>
          <w:b/>
          <w:sz w:val="30"/>
          <w:szCs w:val="30"/>
        </w:rPr>
      </w:r>
      <w:r>
        <w:rPr>
          <w:b/>
          <w:sz w:val="30"/>
          <w:szCs w:val="30"/>
        </w:rPr>
      </w:r>
    </w:p>
    <w:p w14:paraId="78E37657" w14:textId="78E37658">
      <w:pPr>
        <w:pBdr/>
        <w:spacing/>
        <w:ind/>
        <w:rPr/>
      </w:pPr>
      <w:r>
        <w:br w:type="page" w:clear="all"/>
      </w:r>
      <w:r/>
    </w:p>
    <w:p w14:paraId="78E37659" w14:textId="78E376D5">
      <w:pPr>
        <w:pBdr/>
        <w:spacing w:after="156" w:afterLines="50"/>
        <w:ind/>
        <w:jc w:val="left"/>
        <w:outlineLvl w:val="0"/>
        <w:rPr>
          <w:rFonts w:ascii="Times New Roman" w:hAnsi="Times New Roman"/>
          <w:b/>
          <w:sz w:val="36"/>
          <w:szCs w:val="36"/>
        </w:rPr>
      </w:pPr>
      <w:bookmarkStart w:name="_Toc05d58720" w:id="1"/>
      <w:r>
        <w:rPr>
          <w:rFonts w:ascii="Times New Roman" w:hAnsi="Times New Roman"/>
          <w:b/>
          <w:sz w:val="36"/>
          <w:szCs w:val="36"/>
        </w:rPr>
        <w:t xml:space="preserve">1 </w:t>
      </w:r>
      <w:r>
        <w:rPr>
          <w:rFonts w:ascii="Times New Roman" w:hAnsi="Times New Roman"/>
          <w:b/>
          <w:sz w:val="36"/>
          <w:szCs w:val="36"/>
        </w:rPr>
        <w:t xml:space="preserve">实验过程</w:t>
      </w:r>
      <w:r>
        <w:rPr>
          <w:rFonts w:ascii="Times New Roman" w:hAnsi="Times New Roman"/>
          <w:b/>
          <w:sz w:val="36"/>
          <w:szCs w:val="36"/>
        </w:rPr>
      </w:r>
      <w:r>
        <w:rPr>
          <w:rFonts w:ascii="Times New Roman" w:hAnsi="Times New Roman"/>
          <w:b/>
          <w:sz w:val="36"/>
          <w:szCs w:val="36"/>
        </w:rPr>
      </w:r>
      <w:bookmarkEnd w:id="1"/>
    </w:p>
    <w:p w14:paraId="78E3765B" w14:textId="78E3765C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本轮地理信息系统设计与开发实习自2026年6月23日正式启动，至7月11日完成全功能开发、容器化打包与多服务部署。项目组采用双人分工协作的模式，结合标准的“契约优先开发 ”设计思路，前后端分离，以保障系统整体架构的高内聚与低耦合。</w:t>
      </w:r>
      <w:r/>
    </w:p>
    <w:p w14:paraId="78E3765D" w14:textId="78E3765E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作为项目组的</w:t>
      </w:r>
      <w:r>
        <w:rPr>
          <w:rFonts w:ascii="Times New Roman" w:hAnsi="Times New Roman" w:eastAsia="宋体"/>
          <w:b w:val="0"/>
          <w:i w:val="0"/>
          <w:sz w:val="21"/>
        </w:rPr>
        <w:t xml:space="preserve">前端</w:t>
      </w:r>
      <w:r>
        <w:rPr>
          <w:rFonts w:ascii="Times New Roman" w:hAnsi="Times New Roman" w:eastAsia="宋体"/>
          <w:b w:val="0"/>
          <w:i w:val="0"/>
          <w:sz w:val="21"/>
        </w:rPr>
        <w:t xml:space="preserve">工程师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，我主要负责地图基础底座的设计与封装、前端多模式空间绘制与 Turf.js 拓扑分析、本地 OSRM 路由请求与行驶路线图层渲染，以及独立移动端公众上报页面的自适应开发。在项目后期，因业务联调和系统演示的需要，我还独立承担了全部前端工程的整合与人机交互优化，并完成了基于 rootless Podman Compose 的四服务（Nginx 静态网关、Spring Boot 业务后台、OSRM 路由引擎、PostgreSQL/PostGIS 数据库）的一键容器化编排部署与安全加固。</w:t>
      </w:r>
      <w:r/>
    </w:p>
    <w:p w14:paraId="78E3765F" w14:textId="78E37660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整个实习过程可划分为以下四个阶段：</w:t>
      </w:r>
      <w:r/>
    </w:p>
    <w:p w14:paraId="78E37661" w14:textId="78E37662">
      <w:pPr>
        <w:pStyle w:val="875"/>
        <w:numPr>
          <w:ilvl w:val="0"/>
          <w:numId w:val="3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选题规划与需求对接阶段（第1周）：项目组选定徐州市城区内涝应急处置与防汛管理为业务核心，分析徐州内涝点分布特征。小组成员共同梳理了系统的6大核心模块，并制定了标准的接口契约（IF-1至IF-8），为后续并行编码奠定基础。</w:t>
      </w:r>
      <w:r/>
    </w:p>
    <w:p w14:paraId="78E37663" w14:textId="78E37664">
      <w:pPr>
        <w:pStyle w:val="875"/>
        <w:numPr>
          <w:ilvl w:val="0"/>
          <w:numId w:val="3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WebGIS 底座与空间查询开发阶段（第2-3周）：采用 Vue 3 和 MapLibre GL JS 搭建地图基础渲染平台，将地图状态抽象为 Pinia 共享实例，提供 useMap 核心 Composable 供全局组件调用。在前端结合 Turf.js 完成缓冲区计算与动态绘制渲染，并调用后端空间查询 REST 接口。</w:t>
      </w:r>
      <w:r/>
    </w:p>
    <w:p w14:paraId="78E37665" w14:textId="78E37666">
      <w:pPr>
        <w:pStyle w:val="875"/>
        <w:numPr>
          <w:ilvl w:val="0"/>
          <w:numId w:val="3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应急派单与路线规划开发阶段（第4-5周）：引入 OSRM 本地服务实现道路级别的行驶路径计算，设计 MapLibre GeoJSON 路线流光动画。同时，对接后端工单派发、抵达与完成的状态机生命周期，实现多端 WebSocket 实时刷新。此外，额外设计开发了移动端上报页面，支持手机 Geolocation 定位及 Canvas 客户端图片压缩。</w:t>
      </w:r>
      <w:r/>
    </w:p>
    <w:p w14:paraId="78E37667" w14:textId="78E37668">
      <w:pPr>
        <w:pStyle w:val="875"/>
        <w:numPr>
          <w:ilvl w:val="0"/>
          <w:numId w:val="3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容器化编排、联调与生产构建阶段（第6-8周）：编写 up.sh 和 compose.yaml 配置文件，解决 rootless Podman 5.8.2 的用户命名空间冲突，利用 Nginx 实现同源反向代理和 CSP 安全响应头配置。排查并修复了 Vite 生产构建下 SockJS global 缺失的 Bug，进行了端到端全链路业务闭环验收。</w:t>
      </w:r>
      <w:r/>
    </w:p>
    <w:p w14:paraId="78E37669" w14:textId="78E376D6">
      <w:pPr>
        <w:pBdr/>
        <w:spacing w:before="156" w:beforeLines="50" w:after="156" w:afterLines="50"/>
        <w:ind/>
        <w:jc w:val="left"/>
        <w:outlineLvl w:val="0"/>
        <w:rPr>
          <w:rFonts w:ascii="Times New Roman" w:hAnsi="Times New Roman"/>
          <w:b/>
          <w:sz w:val="36"/>
          <w:szCs w:val="36"/>
        </w:rPr>
      </w:pPr>
      <w:bookmarkStart w:name="_Toc7f227baf" w:id="2"/>
      <w:r>
        <w:rPr>
          <w:rFonts w:hint="eastAsia" w:ascii="Times New Roman" w:hAnsi="Times New Roman"/>
          <w:b/>
          <w:sz w:val="36"/>
          <w:szCs w:val="36"/>
        </w:rPr>
        <w:t xml:space="preserve">2 </w:t>
      </w:r>
      <w:r>
        <w:rPr>
          <w:rFonts w:hint="eastAsia" w:ascii="Times New Roman" w:hAnsi="Times New Roman"/>
          <w:b/>
          <w:sz w:val="36"/>
          <w:szCs w:val="36"/>
        </w:rPr>
        <w:t xml:space="preserve">个人工作介绍</w:t>
      </w:r>
      <w:r>
        <w:rPr>
          <w:rFonts w:ascii="Times New Roman" w:hAnsi="Times New Roman"/>
          <w:b/>
          <w:sz w:val="36"/>
          <w:szCs w:val="36"/>
        </w:rPr>
      </w:r>
      <w:r>
        <w:rPr>
          <w:rFonts w:ascii="Times New Roman" w:hAnsi="Times New Roman"/>
          <w:b/>
          <w:sz w:val="36"/>
          <w:szCs w:val="36"/>
        </w:rPr>
      </w:r>
      <w:bookmarkEnd w:id="2"/>
    </w:p>
    <w:p w14:paraId="78E3766B" w14:textId="78E3766C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在此次《地理信息系统开发实习》中，我作为核心开发人员之一，积极发挥在前端 GIS 算法与系统部署配置方面的优势，主要承担并完成了以下工作职责：</w:t>
      </w:r>
      <w:r/>
    </w:p>
    <w:p w14:paraId="78E3766D" w14:textId="78E3766E">
      <w:pPr>
        <w:pStyle w:val="875"/>
        <w:numPr>
          <w:ilvl w:val="0"/>
          <w:numId w:val="4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【WebGIS核心底座封装】封装组合式函数 useMap()，统一控制 MapLibre 地图实例的生命周期、动态图层注册（registerLayer）、定位飞行及 Marker 管理，向其他业务组件和移动上报组件提供共享地图服务；</w:t>
      </w:r>
      <w:r/>
    </w:p>
    <w:p w14:paraId="78E3766F" w14:textId="78E37670">
      <w:pPr>
        <w:pStyle w:val="875"/>
        <w:numPr>
          <w:ilvl w:val="0"/>
          <w:numId w:val="4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【空间绘制与 Turf 计算】实现矩形和多边形的前端实时空间绘制交互，利用 Turf.js 按照用户输入距离在浏览器生成缓冲区几何多边形并动态绘制渲染，将分析几何发送至后端执行空间相交联合检索；</w:t>
      </w:r>
      <w:r/>
    </w:p>
    <w:p w14:paraId="78E37671" w14:textId="78E37672">
      <w:pPr>
        <w:pStyle w:val="875"/>
        <w:numPr>
          <w:ilvl w:val="0"/>
          <w:numId w:val="4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【OSRM路由及流光箭头渲染】本地化部署 OSRM 路由服务，发起异步路由请求并解析返回的折线数据，利用 MapLibre 动态图层在道路网络上渲染高科技感的流光箭头行驶路径动画；</w:t>
      </w:r>
      <w:r/>
    </w:p>
    <w:p w14:paraId="78E37673" w14:textId="78E37674">
      <w:pPr>
        <w:pStyle w:val="875"/>
        <w:numPr>
          <w:ilvl w:val="0"/>
          <w:numId w:val="4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【独立移动端公众上报页】设计适用于手机窄屏的 MobileReportApp.vue 页面，内置一键 H5 地理定位和地图中心选点交互，实现 Canvas 图片等比比例压缩，有效控制客户端上传带宽并保证后端存储安全；</w:t>
      </w:r>
      <w:r/>
    </w:p>
    <w:p w14:paraId="78E37675" w14:textId="78E37676">
      <w:pPr>
        <w:pStyle w:val="875"/>
        <w:numPr>
          <w:ilvl w:val="0"/>
          <w:numId w:val="4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【Podman与网关配置】使用 Compose 编排 PostgreSQL/PostGIS、OSRM、Spring Boot 和 Nginx 四个容器，配置 rootless 运行、健康检查及本机绑定，通过 Nginx 解决页面与 REST/WebSocket 通信的跨域问题；</w:t>
      </w:r>
      <w:r/>
    </w:p>
    <w:p w14:paraId="78E37677" w14:textId="78E376D7">
      <w:pPr>
        <w:pBdr/>
        <w:spacing w:before="156" w:beforeLines="50" w:after="156" w:afterLines="50"/>
        <w:ind/>
        <w:jc w:val="left"/>
        <w:outlineLvl w:val="0"/>
        <w:rPr>
          <w:rFonts w:ascii="Times New Roman" w:hAnsi="Times New Roman"/>
          <w:b/>
          <w:sz w:val="36"/>
          <w:szCs w:val="36"/>
        </w:rPr>
      </w:pPr>
      <w:bookmarkStart w:name="_Toc4e2cc3a8" w:id="3"/>
      <w:r/>
      <w:bookmarkStart w:name="_GoBack" w:id="0"/>
      <w:r/>
      <w:bookmarkEnd w:id="0"/>
      <w:r>
        <w:rPr>
          <w:rFonts w:hint="eastAsia" w:ascii="Times New Roman" w:hAnsi="Times New Roman"/>
          <w:b/>
          <w:sz w:val="36"/>
          <w:szCs w:val="36"/>
        </w:rPr>
        <w:t xml:space="preserve">3 </w:t>
      </w:r>
      <w:r>
        <w:rPr>
          <w:rFonts w:hint="eastAsia" w:ascii="Times New Roman" w:hAnsi="Times New Roman"/>
          <w:b/>
          <w:sz w:val="36"/>
          <w:szCs w:val="36"/>
        </w:rPr>
        <w:t xml:space="preserve">具体工作</w:t>
      </w:r>
      <w:r>
        <w:rPr>
          <w:rFonts w:ascii="Times New Roman" w:hAnsi="Times New Roman"/>
          <w:b/>
          <w:sz w:val="36"/>
          <w:szCs w:val="36"/>
        </w:rPr>
      </w:r>
      <w:r>
        <w:rPr>
          <w:rFonts w:ascii="Times New Roman" w:hAnsi="Times New Roman"/>
          <w:b/>
          <w:sz w:val="36"/>
          <w:szCs w:val="36"/>
        </w:rPr>
      </w:r>
      <w:bookmarkEnd w:id="3"/>
    </w:p>
    <w:p w14:paraId="78E37679" w14:textId="78E3767A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本系统名为“WebGIS内涝监测与应急管理系统”，主要面向徐州市城区内涝的监测预警、事件上报、资源调度及处置跟踪业务。以下是我承担的具体功能设计、编码实现与部署验收细节说明：</w:t>
      </w:r>
      <w:r/>
    </w:p>
    <w:p w14:paraId="78E3767B" w14:textId="78E376D8">
      <w:pPr>
        <w:pBdr/>
        <w:spacing w:before="40" w:after="40" w:line="300" w:lineRule="auto"/>
        <w:ind/>
        <w:outlineLvl w:val="1"/>
        <w:rPr/>
      </w:pPr>
      <w:bookmarkStart w:name="_Toc4d723bc7" w:id="4"/>
      <w:r>
        <w:rPr>
          <w:rFonts w:ascii="Times New Roman" w:hAnsi="Times New Roman" w:eastAsia="黑体"/>
          <w:b/>
          <w:i w:val="0"/>
          <w:sz w:val="22"/>
        </w:rPr>
        <w:t xml:space="preserve">3.1 地图基础底座与 useMap 封装</w:t>
      </w:r>
      <w:r/>
      <w:bookmarkEnd w:id="4"/>
    </w:p>
    <w:p w14:paraId="78E3767D" w14:textId="78E3767E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为了防止多组件并发操作地图导致实例混乱，我将 MapLibre GL JS 的底层细节进行隔离，使用 Vue 3 组合式 API 封装了 useMap() 函数。该 Composable 集中管理地图生命周期、业务 Marker、图层注册和底图切换。</w:t>
      </w:r>
      <w:r/>
    </w:p>
    <w:p w14:paraId="78E3767F" w14:textId="78E37680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在底图的选用上，项目起初尝试接入天地图 WMT</w:t>
      </w:r>
      <w:r>
        <w:rPr>
          <w:rFonts w:ascii="Times New Roman" w:hAnsi="Times New Roman" w:eastAsia="宋体"/>
          <w:b w:val="0"/>
          <w:i w:val="0"/>
          <w:sz w:val="21"/>
        </w:rPr>
        <w:t xml:space="preserve">S 服务，但由于天地图 API 对演示环境域名及请求密钥有严苛的限制，时常导致日间底图加载卡死，进而阻断了依托地图加载完成事件（map.on('load')）的 Turf 绘制等交互。为了保证演示的高可用性，我果断进行了底图重构，改用高稳定性的 osm-light 瓦片作为日间模式底图，以及 carto-dark 瓦片作为夜间模式底图，使用 useTheme() 配合全局 CSS 变量，实现了一键主题切换时地图底图与系统的同步变色联动。同时，对弹窗的属性字段统一进行 HTML 转义，保证数据渲染阶段的安全。</w:t>
      </w:r>
      <w:r/>
    </w:p>
    <w:p w14:paraId="78E37681" w14:textId="78E37682">
      <w:pPr>
        <w:keepNext/>
        <w:spacing w:before="140" w:after="60"/>
        <w:jc w:val="center"/>
      </w:pPr>
      <w:r>
        <w:drawing>
          <wp:inline>
            <wp:extent cx="5303520" cy="3314700"/>
            <wp:docPr id="5" name="图 3-1 桌面端内涝应急调度工作台" descr="图 3-1 桌面端内涝应急调度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桌面调度工作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E37683" w14:textId="78E37684">
      <w:pPr>
        <w:keepLines/>
        <w:spacing w:before="0" w:after="160"/>
        <w:jc w:val="center"/>
      </w:pPr>
      <w:r>
        <w:rPr>
          <w:sz w:val="18"/>
        </w:rPr>
        <w:t>图 3-1 桌面端内涝应急调度工作台</w:t>
      </w:r>
    </w:p>
    <w:p w14:paraId="78E37685" w14:textId="78E376D9">
      <w:pPr>
        <w:pBdr/>
        <w:spacing w:before="40" w:after="40" w:line="300" w:lineRule="auto"/>
        <w:ind/>
        <w:outlineLvl w:val="1"/>
        <w:rPr/>
      </w:pPr>
      <w:bookmarkStart w:name="_Tocc92b28b2" w:id="5"/>
      <w:r>
        <w:rPr>
          <w:rFonts w:ascii="Times New Roman" w:hAnsi="Times New Roman" w:eastAsia="黑体"/>
          <w:b/>
          <w:i w:val="0"/>
          <w:sz w:val="22"/>
        </w:rPr>
        <w:t xml:space="preserve">3.2 空间绘制、Turf 缓冲区与联合检索</w:t>
      </w:r>
      <w:r/>
      <w:bookmarkEnd w:id="5"/>
    </w:p>
    <w:p w14:paraId="78E37687" w14:textId="78E37688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空间查询模块支持矩形和多边形绘制。在绘制模式下，地图模块独占右键结束事件，以防与普通状态下的右键灾情登记产生冲突。当绘制完成后，前端将绘制几何转换为 GeoJSON，并使用 Turf.js 按照用户设定的距离即时生成缓冲区面数据，并将缓冲多边形与绘制多边形分图层渲染，为用户提供直观的空间范围反馈。</w:t>
      </w:r>
      <w:r/>
    </w:p>
    <w:p w14:paraId="78E37689" w14:textId="78E3768A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用户在确定分析范围后，前端向 `POST /api/spatial-query` 发送携带空间几何与过滤条件（设施名称、类型）的请求。后端解析入参后调用 PostGIS 的 `ST_Intersects` 算子完成联合过滤并返回 GeoJSON 要素集，前端解析要素集并联动高亮展示 Marker 及其列表。</w:t>
      </w:r>
      <w:r/>
    </w:p>
    <w:p w14:paraId="78E3768B" w14:textId="78E3768C">
      <w:pPr>
        <w:keepNext/>
        <w:spacing w:before="140" w:after="60"/>
        <w:jc w:val="center"/>
      </w:pPr>
      <w:r>
        <w:drawing>
          <wp:inline>
            <wp:extent cx="5303520" cy="3314700"/>
            <wp:docPr id="6" name="图 3-2 空间联合查询结果与地图联动" descr="图 3-2 空间联合查询结果与地图联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空间联合查询结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E3768D" w14:textId="78E3768E">
      <w:pPr>
        <w:keepLines/>
        <w:spacing w:before="0" w:after="160"/>
        <w:jc w:val="center"/>
      </w:pPr>
      <w:r>
        <w:rPr>
          <w:sz w:val="18"/>
        </w:rPr>
        <w:t>图 3-2 空间联合查询结果与地图联动</w:t>
      </w:r>
    </w:p>
    <w:p w14:paraId="78E3768F" w14:textId="78E376DA">
      <w:pPr>
        <w:pBdr/>
        <w:spacing w:before="40" w:after="40" w:line="300" w:lineRule="auto"/>
        <w:ind/>
        <w:outlineLvl w:val="1"/>
        <w:rPr/>
      </w:pPr>
      <w:bookmarkStart w:name="_Toc7d69aa0b" w:id="6"/>
      <w:r>
        <w:rPr>
          <w:rFonts w:ascii="Times New Roman" w:hAnsi="Times New Roman" w:eastAsia="黑体"/>
          <w:b/>
          <w:i w:val="0"/>
          <w:sz w:val="22"/>
        </w:rPr>
        <w:t xml:space="preserve">3.3 OSRM 调度路线计算与流光动画</w:t>
      </w:r>
      <w:r/>
      <w:bookmarkEnd w:id="6"/>
    </w:p>
    <w:p w14:paraId="78E37691" w14:textId="78E37692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>应急调度模块需要展现最优的路径规划。当调度员在列表中选择一个待派单的受灾点（工单）时，系统自动锁定该工单的 WGS84 坐标，并向本地部署的 OSRM 发起网络路径请求。前端先从空闲泵车中筛选候选资源，再请求 OSRM 结合江苏 OSM 道路网计算实际行驶路线，返回道路折线几何、预计时间和行驶距离。</w:t>
      </w:r>
      <w:r/>
    </w:p>
    <w:p w14:paraId="78E37693" w14:textId="78E37694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>前端将 Polyline 解码为 GeoJSON 折线要素，加载至地图中。为了提升人机交互质感，我利用 MapLibre 的 Layer 机制和定时更新的点要素，在道路折线上渲染顺着行驶方向移动的流光粒子，形成直观的路线动画。同时，调度台整合了资源和工单的状态机联动，每次状态转换（派单 -&gt; PROCESSING, 抵达 -&gt; ARRIVED, 完成 -&gt; COMPLETED）均通过数据库事务加锁保证并发一致，并通过 WebSocket 广播刷新。</w:t>
      </w:r>
      <w:r/>
    </w:p>
    <w:p w14:paraId="78E37695" w14:textId="78E376DB">
      <w:pPr>
        <w:pBdr/>
        <w:spacing w:before="40" w:after="40" w:line="300" w:lineRule="auto"/>
        <w:ind/>
        <w:outlineLvl w:val="1"/>
        <w:rPr/>
      </w:pPr>
      <w:bookmarkStart w:name="_Toc8c2409d1" w:id="7"/>
      <w:r>
        <w:rPr>
          <w:rFonts w:ascii="Times New Roman" w:hAnsi="Times New Roman" w:eastAsia="黑体"/>
          <w:b/>
          <w:i w:val="0"/>
          <w:sz w:val="22"/>
        </w:rPr>
        <w:t xml:space="preserve">3.4 独立移动端公众上报页</w:t>
      </w:r>
      <w:r/>
      <w:bookmarkEnd w:id="7"/>
    </w:p>
    <w:p w14:paraId="78E37697" w14:textId="78E37698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为了方便公众在发生积水时快速上报事件，我开发了 MobileReportApp.vue 移动端自适应页面。页面使用 HTML5 Geolocation 获取高精度 GPS 定位，也支持以微缩地图中心取点。表单除了上报积水深度和描述外，还支持调用摄像头拍照上传。</w:t>
      </w:r>
      <w:r/>
    </w:p>
    <w:p w14:paraId="78E37699" w14:textId="78E3769A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>为了防止大尺寸照片堵塞局域网带宽或撑爆服务器存储，我在浏览器端编写了图片压缩逻辑：在图片载入后，使用 Canvas 判定其长边；若超过 1920 像素则进行等比缩放，并以压缩后的 JPEG/WebP 文件通过 Multipart 方式上传，从而显著降低移动网络带宽和服务器存储压力。提交成功后仅保存追踪码，公众可跨设备查询处理状态。</w:t>
      </w:r>
      <w:r/>
    </w:p>
    <w:p w14:paraId="78E3769B" w14:textId="78E3769C">
      <w:pPr>
        <w:keepNext/>
        <w:spacing w:before="140" w:after="60"/>
        <w:jc w:val="center"/>
      </w:pPr>
      <w:r>
        <w:drawing>
          <wp:inline>
            <wp:extent cx="2103120" cy="3936609"/>
            <wp:docPr id="7" name="图 3-3 移动端公众积水上报页面" descr="图 3-3 移动端公众积水上报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移动端公众上报_裁剪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9366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E3769D" w14:textId="78E3769E">
      <w:pPr>
        <w:keepLines/>
        <w:spacing w:before="0" w:after="160"/>
        <w:jc w:val="center"/>
      </w:pPr>
      <w:r>
        <w:rPr>
          <w:sz w:val="18"/>
        </w:rPr>
        <w:t>图 3-3 移动端公众积水上报页面</w:t>
      </w:r>
    </w:p>
    <w:p w14:paraId="78E3769F" w14:textId="78E376DC">
      <w:pPr>
        <w:pBdr/>
        <w:spacing w:before="40" w:after="40" w:line="300" w:lineRule="auto"/>
        <w:ind/>
        <w:outlineLvl w:val="1"/>
        <w:rPr/>
      </w:pPr>
      <w:bookmarkStart w:name="_Toc37153565" w:id="8"/>
      <w:r>
        <w:rPr>
          <w:rFonts w:ascii="Times New Roman" w:hAnsi="Times New Roman" w:eastAsia="黑体"/>
          <w:b/>
          <w:i w:val="0"/>
          <w:sz w:val="22"/>
        </w:rPr>
        <w:t xml:space="preserve">3.5 Podman 多服务容器化编排部署</w:t>
      </w:r>
      <w:r/>
      <w:bookmarkEnd w:id="8"/>
    </w:p>
    <w:p w14:paraId="78E376A1" w14:textId="78E376A2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在部署阶段，为了规避不同开发机环境的冲突，我采用 Podman Compose 设计了四服务容器化架构。在 compose.yaml 中，我编排了 postgres、backend、osrm 和 nginx 四个容器，并设置了卷挂载实现数据持久化。</w:t>
      </w:r>
      <w:r/>
    </w:p>
    <w:p w14:paraId="78E376A3" w14:textId="78E376A4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部署细节与安全控制：</w:t>
      </w:r>
      <w:r/>
    </w:p>
    <w:p w14:paraId="78E376A5" w14:textId="78E376A6">
      <w:pPr>
        <w:pStyle w:val="875"/>
        <w:numPr>
          <w:ilvl w:val="0"/>
          <w:numId w:val="5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>【健康检查与依赖链】为 pg 和 backend 容器配置 healthcheck 命令，使用 depends_on 条件让 backend 在数据库完全健康后启动，OSRM 在数据预处理完成后才进入 ready 状态；</w:t>
      </w:r>
      <w:r/>
    </w:p>
    <w:p w14:paraId="78E376A7" w14:textId="78E376A8">
      <w:pPr>
        <w:pStyle w:val="875"/>
        <w:numPr>
          <w:ilvl w:val="0"/>
          <w:numId w:val="5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【安全运行保护】所有容器均使用非-root用户运行，并指定 no-new-privileges 安全选项，将端口默认绑定在宿主机回环网卡（127.0.0.1）上，避免服务对外暴露；</w:t>
      </w:r>
      <w:r/>
    </w:p>
    <w:p w14:paraId="78E376A9" w14:textId="78E376AA">
      <w:pPr>
        <w:pStyle w:val="875"/>
        <w:numPr>
          <w:ilvl w:val="0"/>
          <w:numId w:val="5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【同源网关反向代理】前端容器使用 Nginx，将 `/api`、`/ws`、`/uploads` 和 `/osrm` 代理到后端及路由服务，消除浏览器的跨域配置，且在 Nginx 中增加了速率限制（limit_req）和安全响应头（CSP、X-Frame-Options 等）配置。</w:t>
      </w:r>
      <w:r/>
    </w:p>
    <w:p w14:paraId="78E376AB" w14:textId="78E376AC">
      <w:pPr>
        <w:keepNext/>
        <w:keepLines/>
        <w:pBdr/>
        <w:spacing w:before="120" w:after="60" w:line="300" w:lineRule="auto"/>
        <w:ind/>
        <w:jc w:val="center"/>
        <w:rPr/>
      </w:pPr>
      <w:r>
        <w:drawing>
          <wp:inline>
            <wp:extent cx="5303520" cy="1190586"/>
            <wp:docPr id="3" name="Podman Compose 四服务部署拓扑图" descr="Podman Compose 四服务部署拓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Compose部署拓扑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05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E376AD" w14:textId="78E376AE">
      <w:pPr>
        <w:keepLines/>
        <w:pBdr/>
        <w:spacing w:before="0" w:after="160" w:line="300" w:lineRule="auto"/>
        <w:ind/>
        <w:jc w:val="center"/>
        <w:rPr/>
      </w:pPr>
      <w:r>
        <w:t>图 3-4 Compose 四服务部署拓扑图</w:t>
      </w:r>
    </w:p>
    <w:p w14:paraId="78E376AF" w14:textId="78E376B0">
      <w:pPr>
        <w:keepNext/>
        <w:keepLines/>
        <w:pBdr/>
        <w:spacing w:before="120" w:after="60" w:line="300" w:lineRule="auto"/>
        <w:ind/>
        <w:jc w:val="center"/>
        <w:rPr/>
      </w:pPr>
      <w:r>
        <w:drawing>
          <wp:inline>
            <wp:extent cx="5120640" cy="2279469"/>
            <wp:docPr id="4" name="应急派单、事务校验与 STOMP 广播流程图" descr="应急派单、事务校验与 STOMP 广播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应急派单流程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794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E376B1" w14:textId="78E376B2">
      <w:pPr>
        <w:keepLines/>
        <w:pBdr/>
        <w:spacing w:before="0" w:after="160" w:line="300" w:lineRule="auto"/>
        <w:ind/>
        <w:jc w:val="center"/>
        <w:rPr/>
      </w:pPr>
      <w:r>
        <w:t>图 3-5 应急派单与 OSRM 路由规划业务流程图</w:t>
      </w:r>
    </w:p>
    <w:p w14:paraId="78E376C9" w14:textId="78E376CA">
      <w:pPr/>
      <w:r>
        <w:rPr>
          <w:rFonts w:ascii="黑体" w:hAnsi="黑体" w:eastAsia="黑体"/>
          <w:b/>
          <w:sz w:val="22"/>
        </w:rPr>
        <w:t xml:space="preserve">关键代码 1：地图动态图层注册</w:t>
      </w:r>
    </w:p>
    <w:p w14:paraId="78E376CB" w14:textId="78E376CC">
      <w:pPr>
        <w:spacing w:line="300" w:lineRule="auto"/>
      </w:pPr>
      <w:r>
        <w:rPr>
          <w:rFonts w:ascii="宋体" w:hAnsi="宋体" w:eastAsia="宋体"/>
          <w:sz w:val="21"/>
        </w:rPr>
        <w:t xml:space="preserve">const registerLayer = (id: string, opts: RegisterLayerOpts) =&gt; {</w:t>
        <w:br/>
        <w:t xml:space="preserve">  const mapInst = mapStore.mapInstance</w:t>
        <w:br/>
        <w:t xml:space="preserve">  if (!mapInst) return</w:t>
        <w:br/>
        <w:t xml:space="preserve">  if (!mapInst.getSource(id)) mapInst.addSource(id, opts.source)</w:t>
        <w:br/>
        <w:t xml:space="preserve">  opts.layers.forEach(layer =&gt; {</w:t>
        <w:br/>
        <w:t xml:space="preserve">    if (!mapInst.getLayer(layer.id)) mapInst.addLayer({ ...layer, source: id })</w:t>
        <w:br/>
        <w:t xml:space="preserve">  })</w:t>
        <w:br/>
        <w:t xml:space="preserve">}</w:t>
      </w:r>
    </w:p>
    <w:p w14:paraId="78E376CD" w14:textId="78E376CE">
      <w:pPr/>
      <w:r>
        <w:rPr>
          <w:rFonts w:ascii="黑体" w:hAnsi="黑体" w:eastAsia="黑体"/>
          <w:b/>
          <w:sz w:val="22"/>
        </w:rPr>
        <w:t xml:space="preserve">关键代码 2：Turf 缓冲区计算与地图更新</w:t>
      </w:r>
    </w:p>
    <w:p w14:paraId="78E376CF" w14:textId="78E376D0">
      <w:pPr>
        <w:spacing w:line="300" w:lineRule="auto"/>
      </w:pPr>
      <w:r>
        <w:rPr>
          <w:rFonts w:ascii="宋体" w:hAnsi="宋体" w:eastAsia="宋体"/>
          <w:sz w:val="21"/>
        </w:rPr>
        <w:t xml:space="preserve">const buffered = turf.buffer(drawnGeometry.value, bufferDistance.value, {</w:t>
        <w:br/>
        <w:t xml:space="preserve">  units: 'meters'</w:t>
        <w:br/>
        <w:t xml:space="preserve">})</w:t>
        <w:br/>
        <w:t xml:space="preserve">if (buffered &amp;&amp; map.value) {</w:t>
        <w:br/>
        <w:t xml:space="preserve">  bufferGeometry.value = buffered.geometry</w:t>
        <w:br/>
        <w:t xml:space="preserve">  const source = map.value.getSource('spatial-query-buffer-source')</w:t>
        <w:br/>
        <w:t xml:space="preserve">  if (source) source.setData(buffered)</w:t>
        <w:br/>
        <w:t xml:space="preserve">}</w:t>
      </w:r>
    </w:p>
    <w:p w14:paraId="78E376D1" w14:textId="78E376D2">
      <w:pPr/>
      <w:r>
        <w:rPr>
          <w:rFonts w:ascii="黑体" w:hAnsi="黑体" w:eastAsia="黑体"/>
          <w:b/>
          <w:sz w:val="22"/>
        </w:rPr>
        <w:t xml:space="preserve">关键代码 3：OSRM 行驶路线计算</w:t>
      </w:r>
    </w:p>
    <w:p w14:paraId="78E376D3" w14:textId="78E376D4">
      <w:pPr>
        <w:spacing w:line="300" w:lineRule="auto"/>
      </w:pPr>
      <w:r>
        <w:rPr>
          <w:rFonts w:ascii="宋体" w:hAnsi="宋体" w:eastAsia="宋体"/>
          <w:sz w:val="21"/>
        </w:rPr>
        <w:t xml:space="preserve">const planRoute = async (start, end) =&gt; {</w:t>
        <w:br/>
        <w:t xml:space="preserve">  const coordinates = start.join(',') + ';' + end.join(',')</w:t>
        <w:br/>
        <w:t xml:space="preserve">  const url = '/osrm/route/v1/driving/' + coordinates</w:t>
        <w:br/>
        <w:t xml:space="preserve">    + '?overview=full&amp;geometries=geojson'</w:t>
        <w:br/>
        <w:t xml:space="preserve">  const result = await rawRequest(url)</w:t>
        <w:br/>
        <w:t xml:space="preserve">  const route = result.routes?.[0]</w:t>
        <w:br/>
        <w:t xml:space="preserve">  if (!route) throw new Error('OSRM 暂时无法生成行车路线')</w:t>
        <w:br/>
        <w:t xml:space="preserve">  return { geometry: route.geometry.coordinates, distance: route.distance }</w:t>
        <w:br/>
        <w:t xml:space="preserve">}</w:t>
      </w:r>
    </w:p>
    <w:p w14:paraId="78E376B3" w14:textId="78E376DD">
      <w:pPr>
        <w:pBdr/>
        <w:spacing w:before="156" w:beforeLines="50" w:after="156" w:afterLines="50"/>
        <w:ind/>
        <w:jc w:val="left"/>
        <w:outlineLvl w:val="0"/>
        <w:rPr>
          <w:rFonts w:ascii="Times New Roman" w:hAnsi="Times New Roman"/>
          <w:b/>
          <w:sz w:val="36"/>
          <w:szCs w:val="36"/>
        </w:rPr>
      </w:pPr>
      <w:bookmarkStart w:name="_Toc8a158b4e" w:id="9"/>
      <w:r>
        <w:rPr>
          <w:rFonts w:hint="eastAsia" w:ascii="Times New Roman" w:hAnsi="Times New Roman"/>
          <w:b/>
          <w:sz w:val="36"/>
          <w:szCs w:val="36"/>
        </w:rPr>
        <w:t xml:space="preserve">4 </w:t>
      </w:r>
      <w:r>
        <w:rPr>
          <w:rFonts w:hint="eastAsia" w:ascii="Times New Roman" w:hAnsi="Times New Roman"/>
          <w:b/>
          <w:sz w:val="36"/>
          <w:szCs w:val="36"/>
        </w:rPr>
        <w:t xml:space="preserve">总结</w:t>
      </w:r>
      <w:r>
        <w:rPr>
          <w:rFonts w:ascii="Times New Roman" w:hAnsi="Times New Roman"/>
          <w:b/>
          <w:sz w:val="36"/>
          <w:szCs w:val="36"/>
        </w:rPr>
      </w:r>
      <w:r>
        <w:rPr>
          <w:rFonts w:ascii="Times New Roman" w:hAnsi="Times New Roman"/>
          <w:b/>
          <w:sz w:val="36"/>
          <w:szCs w:val="36"/>
        </w:rPr>
      </w:r>
      <w:bookmarkEnd w:id="9"/>
    </w:p>
    <w:p w14:paraId="78E376B5" w14:textId="78E376B6">
      <w:pPr>
        <w:pBdr/>
        <w:spacing w:before="40" w:after="40" w:line="300" w:lineRule="auto"/>
        <w:ind w:firstLine="420"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本次《地理信息系统设计与开发实习》是对个人软件工程能力和 WebGIS 实践水平的一次全方位锻炼。在实习的8周时间里，我深入体验了从需求梳理、前后端接口设计，到代码编写、异常排查和生产部署的完整软件生命周期，收获如下：</w:t>
      </w:r>
      <w:r/>
    </w:p>
    <w:p w14:paraId="78E376B7" w14:textId="78E376B8">
      <w:pPr>
        <w:pStyle w:val="875"/>
        <w:numPr>
          <w:ilvl w:val="0"/>
          <w:numId w:val="6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掌握了主流 WebGIS 核心组件的应用。通过 useMap 封装和 MapLibre 实例的全局状态共享，我熟悉了 WebGL/WebGPU 底层渲染底座的设计机制；通过 Turf.js 前端空间拓扑计算和本地 OSRM 路由引擎的高效对接，我深入理解了如何规避 GCJ-02 偏移，建立原生 WGS84 的全链路空间一致性体系。</w:t>
      </w:r>
      <w:r/>
    </w:p>
    <w:p w14:paraId="78E376B9" w14:textId="78E376DE">
      <w:pPr>
        <w:pStyle w:val="875"/>
        <w:numPr>
          <w:ilvl w:val="0"/>
          <w:numId w:val="6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深化了容器化与云原生部署的实践经验。通过在 NixOS 上配置和调试 rootless Podman Compose，我克服了用户命名空间（user namespace）重映射等底层权限报错，通过配置健康检查和 Nginx 同源反向代理，对现代微服务架构的安全边界、速率限制及同源防范有了切实体会。</w:t>
      </w:r>
    </w:p>
    <w:p w14:paraId="78E376BB" w14:textId="78E376BC">
      <w:pPr>
        <w:pStyle w:val="875"/>
        <w:numPr>
          <w:ilvl w:val="0"/>
          <w:numId w:val="6"/>
        </w:numPr>
        <w:pBdr/>
        <w:spacing w:before="40" w:after="40" w:line="300" w:lineRule="auto"/>
        <w:ind/>
        <w:rPr/>
      </w:pPr>
      <w:r>
        <w:rPr>
          <w:rFonts w:ascii="Times New Roman" w:hAnsi="Times New Roman" w:eastAsia="宋体"/>
          <w:b w:val="0"/>
          <w:i w:val="0"/>
          <w:sz w:val="21"/>
        </w:rPr>
        <w:t xml:space="preserve">提升了软件排错和组件集成的意识。在项目上线调试中，我妥善解决了 Vite 打包生产包时 SockJS 缺失 global 变量的报错，并重构了天地图底图服务，确保了演示链路的极端稳定。这表明软件开发不仅是功能编写，更是环境适应与边界防范的过程。</w:t>
      </w:r>
      <w:r/>
    </w:p>
    <w:sectPr>
      <w:footerReference w:type="default" r:id="rId9"/>
      <w:footnotePr/>
      <w:endnotePr/>
      <w:type w:val="nextPage"/>
      <w:pgSz w:w="12240" w:h="15840" w:orient="portrait"/>
      <w:pgMar w:top="1440" w:right="1800" w:bottom="1440" w:left="1800" w:header="720" w:footer="720" w:gutter="0"/>
      <w:cols w:equalWidth="1" w:space="720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8E376C5" w14:textId="78E376C6">
      <w:pPr>
        <w:pBdr/>
        <w:spacing/>
        <w:ind/>
        <w:rPr/>
      </w:pPr>
      <w:r>
        <w:separator/>
      </w:r>
      <w:r/>
    </w:p>
  </w:endnote>
  <w:endnote w:type="continuationSeparator" w:id="0">
    <w:p w14:paraId="78E376C7" w14:textId="78E376C8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华文行楷">
    <w:panose1 w:val="02000506000000020000"/>
  </w:font>
  <w:font w:name="楷体_GB2312">
    <w:panose1 w:val="05040102010807070707"/>
  </w:font>
  <w:font w:name="黑体">
    <w:panose1 w:val="02000506000000020000"/>
  </w:font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Calibri">
    <w:panose1 w:val="020F0502020204030204"/>
  </w:font>
  <w:font w:name="Arial">
    <w:panose1 w:val="020B0604020202020204"/>
  </w:font>
  <w:font w:name="宋体">
    <w:panose1 w:val="0200050600000002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E376BD" w14:textId="78E376BE">
    <w:pPr>
      <w:pStyle w:val="912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 xml:space="preserve">23</w:t>
    </w:r>
    <w:r>
      <w:fldChar w:fldCharType="end"/>
    </w:r>
    <w:r/>
  </w:p>
  <w:p w14:paraId="78E376BF" w14:textId="78E376C0">
    <w:pPr>
      <w:pStyle w:val="9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8E376C1" w14:textId="78E376C2">
      <w:pPr>
        <w:pBdr/>
        <w:spacing/>
        <w:ind/>
        <w:rPr/>
      </w:pPr>
      <w:r>
        <w:separator/>
      </w:r>
      <w:r/>
    </w:p>
  </w:footnote>
  <w:footnote w:type="continuationSeparator" w:id="0">
    <w:p w14:paraId="78E376C3" w14:textId="78E376C4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mo="http://schemas.microsoft.com/office/mac/office/2008/main" xmlns:mv="urn:schemas-microsoft-com:mac:vml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start="1800" w:hanging="360"/>
      </w:p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start="1440" w:hanging="360"/>
      </w:p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start="1080" w:hanging="360"/>
      </w:p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start="720" w:hanging="360"/>
      </w:p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start="360" w:hanging="360"/>
      </w:pPr>
    </w:lvl>
  </w:abstractNum>
  <w:abstract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1">
    <w:abstractNumId w:val="8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2">
    <w:abstractNumId w:val="6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3">
    <w:abstractNumId w:val="5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4">
    <w:abstractNumId w:val="4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5">
    <w:abstractNumId w:val="7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6">
    <w:abstractNumId w:val="3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7">
    <w:abstractNumId w:val="2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8">
    <w:abstractNumId w:val="1"/>
  </w:num>
  <w:num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1">
    <w:name w:val="Heading 1"/>
    <w:basedOn w:val="908"/>
    <w:next w:val="908"/>
    <w:link w:val="860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2">
    <w:name w:val="Heading 2"/>
    <w:basedOn w:val="908"/>
    <w:next w:val="908"/>
    <w:link w:val="861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3">
    <w:name w:val="Heading 3"/>
    <w:basedOn w:val="908"/>
    <w:next w:val="908"/>
    <w:link w:val="862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4">
    <w:name w:val="Heading 4"/>
    <w:basedOn w:val="908"/>
    <w:next w:val="908"/>
    <w:link w:val="863"/>
    <w:uiPriority w:val="9"/>
    <w:unhideWhenUsed/>
    <w:qFormat/>
    <w:pPr>
      <w:keepNext w:val="true"/>
      <w:keepLines w:val="true"/>
      <w:pBdr/>
      <w:spacing w:before="80" w:after="4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5">
    <w:name w:val="Heading 5"/>
    <w:basedOn w:val="908"/>
    <w:next w:val="908"/>
    <w:link w:val="864"/>
    <w:uiPriority w:val="9"/>
    <w:unhideWhenUsed/>
    <w:qFormat/>
    <w:pPr>
      <w:keepNext w:val="true"/>
      <w:keepLines w:val="true"/>
      <w:pBdr/>
      <w:spacing w:before="80" w:after="40"/>
      <w:ind/>
      <w:outlineLvl w:val="4"/>
    </w:pPr>
    <w:rPr>
      <w:rFonts w:ascii="Arial" w:hAnsi="Arial" w:eastAsia="Arial" w:cs="Arial"/>
      <w:color w:val="0f4761" w:themeColor="accent1" w:themeShade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6">
    <w:name w:val="Heading 6"/>
    <w:basedOn w:val="908"/>
    <w:next w:val="908"/>
    <w:link w:val="865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7">
    <w:name w:val="Heading 7"/>
    <w:basedOn w:val="908"/>
    <w:next w:val="908"/>
    <w:link w:val="866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ascii="Arial" w:hAnsi="Arial" w:eastAsia="Arial" w:cs="Arial"/>
      <w:color w:val="595959" w:themeColor="text1" w:themeTint="A6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8">
    <w:name w:val="Heading 8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59">
    <w:name w:val="Heading 9"/>
    <w:basedOn w:val="908"/>
    <w:next w:val="908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0">
    <w:name w:val="Heading 1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1">
    <w:name w:val="Heading 2 Char"/>
    <w:basedOn w:val="90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2">
    <w:name w:val="Heading 3 Char"/>
    <w:basedOn w:val="909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3">
    <w:name w:val="Heading 4 Char"/>
    <w:basedOn w:val="909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4">
    <w:name w:val="Heading 5 Char"/>
    <w:basedOn w:val="909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5">
    <w:name w:val="Heading 6 Char"/>
    <w:basedOn w:val="909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6">
    <w:name w:val="Heading 7 Char"/>
    <w:basedOn w:val="909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7">
    <w:name w:val="Heading 8 Char"/>
    <w:basedOn w:val="90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68">
    <w:name w:val="Heading 9 Char"/>
    <w:basedOn w:val="909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69">
    <w:name w:val="Title"/>
    <w:basedOn w:val="908"/>
    <w:next w:val="908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70">
    <w:name w:val="Title Char"/>
    <w:basedOn w:val="90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71">
    <w:name w:val="Subtitle"/>
    <w:basedOn w:val="908"/>
    <w:next w:val="908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72">
    <w:name w:val="Subtitle Char"/>
    <w:basedOn w:val="90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73">
    <w:name w:val="Quote"/>
    <w:basedOn w:val="908"/>
    <w:next w:val="908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74">
    <w:name w:val="Quote Char"/>
    <w:basedOn w:val="90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75">
    <w:name w:val="List Paragraph"/>
    <w:basedOn w:val="908"/>
    <w:uiPriority w:val="34"/>
    <w:qFormat/>
    <w:pPr>
      <w:pBdr/>
      <w:spacing/>
      <w:ind w:start="720"/>
      <w:contextualSpacing w:val="true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76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77">
    <w:name w:val="Intense Quote"/>
    <w:basedOn w:val="908"/>
    <w:next w:val="908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i/>
      <w:iCs/>
      <w:color w:val="0f4761" w:themeColor="accent1" w:themeShade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78">
    <w:name w:val="Intense Quote Char"/>
    <w:basedOn w:val="909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79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80">
    <w:name w:val="No Spacing"/>
    <w:basedOn w:val="908"/>
    <w:uiPriority w:val="1"/>
    <w:qFormat/>
    <w:pPr>
      <w:pBdr/>
      <w:spacing w:after="0" w:line="240" w:lineRule="auto"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81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82">
    <w:name w:val="Emphasis"/>
    <w:basedOn w:val="909"/>
    <w:uiPriority w:val="20"/>
    <w:qFormat/>
    <w:pPr>
      <w:pBdr/>
      <w:spacing/>
      <w:ind/>
    </w:pPr>
    <w:rPr>
      <w:i/>
      <w:iCs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83">
    <w:name w:val="Strong"/>
    <w:basedOn w:val="909"/>
    <w:uiPriority w:val="22"/>
    <w:qFormat/>
    <w:pPr>
      <w:pBdr/>
      <w:spacing/>
      <w:ind/>
    </w:pPr>
    <w:rPr>
      <w:b/>
      <w:bCs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84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85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86">
    <w:name w:val="Header Char"/>
    <w:basedOn w:val="909"/>
    <w:link w:val="914"/>
    <w:uiPriority w:val="99"/>
    <w:pPr>
      <w:pBdr/>
      <w:spacing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87">
    <w:name w:val="Footer Char"/>
    <w:basedOn w:val="909"/>
    <w:link w:val="912"/>
    <w:uiPriority w:val="99"/>
    <w:pPr>
      <w:pBdr/>
      <w:spacing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88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89">
    <w:name w:val="footnote text"/>
    <w:basedOn w:val="908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90">
    <w:name w:val="Foot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91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92">
    <w:name w:val="endnote text"/>
    <w:basedOn w:val="908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93">
    <w:name w:val="Endnote Text Char"/>
    <w:basedOn w:val="909"/>
    <w:link w:val="892"/>
    <w:uiPriority w:val="99"/>
    <w:semiHidden/>
    <w:pPr>
      <w:pBdr/>
      <w:spacing/>
      <w:ind/>
    </w:pPr>
    <w:rPr>
      <w:sz w:val="20"/>
      <w:szCs w:val="20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94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895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97">
    <w:name w:val="toc 2"/>
    <w:basedOn w:val="908"/>
    <w:next w:val="908"/>
    <w:uiPriority w:val="39"/>
    <w:unhideWhenUsed/>
    <w:pPr>
      <w:pBdr/>
      <w:spacing w:after="100"/>
      <w:ind w:start="22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98">
    <w:name w:val="toc 3"/>
    <w:basedOn w:val="908"/>
    <w:next w:val="908"/>
    <w:uiPriority w:val="39"/>
    <w:unhideWhenUsed/>
    <w:pPr>
      <w:pBdr/>
      <w:spacing w:after="100"/>
      <w:ind w:start="44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899">
    <w:name w:val="toc 4"/>
    <w:basedOn w:val="908"/>
    <w:next w:val="908"/>
    <w:uiPriority w:val="39"/>
    <w:unhideWhenUsed/>
    <w:pPr>
      <w:pBdr/>
      <w:spacing w:after="100"/>
      <w:ind w:start="66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0">
    <w:name w:val="toc 5"/>
    <w:basedOn w:val="908"/>
    <w:next w:val="908"/>
    <w:uiPriority w:val="39"/>
    <w:unhideWhenUsed/>
    <w:pPr>
      <w:pBdr/>
      <w:spacing w:after="100"/>
      <w:ind w:start="88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1">
    <w:name w:val="toc 6"/>
    <w:basedOn w:val="908"/>
    <w:next w:val="908"/>
    <w:uiPriority w:val="39"/>
    <w:unhideWhenUsed/>
    <w:pPr>
      <w:pBdr/>
      <w:spacing w:after="100"/>
      <w:ind w:start="110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2">
    <w:name w:val="toc 7"/>
    <w:basedOn w:val="908"/>
    <w:next w:val="908"/>
    <w:uiPriority w:val="39"/>
    <w:unhideWhenUsed/>
    <w:pPr>
      <w:pBdr/>
      <w:spacing w:after="100"/>
      <w:ind w:start="132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3">
    <w:name w:val="toc 8"/>
    <w:basedOn w:val="908"/>
    <w:next w:val="908"/>
    <w:uiPriority w:val="39"/>
    <w:unhideWhenUsed/>
    <w:pPr>
      <w:pBdr/>
      <w:spacing w:after="100"/>
      <w:ind w:start="154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4">
    <w:name w:val="toc 9"/>
    <w:basedOn w:val="908"/>
    <w:next w:val="908"/>
    <w:uiPriority w:val="39"/>
    <w:unhideWhenUsed/>
    <w:pPr>
      <w:pBdr/>
      <w:spacing w:after="100"/>
      <w:ind w:start="1760"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905">
    <w:name w:val="Placeholder Text"/>
    <w:basedOn w:val="909"/>
    <w:uiPriority w:val="99"/>
    <w:semiHidden/>
    <w:pPr>
      <w:pBdr/>
      <w:spacing/>
      <w:ind/>
    </w:pPr>
    <w:rPr>
      <w:color w:val="666666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6">
    <w:name w:val="TOC Heading"/>
    <w:uiPriority w:val="39"/>
    <w:unhideWhenUsed/>
    <w:pPr>
      <w:pBdr/>
      <w:spacing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08" w:default="1">
    <w:name w:val="Normal"/>
    <w:qFormat/>
    <w:pPr>
      <w:widowControl w:val="false"/>
      <w:pBdr/>
      <w:spacing/>
      <w:ind/>
      <w:jc w:val="both"/>
    </w:pPr>
    <w:rPr>
      <w:rFonts w:ascii="Calibri" w:hAnsi="Calibri"/>
      <w:sz w:val="21"/>
      <w:szCs w:val="22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909" w:default="1">
    <w:name w:val="Default Paragraph Font"/>
    <w:uiPriority w:val="1"/>
    <w:semiHidden/>
    <w:unhideWhenUsed/>
    <w:pPr>
      <w:pBdr/>
      <w:spacing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numbering" w:styleId="911" w:default="1">
    <w:name w:val="No List"/>
    <w:uiPriority w:val="99"/>
    <w:semiHidden/>
    <w:unhideWhenUsed/>
    <w:pPr>
      <w:pBdr/>
      <w:spacing/>
      <w:ind/>
    </w:p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12">
    <w:name w:val="Footer"/>
    <w:basedOn w:val="908"/>
    <w:uiPriority w:val="99"/>
    <w:unhideWhenUsed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913">
    <w:name w:val="Hyperlink"/>
    <w:uiPriority w:val="99"/>
    <w:unhideWhenUsed/>
    <w:pPr>
      <w:pBdr/>
      <w:spacing/>
      <w:ind/>
    </w:pPr>
    <w:rPr>
      <w:color w:val="0563c1"/>
      <w:u w:val="single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paragraph" w:styleId="914">
    <w:name w:val="Header"/>
    <w:basedOn w:val="908"/>
    <w:link w:val="915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w:type="character" w:styleId="915" w:customStyle="1">
    <w:name w:val="页眉 字符"/>
    <w:basedOn w:val="909"/>
    <w:link w:val="914"/>
    <w:pPr>
      <w:pBdr/>
      <w:spacing/>
      <w:ind/>
    </w:pPr>
    <w:rPr>
      <w:rFonts w:ascii="Calibri" w:hAnsi="Calibr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8</ap:Pages>
  <ap:Application>ONLYOFFICE/9.4.0.129</ap:Application>
  <ap:DocSecurity>0</ap:DocSecurity>
  <ap:ScaleCrop>0</ap:ScaleCrop>
  <ap:Company/>
  <ap:LinksUpToDate>0</ap:LinksUpToDate>
  <ap:SharedDoc>0</ap:SharedDoc>
  <ap:HyperlinksChanged>0</ap:HyperlinksChanged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revision>10</cp:revision>
  <dcterms:created xsi:type="dcterms:W3CDTF">2023-07-22T03:35:00Z</dcterms:created>
  <dcterms:modified xsi:type="dcterms:W3CDTF">2026-07-10T23:48:03Z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2052-11.1.0.11365</vt:lpwstr>
  </op:property>
  <op:property fmtid="{D5CDD505-2E9C-101B-9397-08002B2CF9AE}" pid="3" name="ICV">
    <vt:lpwstr>CFEE510D38CE41B79249A30552D17309</vt:lpwstr>
  </op:property>
  <op:property fmtid="{D5CDD505-2E9C-101B-9397-08002B2CF9AE}" pid="4" name="OfficeCLI.Version">
    <vt:lpwstr>1.0.136</vt:lpwstr>
  </op:property>
  <op:property fmtid="{D5CDD505-2E9C-101B-9397-08002B2CF9AE}" pid="5" name="OfficeCLI.LastModified">
    <vt:lpwstr>2026-07-14T12:19:23Z</vt:lpwstr>
  </op:property>
</op:Properties>
</file>