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>委外OMS系统 - 一期PRD</w:t>
      </w:r>
    </w:p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文档说明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本文档为委外簿记OMS系统一期建设的PRD。一期范围聚焦于</w:t>
            </w:r>
            <w:r>
              <w:rPr>
                <w:rFonts w:eastAsia="等线" w:ascii="Arial" w:cs="Arial" w:hAnsi="Arial"/>
                <w:b w:val="true"/>
                <w:sz w:val="22"/>
              </w:rPr>
              <w:t>产品入池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等线" w:ascii="Arial" w:cs="Arial" w:hAnsi="Arial"/>
                <w:b w:val="true"/>
                <w:sz w:val="22"/>
              </w:rPr>
              <w:t>投资计划书上传</w:t>
            </w:r>
            <w:r>
              <w:rPr>
                <w:rFonts w:eastAsia="等线" w:ascii="Arial" w:cs="Arial" w:hAnsi="Arial"/>
                <w:sz w:val="22"/>
              </w:rPr>
              <w:t>和</w:t>
            </w:r>
            <w:r>
              <w:rPr>
                <w:rFonts w:eastAsia="等线" w:ascii="Arial" w:cs="Arial" w:hAnsi="Arial"/>
                <w:b w:val="true"/>
                <w:sz w:val="22"/>
              </w:rPr>
              <w:t>iBor权限体系对接</w:t>
            </w:r>
            <w:r>
              <w:rPr>
                <w:rFonts w:eastAsia="等线" w:ascii="Arial" w:cs="Arial" w:hAnsi="Arial"/>
                <w:sz w:val="22"/>
              </w:rPr>
              <w:t>三个核心模块。每个模块按"模块定义→业务逻辑→功能清单→功能逻辑和交互"的结构描述，可直接用于评审和开发参考。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一、项目概述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1.1 项目背景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委外簿记OMS系统用于管理委外产品的投资全流程。当前产品入池、投资计划书审批等流程依赖线下操作，效率低且缺乏系统化管理。一期建设目标是将产品入池和投资计划书审批流程线上化，并与iBor系统对接实现账户体系和权限体系的统一管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1.2 一期范围</w:t>
      </w:r>
      <w:bookmarkEnd w:id="2"/>
    </w:p>
    <w:tbl>
      <w:tblPr>
        <w:tblW w:w="0" w:type="auto"/>
        <w:tblInd w:w="0" w:type="dxa"/>
        <w:tblBorders>
          <w:top w:val="single" w:color="8ee085"/>
          <w:left w:val="single" w:color="8ee085"/>
          <w:bottom w:val="single" w:color="8ee085"/>
          <w:right w:val="single" w:color="8ee085"/>
          <w:insideH w:val="single" w:color="8ee085"/>
          <w:insideV w:val="single" w:color="8ee085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be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一期包含：</w:t>
            </w:r>
          </w:p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产品入池（含批量入池）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投资计划书上传与审批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iBor权限体系对接（账户体系同步、账套类型获取、数据权限对接）</w:t>
            </w:r>
          </w:p>
        </w:tc>
      </w:tr>
    </w:tbl>
    <w:p/>
    <w:tbl>
      <w:tblPr>
        <w:tblW w:w="0" w:type="auto"/>
        <w:tblInd w:w="0" w:type="dxa"/>
        <w:tblBorders>
          <w:top w:val="single" w:color="f98e8b"/>
          <w:left w:val="single" w:color="f98e8b"/>
          <w:bottom w:val="single" w:color="f98e8b"/>
          <w:right w:val="single" w:color="f98e8b"/>
          <w:insideH w:val="single" w:color="f98e8b"/>
          <w:insideV w:val="single" w:color="f98e8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1f1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一期不包含：</w:t>
            </w:r>
          </w:p>
          <w:p>
            <w:pPr>
              <w:numPr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交易发起与审批（二期）</w:t>
            </w:r>
          </w:p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财务核算与凭证管理（二期）</w:t>
            </w:r>
          </w:p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合同管理与推送（二期）</w:t>
            </w:r>
          </w:p>
          <w:p>
            <w:pPr>
              <w:numPr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管理人入池（次优先级，二期）</w:t>
            </w:r>
          </w:p>
          <w:p>
            <w:pPr>
              <w:numPr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iBor日终数据拉取（二期）</w:t>
            </w:r>
          </w:p>
          <w:p>
            <w:pPr>
              <w:numPr>
                <w:numId w:val="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产品出池/禁用功能（无需支持）</w:t>
            </w:r>
          </w:p>
          <w:p>
            <w:pPr>
              <w:numPr>
                <w:numId w:val="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通知中心与个人中心（二期）</w:t>
            </w:r>
          </w:p>
          <w:p>
            <w:pPr>
              <w:numPr>
                <w:numId w:val="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首页数据看板（二期）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1.3 术语定义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621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术语</w:t>
            </w:r>
          </w:p>
        </w:tc>
        <w:tc>
          <w:tcPr>
            <w:tcW w:w="6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产品入池</w:t>
            </w:r>
          </w:p>
        </w:tc>
        <w:tc>
          <w:tcPr>
            <w:tcW w:w="6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风控岗将委外产品信息录入系统并提交审批，审批通过后产品状态变为"在池"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投资计划书</w:t>
            </w:r>
          </w:p>
        </w:tc>
        <w:tc>
          <w:tcPr>
            <w:tcW w:w="6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投资经理上传的投资计划文档（PDF/Word），需关联已入池产品并提交审批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投资组</w:t>
            </w:r>
          </w:p>
        </w:tc>
        <w:tc>
          <w:tcPr>
            <w:tcW w:w="6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按业务部门划分的投资管理单元，用于隔离数据权限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内部编码</w:t>
            </w:r>
          </w:p>
        </w:tc>
        <w:tc>
          <w:tcPr>
            <w:tcW w:w="6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产品类型首字母缩写+年份+四位编号，如xt20260001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外部编码</w:t>
            </w:r>
          </w:p>
        </w:tc>
        <w:tc>
          <w:tcPr>
            <w:tcW w:w="6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对接外部系统的产品编码，选填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iBor</w:t>
            </w:r>
          </w:p>
        </w:tc>
        <w:tc>
          <w:tcPr>
            <w:tcW w:w="6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公司内部投资簿记系统，OMS的账户体系和权限体系数据源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账套类型</w:t>
            </w:r>
          </w:p>
        </w:tc>
        <w:tc>
          <w:tcPr>
            <w:tcW w:w="6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iBor中定义的账套分类，OMS从iBor获取，不在OMS中手动维护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二、核心工作流程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2.1 产品入池流程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1. 风控岗提交产品入池申请（填写产品基础信息，无需关联计划书）</w:t>
              <w:br/>
              <w:t xml:space="preserve">       │</w:t>
              <w:br/>
              <w:t xml:space="preserve">       ▼</w:t>
              <w:br/>
              <w:t>2. 审批中心进入「产品入池审批」流程：</w:t>
              <w:br/>
              <w:t xml:space="preserve">   风控提交 → 产品入池生效</w:t>
              <w:br/>
              <w:t xml:space="preserve">       │</w:t>
              <w:br/>
              <w:t xml:space="preserve">       ▼ (通过)</w:t>
              <w:br/>
            </w:r>
            <w:r>
              <w:rPr>
                <w:rFonts w:eastAsia="Consolas" w:ascii="Consolas" w:cs="Consolas" w:hAnsi="Consolas"/>
                <w:sz w:val="22"/>
              </w:rPr>
              <w:t>3. 产品状态变更为「在池」，后续投资经理可在计划书中关联该产品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2.2 投资计划书上传与审批流程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1. 投资经理上传投资计划书（PDF/Word），从已入池产品中选择关联产品</w:t>
              <w:br/>
              <w:t xml:space="preserve">       │</w:t>
              <w:br/>
              <w:t xml:space="preserve">       ▼</w:t>
              <w:br/>
              <w:t>2. 投资经理为每份投资计划书选择关联的投资组（一个计划书关联一个投资组），提交审批</w:t>
              <w:br/>
              <w:t xml:space="preserve">       │</w:t>
              <w:br/>
              <w:t xml:space="preserve">       ▼</w:t>
              <w:br/>
              <w:t>3. 审批中心进入「投资计划书审批」流程：</w:t>
              <w:br/>
              <w:t xml:space="preserve">   投资经理提交 → 风控审批 → 部门负责人审批</w:t>
              <w:br/>
              <w:t xml:space="preserve">       │</w:t>
              <w:br/>
              <w:t xml:space="preserve">       ▼ (全部通过)</w:t>
              <w:br/>
            </w:r>
            <w:r>
              <w:rPr>
                <w:rFonts w:eastAsia="Consolas" w:ascii="Consolas" w:cs="Consolas" w:hAnsi="Consolas"/>
                <w:sz w:val="22"/>
              </w:rPr>
              <w:t>4. 计划书状态变更为「已通过」，关联产品可发起交易（二期实现）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2.3 iBor权限体系对接流程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iBor系统 ──── OMS启动时/定时同步 ────▶ OMS系统</w:t>
              <w:br/>
              <w:t xml:space="preserve">       │</w:t>
              <w:br/>
              <w:t xml:space="preserve">       ├─ 同步账户体系（用户、部门）</w:t>
              <w:br/>
              <w:t xml:space="preserve">       │    └─ 映射为OMS用户表、部门树</w:t>
              <w:br/>
              <w:t xml:space="preserve">       │</w:t>
              <w:br/>
              <w:t xml:space="preserve">       ├─ 同步账套类型</w:t>
              <w:br/>
              <w:t xml:space="preserve">       │    └─ 映射为OMS产品类型选项</w:t>
              <w:br/>
              <w:t xml:space="preserve">       │</w:t>
              <w:br/>
              <w:t xml:space="preserve">       └─ 同步数据权限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└─ 按一级业务部门划分数据可见范围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三、模块一：产品入池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3.1 模块定义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入池模块是OMS系统的数据基础模块，负责将委外产品信息录入系统并纳入产品池管理。产品入池是投资计划书上传的前置条件——只有已入池的产品才能被投资计划书关联。该模块解决的核心问题是：将线下散落的产品信息统一线上管理，建立产品池，为后续投资计划书和交易流程提供产品数据基础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3.2 业务逻辑</w:t>
      </w:r>
      <w:bookmarkEnd w:id="10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入池前置条件</w:t>
      </w:r>
      <w:r>
        <w:rPr>
          <w:rFonts w:eastAsia="等线" w:ascii="Arial" w:cs="Arial" w:hAnsi="Arial"/>
          <w:sz w:val="22"/>
        </w:rPr>
        <w:t>：产品入池需经过风控岗提交审批流程，审批通过后产品状态变为"在池"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编码规则</w:t>
      </w:r>
      <w:r>
        <w:rPr>
          <w:rFonts w:eastAsia="等线" w:ascii="Arial" w:cs="Arial" w:hAnsi="Arial"/>
          <w:sz w:val="22"/>
        </w:rPr>
        <w:t>：产品分外部编码和内部编码。外部编码为选填，用于对接外部系统；内部编码为必填，规则为产品类型首字母缩写+年份+四位编号（如xt20260001），确保唯一性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投资组分配</w:t>
      </w:r>
      <w:r>
        <w:rPr>
          <w:rFonts w:eastAsia="等线" w:ascii="Arial" w:cs="Arial" w:hAnsi="Arial"/>
          <w:sz w:val="22"/>
        </w:rPr>
        <w:t>：产品在入池时即分配投资组，后续交易模块无需再次填写。投资组决定了该产品的数据可见范围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批量入池</w:t>
      </w:r>
      <w:r>
        <w:rPr>
          <w:rFonts w:eastAsia="等线" w:ascii="Arial" w:cs="Arial" w:hAnsi="Arial"/>
          <w:sz w:val="22"/>
        </w:rPr>
        <w:t>：支持风控岗通过Excel模板批量导入多个产品，一次性提交入池申请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不可逆性</w:t>
      </w:r>
      <w:r>
        <w:rPr>
          <w:rFonts w:eastAsia="等线" w:ascii="Arial" w:cs="Arial" w:hAnsi="Arial"/>
          <w:sz w:val="22"/>
        </w:rPr>
        <w:t>：无需支持产品出池或禁用功能，产品入池后状态仅可向前流转（无计划→在投）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2775"/>
        <w:gridCol w:w="198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</w:t>
            </w:r>
          </w:p>
        </w:tc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含义</w:t>
            </w:r>
          </w:p>
        </w:tc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可流转到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无计划</w:t>
            </w:r>
          </w:p>
        </w:tc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产品已入池，无执行中的投资计划书，可创建新计划</w:t>
            </w:r>
          </w:p>
        </w:tc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在投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在投</w:t>
            </w:r>
          </w:p>
        </w:tc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有已审批通过且执行中的投资计划书</w:t>
            </w:r>
          </w:p>
        </w:tc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无计划</w:t>
            </w:r>
          </w:p>
        </w:tc>
      </w:tr>
    </w:tbl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产品类型来源</w:t>
      </w:r>
      <w:r>
        <w:rPr>
          <w:rFonts w:eastAsia="等线" w:ascii="Arial" w:cs="Arial" w:hAnsi="Arial"/>
          <w:sz w:val="22"/>
        </w:rPr>
        <w:t>：产品类型选项的枚举值从iBor同步的账套类型获取，不在OMS中手动维护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数据权限</w:t>
      </w:r>
      <w:r>
        <w:rPr>
          <w:rFonts w:eastAsia="等线" w:ascii="Arial" w:cs="Arial" w:hAnsi="Arial"/>
          <w:sz w:val="22"/>
        </w:rPr>
        <w:t>：产品列表按用户数据权限过滤——投资经理/交易员看本投资组，部门领导/风控看本一级部门，公司领导看全部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3.3 功能清单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621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</w:t>
            </w:r>
          </w:p>
        </w:tc>
        <w:tc>
          <w:tcPr>
            <w:tcW w:w="6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产品列表</w:t>
            </w:r>
          </w:p>
        </w:tc>
        <w:tc>
          <w:tcPr>
            <w:tcW w:w="6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展示产品池中所有产品，支持搜索、筛选、排序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添加产品</w:t>
            </w:r>
          </w:p>
        </w:tc>
        <w:tc>
          <w:tcPr>
            <w:tcW w:w="6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风控角色新增产品入池，填写产品基础信息并分配投资组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批量入池</w:t>
            </w:r>
          </w:p>
        </w:tc>
        <w:tc>
          <w:tcPr>
            <w:tcW w:w="6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风控角色通过Excel模板批量导入多个产品入池申请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编辑产品</w:t>
            </w:r>
          </w:p>
        </w:tc>
        <w:tc>
          <w:tcPr>
            <w:tcW w:w="6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风控角色编辑待投状态的产品基础信息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产品详情</w:t>
            </w:r>
          </w:p>
        </w:tc>
        <w:tc>
          <w:tcPr>
            <w:tcW w:w="6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查看产品完整信息、净值记录、变更日志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3.4 功能逻辑和交互</w:t>
      </w:r>
      <w:bookmarkEnd w:id="1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3.4.1 产品列表页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页面路径</w:t>
      </w:r>
      <w:r>
        <w:rPr>
          <w:rFonts w:eastAsia="等线" w:ascii="Arial" w:cs="Arial" w:hAnsi="Arial"/>
          <w:sz w:val="22"/>
        </w:rPr>
        <w:t>：侧边栏 → 产品管理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页面结构</w:t>
      </w:r>
      <w:r>
        <w:rPr>
          <w:rFonts w:eastAsia="等线" w:ascii="Arial" w:cs="Arial" w:hAnsi="Arial"/>
          <w:sz w:val="22"/>
        </w:rPr>
        <w:t>：顶部操作栏（搜索框+筛选条件+操作按钮）→ 表格区域 → 底部分页器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操作栏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搜索框</w:t>
      </w:r>
      <w:r>
        <w:rPr>
          <w:rFonts w:eastAsia="等线" w:ascii="Arial" w:cs="Arial" w:hAnsi="Arial"/>
          <w:sz w:val="22"/>
        </w:rPr>
        <w:t>：输入关键词实时搜索（防抖300ms），搜索范围覆盖产品ID、产品名称、内部编码、外部编码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产品类型筛选</w:t>
      </w:r>
      <w:r>
        <w:rPr>
          <w:rFonts w:eastAsia="等线" w:ascii="Arial" w:cs="Arial" w:hAnsi="Arial"/>
          <w:sz w:val="22"/>
        </w:rPr>
        <w:t>：下拉选项从iBor同步的账套类型获取（ABS/信托/专户资管/票据/碳金融等）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投资状态筛选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  <w:t xml:space="preserve">下拉选项 </w:t>
      </w:r>
      <w:r>
        <w:rPr>
          <w:rFonts w:eastAsia="等线" w:ascii="Arial" w:cs="Arial" w:hAnsi="Arial"/>
          <w:sz w:val="22"/>
        </w:rPr>
        <w:t>无计划</w:t>
      </w:r>
      <w:r>
        <w:rPr>
          <w:rFonts w:eastAsia="等线" w:ascii="Arial" w:cs="Arial" w:hAnsi="Arial"/>
          <w:sz w:val="22"/>
        </w:rPr>
        <w:t>/</w:t>
      </w:r>
      <w:r>
        <w:rPr>
          <w:rFonts w:eastAsia="等线" w:ascii="Arial" w:cs="Arial" w:hAnsi="Arial"/>
          <w:sz w:val="22"/>
        </w:rPr>
        <w:t>在投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多条件AND关系</w:t>
      </w:r>
      <w:r>
        <w:rPr>
          <w:rFonts w:eastAsia="等线" w:ascii="Arial" w:cs="Arial" w:hAnsi="Arial"/>
          <w:sz w:val="22"/>
        </w:rPr>
        <w:t>， 支持多选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「添加产品」按钮</w:t>
      </w:r>
      <w:r>
        <w:rPr>
          <w:rFonts w:eastAsia="等线" w:ascii="Arial" w:cs="Arial" w:hAnsi="Arial"/>
          <w:sz w:val="22"/>
        </w:rPr>
        <w:t>：仅风控角色可见可点击，点击弹出添加产品弹窗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「批量入池」按钮</w:t>
      </w:r>
      <w:r>
        <w:rPr>
          <w:rFonts w:eastAsia="等线" w:ascii="Arial" w:cs="Arial" w:hAnsi="Arial"/>
          <w:sz w:val="22"/>
        </w:rPr>
        <w:t>：仅风控角色可见可点击，点击弹出批量入池弹窗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表格列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850"/>
        <w:gridCol w:w="4500"/>
      </w:tblGrid>
      <w:tr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列名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展示规则</w:t>
            </w:r>
          </w:p>
        </w:tc>
      </w:tr>
      <w:tr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产品ID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展示系统自动生成的编码</w:t>
            </w:r>
          </w:p>
        </w:tc>
      </w:tr>
      <w:tr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产品名称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可点击，跳转产品详情页</w:t>
            </w:r>
          </w:p>
        </w:tc>
      </w:tr>
      <w:tr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内部编码（衡泰代码等）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等宽字体显示，无则显示"—"</w:t>
            </w:r>
          </w:p>
        </w:tc>
      </w:tr>
      <w:tr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外部编码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无则显示"—"</w:t>
            </w:r>
          </w:p>
        </w:tc>
      </w:tr>
      <w:tr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产品类型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标签样式展示</w:t>
            </w:r>
          </w:p>
        </w:tc>
      </w:tr>
      <w:tr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账套类型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标签样式展示</w:t>
            </w:r>
          </w:p>
        </w:tc>
      </w:tr>
      <w:tr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投资状态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状态徽章：在投(绿)/无计划(灰)</w:t>
            </w:r>
          </w:p>
        </w:tc>
      </w:tr>
      <w:tr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单位净值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4位小数，等宽字体，hover时展示真实值，若不足四位则单位格内补零</w:t>
            </w:r>
          </w:p>
        </w:tc>
      </w:tr>
      <w:tr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最新净值日期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YYYY-MM-DD</w:t>
            </w:r>
          </w:p>
        </w:tc>
      </w:tr>
      <w:tr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投资组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投资组名称</w:t>
            </w:r>
          </w:p>
        </w:tc>
      </w:tr>
      <w:tr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入池日期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YYYY-MM-DD</w:t>
            </w:r>
          </w:p>
        </w:tc>
      </w:tr>
      <w:tr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详情（均可见）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编辑（风控可见）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发起交易（交易员可见）——本期点击后无逻辑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其他角色无操作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其他交互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  <w:t>点击列头可排序，默认按最新净值日期倒序</w:t>
      </w:r>
      <w:r>
        <w:rPr>
          <w:rFonts w:eastAsia="等线" w:ascii="Arial" w:cs="Arial" w:hAnsi="Arial"/>
          <w:sz w:val="22"/>
        </w:rPr>
        <w:t>，如果无净值，按入池时间排序，由新到旧，分页带入当前排序，不需要持久化</w:t>
      </w:r>
      <w:r>
        <w:rPr>
          <w:rFonts w:eastAsia="等线" w:ascii="Arial" w:cs="Arial" w:hAnsi="Arial"/>
          <w:sz w:val="22"/>
        </w:rPr>
        <w:t>；</w:t>
      </w:r>
      <w:r>
        <w:rPr>
          <w:rFonts w:eastAsia="等线" w:ascii="Arial" w:cs="Arial" w:hAnsi="Arial"/>
          <w:sz w:val="22"/>
        </w:rPr>
        <w:t>目前只有最新净值日期和入池日期支持手动排序；</w:t>
      </w:r>
      <w:r>
        <w:rPr>
          <w:rFonts w:eastAsia="等线" w:ascii="Arial" w:cs="Arial" w:hAnsi="Arial"/>
          <w:sz w:val="22"/>
        </w:rPr>
        <w:t>每页20条，底部分页器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3.4.2 添加产品弹窗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触发</w:t>
      </w:r>
      <w:r>
        <w:rPr>
          <w:rFonts w:eastAsia="等线" w:ascii="Arial" w:cs="Arial" w:hAnsi="Arial"/>
          <w:sz w:val="22"/>
        </w:rPr>
        <w:t>：产品列表页点击「添加产品」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弹窗</w:t>
      </w:r>
      <w:r>
        <w:rPr>
          <w:rFonts w:eastAsia="等线" w:ascii="Arial" w:cs="Arial" w:hAnsi="Arial"/>
          <w:sz w:val="22"/>
        </w:rPr>
        <w:t>：640px宽，居中，遮罩层点击不关闭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表单字段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30"/>
        <w:gridCol w:w="1020"/>
        <w:gridCol w:w="615"/>
        <w:gridCol w:w="5415"/>
      </w:tblGrid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组件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5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校验规则与交互</w:t>
            </w:r>
          </w:p>
        </w:tc>
      </w:tr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产品名称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Input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5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最大100字符，失焦校验非空，为空红框+提示"请输入产品名称"</w:t>
            </w:r>
          </w:p>
        </w:tc>
      </w:tr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内部编码（不展示）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Input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5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历史数据读取衡泰编码，新入池产品自动生成编码，规则为“账套类型首字母缩写+日期+该账套类型中该产品今年编号”，例如“XT20260618001”</w:t>
            </w:r>
          </w:p>
        </w:tc>
      </w:tr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外部编码（选填）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Input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5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手动输入，用于在事后确认外部统一编号后手动录入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产品类型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Select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5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枚举值：</w:t>
            </w:r>
          </w:p>
        </w:tc>
      </w:tr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账套类型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Select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5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选项从iBor同步的账套类型获取</w:t>
            </w:r>
          </w:p>
        </w:tc>
      </w:tr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投资组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Select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5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下拉选择投资组（从iBor同步），按用户权限过滤，即对应投资者和投资经理和交易员可见</w:t>
            </w:r>
          </w:p>
        </w:tc>
      </w:tr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产品描述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Textarea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5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最大500字符，3行高度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弹窗按钮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取消</w:t>
      </w:r>
      <w:r>
        <w:rPr>
          <w:rFonts w:eastAsia="等线" w:ascii="Arial" w:cs="Arial" w:hAnsi="Arial"/>
          <w:sz w:val="22"/>
        </w:rPr>
        <w:t>：关闭弹窗，有内容时弹出二次确认"确认放弃已填写的内容？"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保存草稿</w:t>
      </w:r>
      <w:r>
        <w:rPr>
          <w:rFonts w:eastAsia="等线" w:ascii="Arial" w:cs="Arial" w:hAnsi="Arial"/>
          <w:sz w:val="22"/>
        </w:rPr>
        <w:t>：保存产品，状态为"待投"，不入池，提示"产品已保存为草稿"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提交入池</w:t>
      </w:r>
      <w:r>
        <w:rPr>
          <w:rFonts w:eastAsia="等线" w:ascii="Arial" w:cs="Arial" w:hAnsi="Arial"/>
          <w:sz w:val="22"/>
        </w:rPr>
        <w:t>：校验全部必填字段→提交→关闭弹窗→列表刷新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3.4.3 批量入池弹窗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触发</w:t>
      </w:r>
      <w:r>
        <w:rPr>
          <w:rFonts w:eastAsia="等线" w:ascii="Arial" w:cs="Arial" w:hAnsi="Arial"/>
          <w:sz w:val="22"/>
        </w:rPr>
        <w:t>：产品列表页点击「批量入池」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弹窗</w:t>
      </w:r>
      <w:r>
        <w:rPr>
          <w:rFonts w:eastAsia="等线" w:ascii="Arial" w:cs="Arial" w:hAnsi="Arial"/>
          <w:sz w:val="22"/>
        </w:rPr>
        <w:t>：800px宽，居中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上传区域</w:t>
      </w:r>
      <w:r>
        <w:rPr>
          <w:rFonts w:eastAsia="等线" w:ascii="Arial" w:cs="Arial" w:hAnsi="Arial"/>
          <w:sz w:val="22"/>
        </w:rPr>
        <w:t>：拖拽或点击上传Excel（.xlsx），提供"下载导入模板"链接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文件校验</w:t>
      </w:r>
      <w:r>
        <w:rPr>
          <w:rFonts w:eastAsia="等线" w:ascii="Arial" w:cs="Arial" w:hAnsi="Arial"/>
          <w:sz w:val="22"/>
        </w:rPr>
        <w:t>：上传后自动校验——文件格式是否xlsx、必填字段是否完整、内部编码格式是否正确、内部编码是否重复、产品类型是否在iBor同步的账套类型中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校验结果</w:t>
      </w:r>
      <w:r>
        <w:rPr>
          <w:rFonts w:eastAsia="等线" w:ascii="Arial" w:cs="Arial" w:hAnsi="Arial"/>
          <w:sz w:val="22"/>
        </w:rPr>
        <w:t>：通过显示绿色✅"校验通过，共N条数据"；失败显示红色❌"校验失败，共M条错误"+错误明细表格（行号+错误原因）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数据预览</w:t>
      </w:r>
      <w:r>
        <w:rPr>
          <w:rFonts w:eastAsia="等线" w:ascii="Arial" w:cs="Arial" w:hAnsi="Arial"/>
          <w:sz w:val="22"/>
        </w:rPr>
        <w:t>：校验通过后展示前10行预览表格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模版：</w:t>
      </w:r>
      <w:hyperlink r:id="rId5">
        <w:r>
          <w:rPr>
            <w:rFonts w:eastAsia="等线" w:ascii="Arial" w:cs="Arial" w:hAnsi="Arial"/>
            <w:b w:val="true"/>
            <w:color w:val="3370ff"/>
            <w:sz w:val="22"/>
          </w:rPr>
          <w:t>oms产品批量入池模板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弹窗按钮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取消</w:t>
      </w:r>
      <w:r>
        <w:rPr>
          <w:rFonts w:eastAsia="等线" w:ascii="Arial" w:cs="Arial" w:hAnsi="Arial"/>
          <w:sz w:val="22"/>
        </w:rPr>
        <w:t>：关闭弹窗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确认入池</w:t>
      </w:r>
      <w:r>
        <w:rPr>
          <w:rFonts w:eastAsia="等线" w:ascii="Arial" w:cs="Arial" w:hAnsi="Arial"/>
          <w:sz w:val="22"/>
        </w:rPr>
        <w:t>：校验通过后可点击→二次确认"确认批量提交N个产品入池申请？"→批量创建并提交审批→关闭弹窗→列表刷新→提示"已批量提交N个产品入池申请"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3.4.4 编辑产品弹窗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触发</w:t>
      </w:r>
      <w:r>
        <w:rPr>
          <w:rFonts w:eastAsia="等线" w:ascii="Arial" w:cs="Arial" w:hAnsi="Arial"/>
          <w:sz w:val="22"/>
        </w:rPr>
        <w:t>：产品列表页操作列点击「编辑」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弹窗</w:t>
      </w:r>
      <w:r>
        <w:rPr>
          <w:rFonts w:eastAsia="等线" w:ascii="Arial" w:cs="Arial" w:hAnsi="Arial"/>
          <w:sz w:val="22"/>
        </w:rPr>
        <w:t>：与添加产品弹窗一致，字段预填当前值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差异</w:t>
      </w:r>
      <w:r>
        <w:rPr>
          <w:rFonts w:eastAsia="等线" w:ascii="Arial" w:cs="Arial" w:hAnsi="Arial"/>
          <w:sz w:val="22"/>
        </w:rPr>
        <w:t>：在投状态下，仅外部编码、产品描述可编辑。无计划状态下，均可进行编辑。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3.4.5 产品详情页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触发</w:t>
      </w:r>
      <w:r>
        <w:rPr>
          <w:rFonts w:eastAsia="等线" w:ascii="Arial" w:cs="Arial" w:hAnsi="Arial"/>
          <w:sz w:val="22"/>
        </w:rPr>
        <w:t>：产品列表页点击产品ID或产品名称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页面结构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面包屑</w:t>
      </w:r>
      <w:r>
        <w:rPr>
          <w:rFonts w:eastAsia="等线" w:ascii="Arial" w:cs="Arial" w:hAnsi="Arial"/>
          <w:sz w:val="22"/>
        </w:rPr>
        <w:t>：产品管理 &gt; 产品详情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基础信息卡片</w:t>
      </w:r>
      <w:r>
        <w:rPr>
          <w:rFonts w:eastAsia="等线" w:ascii="Arial" w:cs="Arial" w:hAnsi="Arial"/>
          <w:sz w:val="22"/>
        </w:rPr>
        <w:t>：两列布局展示全部字段，</w:t>
      </w:r>
      <w:r>
        <w:rPr>
          <w:rFonts w:eastAsia="等线" w:ascii="Arial" w:cs="Arial" w:hAnsi="Arial"/>
          <w:sz w:val="22"/>
        </w:rPr>
        <w:t>右上角「编辑」按钮</w:t>
      </w:r>
      <w:r>
        <w:rPr>
          <w:rFonts w:eastAsia="等线" w:ascii="Arial" w:cs="Arial" w:hAnsi="Arial"/>
          <w:sz w:val="22"/>
        </w:rPr>
        <w:t>（风控人员+无计划状态可见），与新增弹窗一致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净值记录卡片</w:t>
      </w:r>
      <w:r>
        <w:rPr>
          <w:rFonts w:eastAsia="等线" w:ascii="Arial" w:cs="Arial" w:hAnsi="Arial"/>
          <w:sz w:val="22"/>
        </w:rPr>
        <w:t>：表格展示历史净值（日期+单位净值+累计净值），</w:t>
      </w:r>
      <w:r>
        <w:rPr>
          <w:rFonts w:eastAsia="等线" w:ascii="Arial" w:cs="Arial" w:hAnsi="Arial"/>
          <w:sz w:val="22"/>
        </w:rPr>
        <w:t>从iBor同步（后续版本对接）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变更日志卡片</w:t>
      </w:r>
      <w:r>
        <w:rPr>
          <w:rFonts w:eastAsia="等线" w:ascii="Arial" w:cs="Arial" w:hAnsi="Arial"/>
          <w:sz w:val="22"/>
        </w:rPr>
        <w:t>：时间线展示字段变更记录（变更时间+操作人+变更字段+变更前→变更后）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四、模块二：投资计划书上传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20260212“第一创业天玑13号”投资计划书.docx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4.1 模块定义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投资计划书上传模块是连接产品池和交易流程的桥梁模块，负责投资计划书的上传、关联产品、提交审批和状态管理。该模块解决的核心问题是：将投资经理的投资意向（计划书）与已入池产品进行关联，通过审批流程确认投资计划的合规性，为后续交易发起提供依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4.2 业务逻辑</w:t>
      </w:r>
      <w:bookmarkEnd w:id="20"/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前置依赖</w:t>
      </w:r>
      <w:r>
        <w:rPr>
          <w:rFonts w:eastAsia="等线" w:ascii="Arial" w:cs="Arial" w:hAnsi="Arial"/>
          <w:sz w:val="22"/>
        </w:rPr>
        <w:t>：产品入池是计划书上传的前置条件——投资经理只能从已入池（在投状态）的产品中选择关联产品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投资组绑定</w:t>
      </w:r>
      <w:r>
        <w:rPr>
          <w:rFonts w:eastAsia="等线" w:ascii="Arial" w:cs="Arial" w:hAnsi="Arial"/>
          <w:sz w:val="22"/>
        </w:rPr>
        <w:t>：选择关联产品后自动填充该产品的投资组，一个计划书对应一个投资组，不可修改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审批流程</w:t>
      </w:r>
      <w:r>
        <w:rPr>
          <w:rFonts w:eastAsia="等线" w:ascii="Arial" w:cs="Arial" w:hAnsi="Arial"/>
          <w:sz w:val="22"/>
        </w:rPr>
        <w:t>：投资经理提交 → 风控审批 → 部门负责人审批，全部通过后计划书状态变为"已通过"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驳回重提</w:t>
      </w:r>
      <w:r>
        <w:rPr>
          <w:rFonts w:eastAsia="等线" w:ascii="Arial" w:cs="Arial" w:hAnsi="Arial"/>
          <w:sz w:val="22"/>
        </w:rPr>
        <w:t>：审批被驳回后，投资经理可修改内容重新提交，重新提交后走完整审批流程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撤回机制</w:t>
      </w:r>
      <w:r>
        <w:rPr>
          <w:rFonts w:eastAsia="等线" w:ascii="Arial" w:cs="Arial" w:hAnsi="Arial"/>
          <w:sz w:val="22"/>
        </w:rPr>
        <w:t>：待审批状态下，发起人可撤回申请，撤回后状态变为"草稿"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附件管理</w:t>
      </w:r>
      <w:r>
        <w:rPr>
          <w:rFonts w:eastAsia="等线" w:ascii="Arial" w:cs="Arial" w:hAnsi="Arial"/>
          <w:sz w:val="22"/>
        </w:rPr>
        <w:t>：计划书附件支持PDF/Word格式，单文件最大50MB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数据权限</w:t>
      </w:r>
      <w:r>
        <w:rPr>
          <w:rFonts w:eastAsia="等线" w:ascii="Arial" w:cs="Arial" w:hAnsi="Arial"/>
          <w:sz w:val="22"/>
        </w:rPr>
        <w:t>：计划书列表按用户数据权限过滤——投资经理/交易员看本投资组，部门领导/风控看本一级部门，公司领导看全部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4.3 功能清单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621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</w:t>
            </w:r>
          </w:p>
        </w:tc>
        <w:tc>
          <w:tcPr>
            <w:tcW w:w="6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计划书列表</w:t>
            </w:r>
          </w:p>
        </w:tc>
        <w:tc>
          <w:tcPr>
            <w:tcW w:w="6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展示当前用户权限范围内的投资计划书，支持搜索、筛选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上传计划书</w:t>
            </w:r>
          </w:p>
        </w:tc>
        <w:tc>
          <w:tcPr>
            <w:tcW w:w="6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投资经理上传PDF/Word文件，选择关联产品和投资组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提交审批</w:t>
            </w:r>
          </w:p>
        </w:tc>
        <w:tc>
          <w:tcPr>
            <w:tcW w:w="6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填写计划投资额度等信息后提交审批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撤回申请</w:t>
            </w:r>
          </w:p>
        </w:tc>
        <w:tc>
          <w:tcPr>
            <w:tcW w:w="6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待审批状态下，发起人可撤回申请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重新提交</w:t>
            </w:r>
          </w:p>
        </w:tc>
        <w:tc>
          <w:tcPr>
            <w:tcW w:w="6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已驳回状态下，投资经理可修改后重新提交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计划书详情</w:t>
            </w:r>
          </w:p>
        </w:tc>
        <w:tc>
          <w:tcPr>
            <w:tcW w:w="6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查看计划书信息、审批进度、附件、审批记录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4.4 功能逻辑和交互</w:t>
      </w:r>
      <w:bookmarkEnd w:id="2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b w:val="true"/>
          <w:sz w:val="28"/>
        </w:rPr>
        <w:t>4.4.1 计划书列表页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页面路径</w:t>
      </w:r>
      <w:r>
        <w:rPr>
          <w:rFonts w:eastAsia="等线" w:ascii="Arial" w:cs="Arial" w:hAnsi="Arial"/>
          <w:sz w:val="22"/>
        </w:rPr>
        <w:t>：侧边栏 → 投资计划书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页面结构</w:t>
      </w:r>
      <w:r>
        <w:rPr>
          <w:rFonts w:eastAsia="等线" w:ascii="Arial" w:cs="Arial" w:hAnsi="Arial"/>
          <w:sz w:val="22"/>
        </w:rPr>
        <w:t>：顶部操作栏（搜索框+筛选条件+上传按钮）→ 表格区域 → 底部分页器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操作栏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搜索框</w:t>
      </w:r>
      <w:r>
        <w:rPr>
          <w:rFonts w:eastAsia="等线" w:ascii="Arial" w:cs="Arial" w:hAnsi="Arial"/>
          <w:sz w:val="22"/>
        </w:rPr>
        <w:t>：搜索范围覆盖计划书编号、关联产品名称，防抖300ms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状态筛选</w:t>
      </w:r>
      <w:r>
        <w:rPr>
          <w:rFonts w:eastAsia="等线" w:ascii="Arial" w:cs="Arial" w:hAnsi="Arial"/>
          <w:sz w:val="22"/>
        </w:rPr>
        <w:t>：草稿/待审批/已通过/已驳回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月份筛选</w:t>
      </w:r>
      <w:r>
        <w:rPr>
          <w:rFonts w:eastAsia="等线" w:ascii="Arial" w:cs="Arial" w:hAnsi="Arial"/>
          <w:sz w:val="22"/>
        </w:rPr>
        <w:t>：月份选择器，默认当月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「上传计划书」按钮</w:t>
      </w:r>
      <w:r>
        <w:rPr>
          <w:rFonts w:eastAsia="等线" w:ascii="Arial" w:cs="Arial" w:hAnsi="Arial"/>
          <w:sz w:val="22"/>
        </w:rPr>
        <w:t>：仅投资经理角色可见可点击，点击弹出上传计划书弹窗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父级表格列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40"/>
        <w:gridCol w:w="6840"/>
      </w:tblGrid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列名</w:t>
            </w:r>
          </w:p>
        </w:tc>
        <w:tc>
          <w:tcPr>
            <w:tcW w:w="6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展示规则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计划书编号</w:t>
            </w:r>
          </w:p>
        </w:tc>
        <w:tc>
          <w:tcPr>
            <w:tcW w:w="6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系统自动生成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计划书名称</w:t>
            </w:r>
          </w:p>
        </w:tc>
        <w:tc>
          <w:tcPr>
            <w:tcW w:w="6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文件名称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业务部门</w:t>
            </w:r>
          </w:p>
        </w:tc>
        <w:tc>
          <w:tcPr>
            <w:tcW w:w="6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投资经理所在部门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投资组</w:t>
            </w:r>
          </w:p>
        </w:tc>
        <w:tc>
          <w:tcPr>
            <w:tcW w:w="6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展示关联产品绑定投资组，多个投资组中间加顿号、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计划额度</w:t>
            </w:r>
          </w:p>
        </w:tc>
        <w:tc>
          <w:tcPr>
            <w:tcW w:w="6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计划书全部产品累计总额度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已用额度</w:t>
            </w:r>
          </w:p>
        </w:tc>
        <w:tc>
          <w:tcPr>
            <w:tcW w:w="6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计划书全部产品已用额度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</w:t>
            </w:r>
          </w:p>
        </w:tc>
        <w:tc>
          <w:tcPr>
            <w:tcW w:w="6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状态徽章：草稿(白)/审批中(蓝)/已通过(绿)/已驳回(红)/已终止（灰）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创建人</w:t>
            </w:r>
          </w:p>
        </w:tc>
        <w:tc>
          <w:tcPr>
            <w:tcW w:w="6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投资经理名称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提交时间</w:t>
            </w:r>
          </w:p>
        </w:tc>
        <w:tc>
          <w:tcPr>
            <w:tcW w:w="6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YYYY-MM-DD HH:mm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定义：投资计划书提交审批时间，未提交状态下为空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</w:t>
            </w:r>
          </w:p>
        </w:tc>
        <w:tc>
          <w:tcPr>
            <w:tcW w:w="6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详情：点击后打开弹窗查看计划书详情——审批进行中、审批通过后、终止状态可见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编辑：点击后打开弹窗编辑计划书内容——仅在未提交或审批被驳回状态下可见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删除：点击后弹窗确认，删除该条记录——仅在草稿状态下可见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终止：点击后弹窗输入原因，确认后状态置为终止，仅可查看详情——在审批中、已驳回、草稿状态下可见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撤回：点击后从审批流撤回，回到待提交状态——仅在审批中状态可见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提交审批：点击后进入审批流程——未提交状态下，或驳回状态下可见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详细说明：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70"/>
        <w:gridCol w:w="870"/>
        <w:gridCol w:w="1545"/>
        <w:gridCol w:w="2355"/>
        <w:gridCol w:w="2625"/>
      </w:tblGrid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是否补发新通知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通知对象</w:t>
            </w:r>
          </w:p>
        </w:tc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原待审批通知处理规则</w:t>
            </w:r>
          </w:p>
        </w:tc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通知核心内容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撤回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当前节点待审批人</w:t>
            </w:r>
          </w:p>
        </w:tc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待办列表：从「待我审批」中即时移除2. 通知中心：标记「已撤回」，置灰保留在通知历史3. 外部通知（ 企微）：不做删除 / 撤回，仅补发状态变更说明</w:t>
            </w:r>
          </w:p>
        </w:tc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【流程撤回】XX 号投资计划书已被发起人撤回，无需继续审批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终止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当前节点待审批人</w:t>
            </w:r>
          </w:p>
        </w:tc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待办列表：从「待我审批」中即时移除2. 通知中心：标记「已终止」，置灰保留在通知历史3. 外部通知（ 企微）：不做删除 / 撤回，仅补发状态变更说明</w:t>
            </w:r>
          </w:p>
        </w:tc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【流程终止】XX 号投资计划书已被管理员终止，流程已结束终止原因：XXX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子级表格列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00"/>
        <w:gridCol w:w="4500"/>
      </w:tblGrid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列名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展示规则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产品内部编号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系统自动生成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产品名称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产品名称，点击可跳转该产品详情页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外部编码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展示产品池中对应数据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产品类型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展示产品池中对应数据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账套类型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展示产品池中对应数据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计划额度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计划书中该产品计划额度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已用额度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该产品已用额度（包括审批中的交易）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发起交易——本期暂不涉及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合同录入——本期暂不涉及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交易记录——本期暂不涉及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4.4.2 上传计划书弹窗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触发</w:t>
      </w:r>
      <w:r>
        <w:rPr>
          <w:rFonts w:eastAsia="等线" w:ascii="Arial" w:cs="Arial" w:hAnsi="Arial"/>
          <w:sz w:val="22"/>
        </w:rPr>
        <w:t>：计划书列表页点击「上传计划书」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弹窗</w:t>
      </w:r>
      <w:r>
        <w:rPr>
          <w:rFonts w:eastAsia="等线" w:ascii="Arial" w:cs="Arial" w:hAnsi="Arial"/>
          <w:sz w:val="22"/>
        </w:rPr>
        <w:t>：640px宽，居中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表单字段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最上方先上传计划书，仅支持上传一份，每份可能对应多个产品，上传后解析内容填入字段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155"/>
        <w:gridCol w:w="690"/>
        <w:gridCol w:w="5055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5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校验规则与交互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计划书名称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5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使用文件名称，可再次修改编辑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关联产品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基于计划书内识别多条产品记录，可手动再删改新增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产品名称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5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解析计划书内产品名称，支持手动输入从产品池内检索选择，支持按名称/编码搜索，按投资组权限过滤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存续期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5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手动选择数字+单位（月/年）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到期日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5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手动输入日期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计划投资额度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5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读取+手动删改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弹窗按钮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取消</w:t>
      </w:r>
      <w:r>
        <w:rPr>
          <w:rFonts w:eastAsia="等线" w:ascii="Arial" w:cs="Arial" w:hAnsi="Arial"/>
          <w:sz w:val="22"/>
        </w:rPr>
        <w:t>：关闭弹窗，有内容时二次确认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保存草稿</w:t>
      </w:r>
      <w:r>
        <w:rPr>
          <w:rFonts w:eastAsia="等线" w:ascii="Arial" w:cs="Arial" w:hAnsi="Arial"/>
          <w:sz w:val="22"/>
        </w:rPr>
        <w:t>：保存计划书，状态为"草稿"，提示成功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提交审批</w:t>
      </w:r>
      <w:r>
        <w:rPr>
          <w:rFonts w:eastAsia="等线" w:ascii="Arial" w:cs="Arial" w:hAnsi="Arial"/>
          <w:sz w:val="22"/>
        </w:rPr>
        <w:t>：校验全部必填字段→二次确认"确认提交投资计划书审批？"→状态变为"待审批"→触发审批流程→关闭弹窗→列表刷新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b w:val="true"/>
          <w:sz w:val="28"/>
        </w:rPr>
        <w:t>4.4.3 计划书详情弹窗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触发</w:t>
      </w:r>
      <w:r>
        <w:rPr>
          <w:rFonts w:eastAsia="等线" w:ascii="Arial" w:cs="Arial" w:hAnsi="Arial"/>
          <w:sz w:val="22"/>
        </w:rPr>
        <w:t>：计划书列表页点击计划书名称，打开弹窗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页面结构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基础信息</w:t>
      </w:r>
      <w:r>
        <w:rPr>
          <w:rFonts w:eastAsia="等线" w:ascii="Arial" w:cs="Arial" w:hAnsi="Arial"/>
          <w:sz w:val="22"/>
        </w:rPr>
        <w:t>：两列布局展示计划书表格全部字段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关联产品</w:t>
      </w:r>
      <w:r>
        <w:rPr>
          <w:rFonts w:eastAsia="等线" w:ascii="Arial" w:cs="Arial" w:hAnsi="Arial"/>
          <w:sz w:val="22"/>
        </w:rPr>
        <w:t>：展示关联产品的表格，包括操作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交易记录：</w:t>
      </w:r>
      <w:r>
        <w:rPr>
          <w:rFonts w:eastAsia="等线" w:ascii="Arial" w:cs="Arial" w:hAnsi="Arial"/>
          <w:sz w:val="22"/>
        </w:rPr>
        <w:t>展示个产品的交易记录，当前版本暂不开发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审批流程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顶部展示审批编号，审批类型，当前状态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审批流程展示：审批环节+审批时间+审批人员+审批结构+审批意见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五、模块三：iBor权限体系对接</w:t>
      </w:r>
      <w:bookmarkEnd w:id="2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5.1 模块定义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Bor权限体系对接模块是OMS系统的基础设施模块，负责从iBor系统同步用户、部门、角色、账套类型和数据权限配置，确保OMS与公司现有投资簿记系统在账户体系和权限体系上保持一致。该模块解决的核心问题是：避免在OMS中重复维护用户和权限数据，实现单点数据源，保证组织架构和权限规则的统一性和实时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5.2 业务逻辑</w:t>
      </w:r>
      <w:bookmarkEnd w:id="28"/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单一数据源</w:t>
      </w:r>
      <w:r>
        <w:rPr>
          <w:rFonts w:eastAsia="等线" w:ascii="Arial" w:cs="Arial" w:hAnsi="Arial"/>
          <w:sz w:val="22"/>
        </w:rPr>
        <w:t>：OMS的账户体系和权限体系以iBor为唯一数据源，不在OMS中独立维护用户、部门、角色信息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账套类型同步</w:t>
      </w:r>
      <w:r>
        <w:rPr>
          <w:rFonts w:eastAsia="等线" w:ascii="Arial" w:cs="Arial" w:hAnsi="Arial"/>
          <w:sz w:val="22"/>
        </w:rPr>
        <w:t>：iBor中的账套类型映射为OMS的产品类型选项（ABS、信托、专户资管、票据、碳金融等），OMS不手动维护产品类型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数据权限规则</w:t>
      </w:r>
      <w:r>
        <w:rPr>
          <w:rFonts w:eastAsia="等线" w:ascii="Arial" w:cs="Arial" w:hAnsi="Arial"/>
          <w:sz w:val="22"/>
        </w:rPr>
        <w:t>：数据权限在一级业务部门间区分，二级部门间不区分（即同一一级部门下的所有二级部门共享数据权限）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同步策略</w:t>
      </w:r>
      <w:r>
        <w:rPr>
          <w:rFonts w:eastAsia="等线" w:ascii="Arial" w:cs="Arial" w:hAnsi="Arial"/>
          <w:sz w:val="22"/>
        </w:rPr>
        <w:t>：启动时全量同步 + 每30分钟增量同步 + 管理员手动触发全量同步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容灾策略</w:t>
      </w:r>
      <w:r>
        <w:rPr>
          <w:rFonts w:eastAsia="等线" w:ascii="Arial" w:cs="Arial" w:hAnsi="Arial"/>
          <w:sz w:val="22"/>
        </w:rPr>
        <w:t>：iBor接口不可用时，OMS使用本地缓存数据继续运行，不影响正常业务操作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5.3 功能清单</w:t>
      </w:r>
      <w:bookmarkEnd w:id="2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621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</w:t>
            </w:r>
          </w:p>
        </w:tc>
        <w:tc>
          <w:tcPr>
            <w:tcW w:w="6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用户同步</w:t>
            </w:r>
          </w:p>
        </w:tc>
        <w:tc>
          <w:tcPr>
            <w:tcW w:w="6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从iBor同步用户信息（ID、姓名、部门、角色、投资组）到OMS用户表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部门同步</w:t>
            </w:r>
          </w:p>
        </w:tc>
        <w:tc>
          <w:tcPr>
            <w:tcW w:w="6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从iBor同步部门树（一级部门、二级部门、层级关系）到OMS部门表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角色同步</w:t>
            </w:r>
          </w:p>
        </w:tc>
        <w:tc>
          <w:tcPr>
            <w:tcW w:w="6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从iBor同步角色信息（投资经理、交易员、风控、部门领导、财务、公司领导）到OMS角色表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账套类型同步</w:t>
            </w:r>
          </w:p>
        </w:tc>
        <w:tc>
          <w:tcPr>
            <w:tcW w:w="6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从iBor同步账套类型配置，映射为OMS产品类型下拉选项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数据权限同步</w:t>
            </w:r>
          </w:p>
        </w:tc>
        <w:tc>
          <w:tcPr>
            <w:tcW w:w="6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从iBor同步数据权限配置，按一级部门划分数据可见范围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手动触发同步</w:t>
            </w:r>
          </w:p>
        </w:tc>
        <w:tc>
          <w:tcPr>
            <w:tcW w:w="6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系统管理页面提供「立即同步」按钮，管理员可手动触发全量同步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同步状态展示</w:t>
            </w:r>
          </w:p>
        </w:tc>
        <w:tc>
          <w:tcPr>
            <w:tcW w:w="6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系统管理页面展示最近同步时间、同步状态（成功/失败）、缓存数据时间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5.4 功能逻辑和交互</w:t>
      </w:r>
      <w:bookmarkEnd w:id="3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1" w:id="31"/>
      <w:r>
        <w:rPr>
          <w:rFonts w:eastAsia="等线" w:ascii="Arial" w:cs="Arial" w:hAnsi="Arial"/>
          <w:b w:val="true"/>
          <w:sz w:val="28"/>
        </w:rPr>
        <w:t>5.4.1 同步数据映射</w:t>
      </w:r>
      <w:bookmarkEnd w:id="3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725"/>
        <w:gridCol w:w="2295"/>
        <w:gridCol w:w="4260"/>
      </w:tblGrid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数据类型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iBor数据源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OMS映射</w:t>
            </w:r>
          </w:p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用户信息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iBor用户表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OMS用户表（用户ID、姓名、部门、角色、投资组）</w:t>
            </w:r>
          </w:p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部门信息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iBor部门树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OMS部门表（一级部门、二级部门、部门层级）</w:t>
            </w:r>
          </w:p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角色信息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iBor角色表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OMS角色表（投资经理、交易员、风控、部门领导、财务、公司领导）</w:t>
            </w:r>
          </w:p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账套类型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iBor账套配置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OMS产品类型选项（ABS、信托、专户资管、票据、碳金融等）</w:t>
            </w:r>
          </w:p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数据权限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iBor权限配置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OMS数据权限规则（按一级部门隔离）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2" w:id="32"/>
      <w:r>
        <w:rPr>
          <w:rFonts w:eastAsia="等线" w:ascii="Arial" w:cs="Arial" w:hAnsi="Arial"/>
          <w:b w:val="true"/>
          <w:sz w:val="28"/>
        </w:rPr>
        <w:t>5.4.2 同步机制</w:t>
      </w:r>
      <w:bookmarkEnd w:id="3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725"/>
        <w:gridCol w:w="6555"/>
      </w:tblGrid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同步方式</w:t>
            </w:r>
          </w:p>
        </w:tc>
        <w:tc>
          <w:tcPr>
            <w:tcW w:w="6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启动全量同步</w:t>
            </w:r>
          </w:p>
        </w:tc>
        <w:tc>
          <w:tcPr>
            <w:tcW w:w="6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OMS服务启动时，调用iBor API全量拉取用户、部门、角色、账套类型数据，覆盖本地缓存</w:t>
            </w:r>
          </w:p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定时增量同步</w:t>
            </w:r>
          </w:p>
        </w:tc>
        <w:tc>
          <w:tcPr>
            <w:tcW w:w="6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每日调用iBor增量API，拉取变更数据（新增/修改/删除），合并到本地</w:t>
            </w:r>
          </w:p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手动触发同步</w:t>
            </w:r>
          </w:p>
        </w:tc>
        <w:tc>
          <w:tcPr>
            <w:tcW w:w="6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系统管理页面「立即同步」按钮，管理员点击后触发全量同步，按钮变为loading状态，同步完成后显示结果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3" w:id="33"/>
      <w:r>
        <w:rPr>
          <w:rFonts w:eastAsia="等线" w:ascii="Arial" w:cs="Arial" w:hAnsi="Arial"/>
          <w:b w:val="true"/>
          <w:sz w:val="28"/>
        </w:rPr>
        <w:t>5.4.3 数据权限规则</w:t>
      </w:r>
      <w:bookmarkEnd w:id="33"/>
    </w:p>
    <w:tbl>
      <w:tblPr>
        <w:tblW w:w="0" w:type="auto"/>
        <w:tblInd w:w="0" w:type="dxa"/>
        <w:tblBorders>
          <w:top w:val="single" w:color="fff258"/>
          <w:left w:val="single" w:color="fff258"/>
          <w:bottom w:val="single" w:color="fff258"/>
          <w:right w:val="single" w:color="fff258"/>
          <w:insideH w:val="single" w:color="fff258"/>
          <w:insideV w:val="single" w:color="fff258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ff0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核心规则：数据权限在一级业务部门间区分，二级部门间不区分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725"/>
        <w:gridCol w:w="6555"/>
      </w:tblGrid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</w:t>
            </w:r>
          </w:p>
        </w:tc>
        <w:tc>
          <w:tcPr>
            <w:tcW w:w="6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数据可见范围</w:t>
            </w:r>
          </w:p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投资经理</w:t>
            </w:r>
          </w:p>
        </w:tc>
        <w:tc>
          <w:tcPr>
            <w:tcW w:w="6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本投资组关联的产品和计划书</w:t>
            </w:r>
          </w:p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交易员</w:t>
            </w:r>
          </w:p>
        </w:tc>
        <w:tc>
          <w:tcPr>
            <w:tcW w:w="6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本投资组关联的产品和计划书</w:t>
            </w:r>
          </w:p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部门风控</w:t>
            </w:r>
          </w:p>
        </w:tc>
        <w:tc>
          <w:tcPr>
            <w:tcW w:w="6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本一级部门下所有产品和计划书</w:t>
            </w:r>
          </w:p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部门领导</w:t>
            </w:r>
          </w:p>
        </w:tc>
        <w:tc>
          <w:tcPr>
            <w:tcW w:w="6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本一级部门下所有产品和计划书</w:t>
            </w:r>
          </w:p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财务人员</w:t>
            </w:r>
          </w:p>
        </w:tc>
        <w:tc>
          <w:tcPr>
            <w:tcW w:w="6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全部数据（二期凭证模块需要）</w:t>
            </w:r>
          </w:p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公司领导</w:t>
            </w:r>
          </w:p>
        </w:tc>
        <w:tc>
          <w:tcPr>
            <w:tcW w:w="6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全部数据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4" w:id="34"/>
      <w:r>
        <w:rPr>
          <w:rFonts w:eastAsia="等线" w:ascii="Arial" w:cs="Arial" w:hAnsi="Arial"/>
          <w:b w:val="true"/>
          <w:sz w:val="28"/>
        </w:rPr>
        <w:t>5.4.4 同步异常处理</w:t>
      </w:r>
      <w:bookmarkEnd w:id="3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621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异常场景</w:t>
            </w:r>
          </w:p>
        </w:tc>
        <w:tc>
          <w:tcPr>
            <w:tcW w:w="6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处理逻辑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iBor接口不可用</w:t>
            </w:r>
          </w:p>
        </w:tc>
        <w:tc>
          <w:tcPr>
            <w:tcW w:w="6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同步失败时OMS使用本地缓存数据，系统管理页面提示"iBor同步失败，使用缓存数据，上次同步时间：YYYY-MM-DD HH:mm"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数据冲突</w:t>
            </w:r>
          </w:p>
        </w:tc>
        <w:tc>
          <w:tcPr>
            <w:tcW w:w="6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iBor数据与OMS本地数据冲突时，以iBor数据为准覆盖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用户离职</w:t>
            </w:r>
          </w:p>
        </w:tc>
        <w:tc>
          <w:tcPr>
            <w:tcW w:w="6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iBor中用户状态变为"离职"时，OMS中该用户账号禁用但保留历史操作记录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部门调整</w:t>
            </w:r>
          </w:p>
        </w:tc>
        <w:tc>
          <w:tcPr>
            <w:tcW w:w="6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iBor中部门变更时，OMS中已关联的数据（产品、计划书）不自动迁移，需管理员手动调整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六、模块四：审批中心</w:t>
      </w:r>
      <w:bookmarkEnd w:id="3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6.1 模块定义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审批中心是OMS系统的流程管控模块，统一管理产品入池审批和投资计划书审批两个审批流。该模块解决的核心问题是：将审批流程线上化和标准化，确保产品入池和投资计划书在合规审批通过后才可进入下一步操作，实现审批过程的可追溯和可审计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6.2 业务逻辑</w:t>
      </w:r>
      <w:bookmarkEnd w:id="37"/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审批类型</w:t>
      </w:r>
      <w:r>
        <w:rPr>
          <w:rFonts w:eastAsia="等线" w:ascii="Arial" w:cs="Arial" w:hAnsi="Arial"/>
          <w:sz w:val="22"/>
        </w:rPr>
        <w:t>：一期包含两种审批——产品入池审批（风控提交→入池生效）和投资计划书审批（投资经理提交→风控审批→部门负责人审批）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审批节点</w:t>
      </w:r>
      <w:r>
        <w:rPr>
          <w:rFonts w:eastAsia="等线" w:ascii="Arial" w:cs="Arial" w:hAnsi="Arial"/>
          <w:sz w:val="22"/>
        </w:rPr>
        <w:t>：产品入池审批为单节点审批；投资计划书审批为三节点串行审批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审批操作</w:t>
      </w:r>
      <w:r>
        <w:rPr>
          <w:rFonts w:eastAsia="等线" w:ascii="Arial" w:cs="Arial" w:hAnsi="Arial"/>
          <w:sz w:val="22"/>
        </w:rPr>
        <w:t>：通过（流转到下一节点或完成）、驳回（填写原因后驳回，发起人可重新提交）、撤回（发起人在待审批状态下可撤回）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审批通知</w:t>
      </w:r>
      <w:r>
        <w:rPr>
          <w:rFonts w:eastAsia="等线" w:ascii="Arial" w:cs="Arial" w:hAnsi="Arial"/>
          <w:sz w:val="22"/>
        </w:rPr>
        <w:t>：新审批任务到达时，审批人在审批中心可看到待办项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6.3 功能清单</w:t>
      </w:r>
      <w:bookmarkEnd w:id="3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621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</w:t>
            </w:r>
          </w:p>
        </w:tc>
        <w:tc>
          <w:tcPr>
            <w:tcW w:w="6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审批列表</w:t>
            </w:r>
          </w:p>
        </w:tc>
        <w:tc>
          <w:tcPr>
            <w:tcW w:w="6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展示待我审批、我发起的、已审批三类审批事项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审批详情</w:t>
            </w:r>
          </w:p>
        </w:tc>
        <w:tc>
          <w:tcPr>
            <w:tcW w:w="6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查看审批申请信息、审批进度、历史审批记录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通过审批</w:t>
            </w:r>
          </w:p>
        </w:tc>
        <w:tc>
          <w:tcPr>
            <w:tcW w:w="6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审批人点击通过，流转到下一节点或完成审批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驳回审批</w:t>
            </w:r>
          </w:p>
        </w:tc>
        <w:tc>
          <w:tcPr>
            <w:tcW w:w="6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审批人填写驳回原因后驳回，发起人可重新提交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撤回申请</w:t>
            </w:r>
          </w:p>
        </w:tc>
        <w:tc>
          <w:tcPr>
            <w:tcW w:w="6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发起人在待审批状态下撤回申请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6.4 功能逻辑和交互</w:t>
      </w:r>
      <w:bookmarkEnd w:id="3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0" w:id="40"/>
      <w:r>
        <w:rPr>
          <w:rFonts w:eastAsia="等线" w:ascii="Arial" w:cs="Arial" w:hAnsi="Arial"/>
          <w:b w:val="true"/>
          <w:sz w:val="28"/>
        </w:rPr>
        <w:t>6.4.1 审批列表页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页面路径</w:t>
      </w:r>
      <w:r>
        <w:rPr>
          <w:rFonts w:eastAsia="等线" w:ascii="Arial" w:cs="Arial" w:hAnsi="Arial"/>
          <w:sz w:val="22"/>
        </w:rPr>
        <w:t>：侧边栏 → 审批中心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页面结构</w:t>
      </w:r>
      <w:r>
        <w:rPr>
          <w:rFonts w:eastAsia="等线" w:ascii="Arial" w:cs="Arial" w:hAnsi="Arial"/>
          <w:sz w:val="22"/>
        </w:rPr>
        <w:t>：Tab切换（待我审批/我发起的/已审批）→ 筛选条件 → 表格区域。同时需展示对应数量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待我审批：包括待当前用户审批的流程，以及投资经理或交易员发起的被驳回的流程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我发起的：当前用户发起的流程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已审批：已经过当前用户审批的流程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筛选条件</w:t>
      </w:r>
      <w:r>
        <w:rPr>
          <w:rFonts w:eastAsia="等线" w:ascii="Arial" w:cs="Arial" w:hAnsi="Arial"/>
          <w:sz w:val="22"/>
        </w:rPr>
        <w:t>：审批类型下拉（产品入池/投资计划书）+ 时间范围选择器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表格列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00"/>
        <w:gridCol w:w="4500"/>
      </w:tblGrid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列名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展示规则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审批编号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系统自动生成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审批名称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投资计划书或交易产品名称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审批类型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产品入池审批/投资计划书审批/交易审批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发起人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姓名+角色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发起时间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YYYY-MM-DD HH:mm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当前节点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当前审批节点名称：风控审批、部门简历审批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审批中/已通过/已驳回/已撤回/已终止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查看详情：打开详情弹窗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通过：待当前用户审批的流程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驳回：待当前用户审批的流程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撤回：流程发起人可见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终止：流程发起人可见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1" w:id="41"/>
      <w:r>
        <w:rPr>
          <w:rFonts w:eastAsia="等线" w:ascii="Arial" w:cs="Arial" w:hAnsi="Arial"/>
          <w:b w:val="true"/>
          <w:sz w:val="28"/>
        </w:rPr>
        <w:t>6.4.2 审批详情弹窗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触发</w:t>
      </w:r>
      <w:r>
        <w:rPr>
          <w:rFonts w:eastAsia="等线" w:ascii="Arial" w:cs="Arial" w:hAnsi="Arial"/>
          <w:sz w:val="22"/>
        </w:rPr>
        <w:t>：审批列表点击「审批」或「查看」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弹窗</w:t>
      </w:r>
      <w:r>
        <w:rPr>
          <w:rFonts w:eastAsia="等线" w:ascii="Arial" w:cs="Arial" w:hAnsi="Arial"/>
          <w:sz w:val="22"/>
        </w:rPr>
        <w:t>：720px宽，居中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弹窗结构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顶部</w:t>
      </w:r>
      <w:r>
        <w:rPr>
          <w:rFonts w:eastAsia="等线" w:ascii="Arial" w:cs="Arial" w:hAnsi="Arial"/>
          <w:sz w:val="22"/>
        </w:rPr>
        <w:t>：审批编号 + 审批类型 + 状态徽章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审批进度条</w:t>
      </w:r>
      <w:r>
        <w:rPr>
          <w:rFonts w:eastAsia="等线" w:ascii="Arial" w:cs="Arial" w:hAnsi="Arial"/>
          <w:sz w:val="22"/>
        </w:rPr>
        <w:t>：横向展示审批节点，已完成节点绿色✅，当前节点蓝色脉冲，未到达节点灰色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申请信息区</w:t>
      </w:r>
      <w:r>
        <w:rPr>
          <w:rFonts w:eastAsia="等线" w:ascii="Arial" w:cs="Arial" w:hAnsi="Arial"/>
          <w:sz w:val="22"/>
        </w:rPr>
        <w:t>：展示申请人提交的详细信息（产品入池展示产品字段，计划书展示计划书字段）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审批意见区</w:t>
      </w:r>
      <w:r>
        <w:rPr>
          <w:rFonts w:eastAsia="等线" w:ascii="Arial" w:cs="Arial" w:hAnsi="Arial"/>
          <w:sz w:val="22"/>
        </w:rPr>
        <w:t>：历史审批记录时间线（审批人+审批时间+审批结果+审批意见）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操作区：</w:t>
      </w:r>
      <w:r>
        <w:rPr>
          <w:rFonts w:eastAsia="等线" w:ascii="Arial" w:cs="Arial" w:hAnsi="Arial"/>
          <w:sz w:val="22"/>
        </w:rPr>
        <w:t>与表格处逻辑一致：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查看详情：打开详情弹窗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通过：待当前用户审批的流程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驳回：待当前用户审批的流程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撤回：流程发起人可见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终止：流程发起人可见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审批操作交互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通过</w:t>
      </w:r>
      <w:r>
        <w:rPr>
          <w:rFonts w:eastAsia="等线" w:ascii="Arial" w:cs="Arial" w:hAnsi="Arial"/>
          <w:sz w:val="22"/>
        </w:rPr>
        <w:t>：二次确认"确认通过该审批？"→确认后若为最后节点则状态变为"已通过"，否则流转到下一节点→提示"审批已通过"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驳回</w:t>
      </w:r>
      <w:r>
        <w:rPr>
          <w:rFonts w:eastAsia="等线" w:ascii="Arial" w:cs="Arial" w:hAnsi="Arial"/>
          <w:sz w:val="22"/>
        </w:rPr>
        <w:t>：弹出驳回确认弹窗，必须填写驳回原因（Textarea，最大200字符，必填）→确认后状态变为"已驳回"→提示"审批已驳回"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2" w:id="42"/>
      <w:bookmarkEnd w:id="4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3" w:id="43"/>
      <w:r>
        <w:rPr>
          <w:rFonts w:eastAsia="等线" w:ascii="Arial" w:cs="Arial" w:hAnsi="Arial"/>
          <w:b w:val="true"/>
          <w:sz w:val="32"/>
        </w:rPr>
        <w:t>七、角色权限矩阵（一期）</w:t>
      </w:r>
      <w:bookmarkEnd w:id="4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0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投资经理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交易员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部门领导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财务人员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部门风控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公司领导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上传计划书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提交计划书审批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添加/编辑产品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批量入池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审批（计划书）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审批（交易）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查看计划书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✅(本组)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✅(本组)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✅(本部门)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✅（全部）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✅(本部门)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✅(全部)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查看产品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✅(本组)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✅(本组)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✅(本部门)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✅（全部）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✅(本部门)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✅(全部)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注：✅ = 允许，— = 无权限。数据权限在一级业务部门间区分，二级部门间不区分。角色和用户信息从iBor同步。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4" w:id="44"/>
      <w:r>
        <w:rPr>
          <w:rFonts w:eastAsia="等线" w:ascii="Arial" w:cs="Arial" w:hAnsi="Arial"/>
          <w:b w:val="true"/>
          <w:sz w:val="32"/>
        </w:rPr>
        <w:t>八、业务规则汇总（一期）</w:t>
      </w:r>
      <w:bookmarkEnd w:id="4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55"/>
        <w:gridCol w:w="7125"/>
      </w:tblGrid>
      <w:tr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编号</w:t>
            </w:r>
          </w:p>
        </w:tc>
        <w:tc>
          <w:tcPr>
            <w:tcW w:w="7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规则</w:t>
            </w:r>
          </w:p>
        </w:tc>
      </w:tr>
      <w:tr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BR-001</w:t>
            </w:r>
          </w:p>
        </w:tc>
        <w:tc>
          <w:tcPr>
            <w:tcW w:w="7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产品入池需经过风控提交审批流程才可入池</w:t>
            </w:r>
          </w:p>
        </w:tc>
      </w:tr>
      <w:tr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BR-002</w:t>
            </w:r>
          </w:p>
        </w:tc>
        <w:tc>
          <w:tcPr>
            <w:tcW w:w="7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产品分外部编码和内部编码：外部编码为选填；内部编码必填，规则为产品类型首字母缩写+年份+四位编号</w:t>
            </w:r>
          </w:p>
        </w:tc>
      </w:tr>
      <w:tr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BR-003</w:t>
            </w:r>
          </w:p>
        </w:tc>
        <w:tc>
          <w:tcPr>
            <w:tcW w:w="7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产品在入池时即分配投资组，在交易模块无需再次填写投资组</w:t>
            </w:r>
          </w:p>
        </w:tc>
      </w:tr>
      <w:tr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BR-004</w:t>
            </w:r>
          </w:p>
        </w:tc>
        <w:tc>
          <w:tcPr>
            <w:tcW w:w="7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支持产品批量入池功能，风控可一次性提交多个产品入池申请</w:t>
            </w:r>
          </w:p>
        </w:tc>
      </w:tr>
      <w:tr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BR-005</w:t>
            </w:r>
          </w:p>
        </w:tc>
        <w:tc>
          <w:tcPr>
            <w:tcW w:w="7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无需支持产品出池或禁用功能，产品入池后状态仅可流转不可回退</w:t>
            </w:r>
          </w:p>
        </w:tc>
      </w:tr>
      <w:tr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BR-006</w:t>
            </w:r>
          </w:p>
        </w:tc>
        <w:tc>
          <w:tcPr>
            <w:tcW w:w="7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产品入池是计划书上传的前置条件——先入池，再计划书</w:t>
            </w:r>
          </w:p>
        </w:tc>
      </w:tr>
      <w:tr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BR-007</w:t>
            </w:r>
          </w:p>
        </w:tc>
        <w:tc>
          <w:tcPr>
            <w:tcW w:w="7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投资经理只能从已入池的产品中选择关联产品</w:t>
            </w:r>
          </w:p>
        </w:tc>
      </w:tr>
      <w:tr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BR-008</w:t>
            </w:r>
          </w:p>
        </w:tc>
        <w:tc>
          <w:tcPr>
            <w:tcW w:w="7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一个计划书对应一个投资组</w:t>
            </w:r>
          </w:p>
        </w:tc>
      </w:tr>
      <w:tr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BR-009</w:t>
            </w:r>
          </w:p>
        </w:tc>
        <w:tc>
          <w:tcPr>
            <w:tcW w:w="7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计划书审批流程：投资经理提交 → 风控审批 → 部门负责人审批</w:t>
            </w:r>
          </w:p>
        </w:tc>
      </w:tr>
      <w:tr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BR-010</w:t>
            </w:r>
          </w:p>
        </w:tc>
        <w:tc>
          <w:tcPr>
            <w:tcW w:w="7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账户体系和账套类型从iBor系统内获取，不在OMS中手动维护</w:t>
            </w:r>
          </w:p>
        </w:tc>
      </w:tr>
      <w:tr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BR-011</w:t>
            </w:r>
          </w:p>
        </w:tc>
        <w:tc>
          <w:tcPr>
            <w:tcW w:w="7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数据权限在一级业务部门间区分，二级部门间不区分</w:t>
            </w:r>
          </w:p>
        </w:tc>
      </w:tr>
      <w:tr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BR-012</w:t>
            </w:r>
          </w:p>
        </w:tc>
        <w:tc>
          <w:tcPr>
            <w:tcW w:w="7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OMS用户、部门、角色信息从iBor同步，OMS不独立维护</w:t>
            </w:r>
          </w:p>
        </w:tc>
      </w:tr>
      <w:tr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BR-013</w:t>
            </w:r>
          </w:p>
        </w:tc>
        <w:tc>
          <w:tcPr>
            <w:tcW w:w="7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产品类型选项从iBor同步的账套类型获取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5" w:id="45"/>
      <w:r>
        <w:rPr>
          <w:rFonts w:eastAsia="等线" w:ascii="Arial" w:cs="Arial" w:hAnsi="Arial"/>
          <w:b w:val="true"/>
          <w:sz w:val="32"/>
        </w:rPr>
        <w:t>九、异常处理与边界条件</w:t>
      </w:r>
      <w:bookmarkEnd w:id="4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6" w:id="46"/>
      <w:r>
        <w:rPr>
          <w:rFonts w:eastAsia="等线" w:ascii="Arial" w:cs="Arial" w:hAnsi="Arial"/>
          <w:b w:val="true"/>
          <w:sz w:val="30"/>
        </w:rPr>
        <w:t>9.1 表单校验通用规则</w:t>
      </w:r>
      <w:bookmarkEnd w:id="46"/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所有必填字段失焦时校验，为空则红框+下方红色提示文字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提交时统一校验所有字段，第一个错误字段自动聚焦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数字输入框禁止输入非数字字符（除小数点）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金额字段自动千分位格式化，提交时去除格式化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b w:val="true"/>
          <w:sz w:val="30"/>
        </w:rPr>
        <w:t>9.2 并发与冲突处理</w:t>
      </w:r>
      <w:bookmarkEnd w:id="47"/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产品编码冲突</w:t>
      </w:r>
      <w:r>
        <w:rPr>
          <w:rFonts w:eastAsia="等线" w:ascii="Arial" w:cs="Arial" w:hAnsi="Arial"/>
          <w:sz w:val="22"/>
        </w:rPr>
        <w:t>：两人同时提交相同内部编码的产品时，后提交者提示"内部编码已存在，请修改后重新提交"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审批冲突</w:t>
      </w:r>
      <w:r>
        <w:rPr>
          <w:rFonts w:eastAsia="等线" w:ascii="Arial" w:cs="Arial" w:hAnsi="Arial"/>
          <w:sz w:val="22"/>
        </w:rPr>
        <w:t>：同一审批节点两人同时操作时，先提交者生效，后提交者提示"该审批已被处理"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数据过期</w:t>
      </w:r>
      <w:r>
        <w:rPr>
          <w:rFonts w:eastAsia="等线" w:ascii="Arial" w:cs="Arial" w:hAnsi="Arial"/>
          <w:sz w:val="22"/>
        </w:rPr>
        <w:t>：编辑产品时若数据已被他人修改，提交时提示"数据已被修改，请刷新后重试"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8" w:id="48"/>
      <w:r>
        <w:rPr>
          <w:rFonts w:eastAsia="等线" w:ascii="Arial" w:cs="Arial" w:hAnsi="Arial"/>
          <w:b w:val="true"/>
          <w:sz w:val="30"/>
        </w:rPr>
        <w:t>9.3 文件上传异常</w:t>
      </w:r>
      <w:bookmarkEnd w:id="48"/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文件过大</w:t>
      </w:r>
      <w:r>
        <w:rPr>
          <w:rFonts w:eastAsia="等线" w:ascii="Arial" w:cs="Arial" w:hAnsi="Arial"/>
          <w:sz w:val="22"/>
        </w:rPr>
        <w:t>：超过50MB时提示"文件大小不能超过50MB"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格式不支持</w:t>
      </w:r>
      <w:r>
        <w:rPr>
          <w:rFonts w:eastAsia="等线" w:ascii="Arial" w:cs="Arial" w:hAnsi="Arial"/>
          <w:sz w:val="22"/>
        </w:rPr>
        <w:t>：非PDF/Word文件时提示"仅支持PDF和Word格式文件"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上传中断</w:t>
      </w:r>
      <w:r>
        <w:rPr>
          <w:rFonts w:eastAsia="等线" w:ascii="Arial" w:cs="Arial" w:hAnsi="Arial"/>
          <w:sz w:val="22"/>
        </w:rPr>
        <w:t>：网络中断时提示"上传失败，请重试"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批量导入格式错误</w:t>
      </w:r>
      <w:r>
        <w:rPr>
          <w:rFonts w:eastAsia="等线" w:ascii="Arial" w:cs="Arial" w:hAnsi="Arial"/>
          <w:sz w:val="22"/>
        </w:rPr>
        <w:t>：Excel模板不匹配时提示"文件格式与模板不匹配，请下载最新模板"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9" w:id="49"/>
      <w:r>
        <w:rPr>
          <w:rFonts w:eastAsia="等线" w:ascii="Arial" w:cs="Arial" w:hAnsi="Arial"/>
          <w:b w:val="true"/>
          <w:sz w:val="30"/>
        </w:rPr>
        <w:t>9.4 状态流转边界</w:t>
      </w:r>
      <w:bookmarkEnd w:id="49"/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产品状态为"在投"或"终结"时，不可编辑产品基础信息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计划书状态为"待审批"时，不可修改内容，仅可撤回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计划书状态为"已通过"时，不可任何操作（二期可发起交易）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审批被驳回后，发起人可修改重新提交，重新提交后走完整审批流程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0" w:id="50"/>
      <w:r>
        <w:rPr>
          <w:rFonts w:eastAsia="等线" w:ascii="Arial" w:cs="Arial" w:hAnsi="Arial"/>
          <w:b w:val="true"/>
          <w:sz w:val="30"/>
        </w:rPr>
        <w:t>9.5 iBor同步异常</w:t>
      </w:r>
      <w:bookmarkEnd w:id="50"/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iBor接口不可用</w:t>
      </w:r>
      <w:r>
        <w:rPr>
          <w:rFonts w:eastAsia="等线" w:ascii="Arial" w:cs="Arial" w:hAnsi="Arial"/>
          <w:sz w:val="22"/>
        </w:rPr>
        <w:t>：同步失败时OMS使用本地缓存数据，系统管理页面提示"iBor同步失败，使用缓存数据"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数据冲突</w:t>
      </w:r>
      <w:r>
        <w:rPr>
          <w:rFonts w:eastAsia="等线" w:ascii="Arial" w:cs="Arial" w:hAnsi="Arial"/>
          <w:sz w:val="22"/>
        </w:rPr>
        <w:t>：iBor数据与OMS本地数据冲突时，以iBor数据为准覆盖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用户离职</w:t>
      </w:r>
      <w:r>
        <w:rPr>
          <w:rFonts w:eastAsia="等线" w:ascii="Arial" w:cs="Arial" w:hAnsi="Arial"/>
          <w:sz w:val="22"/>
        </w:rPr>
        <w:t>：iBor中用户状态变为"离职"时，OMS中该用户账号禁用但保留历史操作记录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部门调整</w:t>
      </w:r>
      <w:r>
        <w:rPr>
          <w:rFonts w:eastAsia="等线" w:ascii="Arial" w:cs="Arial" w:hAnsi="Arial"/>
          <w:sz w:val="22"/>
        </w:rPr>
        <w:t>：iBor中部门变更时，OMS中已关联的数据不自动迁移，需管理员手动调整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1" w:id="51"/>
      <w:r>
        <w:rPr>
          <w:rFonts w:eastAsia="等线" w:ascii="Arial" w:cs="Arial" w:hAnsi="Arial"/>
          <w:b w:val="true"/>
          <w:sz w:val="32"/>
        </w:rPr>
        <w:t>十、一期与后续版本的关系</w:t>
      </w:r>
      <w:bookmarkEnd w:id="5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755"/>
        <w:gridCol w:w="3270"/>
        <w:gridCol w:w="3270"/>
      </w:tblGrid>
      <w:tr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包含功能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依赖关系</w:t>
            </w:r>
          </w:p>
        </w:tc>
      </w:tr>
      <w:tr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一期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产品入池、投资计划书上传与审批、iBor权限体系对接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无前置依赖</w:t>
            </w:r>
          </w:p>
        </w:tc>
      </w:tr>
      <w:tr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二期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管理人入池、交易发起与审批、合同管理、iBor日终数据拉取、通知中心、个人中心、首页看板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依赖一期产品入池、计划书审批和iBor对接</w:t>
            </w:r>
          </w:p>
        </w:tc>
      </w:tr>
      <w:tr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三期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财务核算、凭证管理、NC推送、报表分析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依赖二期交易模块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|(注：内容由 AI 生成，请谨慎参考）</w:t>
      </w: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374893">
    <w:lvl>
      <w:numFmt w:val="bullet"/>
      <w:suff w:val="tab"/>
      <w:lvlText w:val="•"/>
      <w:rPr>
        <w:color w:val="3370ff"/>
      </w:rPr>
    </w:lvl>
  </w:abstractNum>
  <w:abstractNum w:abstractNumId="3374894">
    <w:lvl>
      <w:numFmt w:val="bullet"/>
      <w:suff w:val="tab"/>
      <w:lvlText w:val="•"/>
      <w:rPr>
        <w:color w:val="3370ff"/>
      </w:rPr>
    </w:lvl>
  </w:abstractNum>
  <w:abstractNum w:abstractNumId="3374895">
    <w:lvl>
      <w:numFmt w:val="bullet"/>
      <w:suff w:val="tab"/>
      <w:lvlText w:val="•"/>
      <w:rPr>
        <w:color w:val="3370ff"/>
      </w:rPr>
    </w:lvl>
  </w:abstractNum>
  <w:abstractNum w:abstractNumId="3374896">
    <w:lvl>
      <w:numFmt w:val="bullet"/>
      <w:suff w:val="tab"/>
      <w:lvlText w:val="•"/>
      <w:rPr>
        <w:color w:val="3370ff"/>
      </w:rPr>
    </w:lvl>
  </w:abstractNum>
  <w:abstractNum w:abstractNumId="3374897">
    <w:lvl>
      <w:numFmt w:val="bullet"/>
      <w:suff w:val="tab"/>
      <w:lvlText w:val="•"/>
      <w:rPr>
        <w:color w:val="3370ff"/>
      </w:rPr>
    </w:lvl>
  </w:abstractNum>
  <w:abstractNum w:abstractNumId="3374898">
    <w:lvl>
      <w:numFmt w:val="bullet"/>
      <w:suff w:val="tab"/>
      <w:lvlText w:val="•"/>
      <w:rPr>
        <w:color w:val="3370ff"/>
      </w:rPr>
    </w:lvl>
  </w:abstractNum>
  <w:abstractNum w:abstractNumId="3374899">
    <w:lvl>
      <w:numFmt w:val="bullet"/>
      <w:suff w:val="tab"/>
      <w:lvlText w:val="•"/>
      <w:rPr>
        <w:color w:val="3370ff"/>
      </w:rPr>
    </w:lvl>
  </w:abstractNum>
  <w:abstractNum w:abstractNumId="3374900">
    <w:lvl>
      <w:numFmt w:val="bullet"/>
      <w:suff w:val="tab"/>
      <w:lvlText w:val="•"/>
      <w:rPr>
        <w:color w:val="3370ff"/>
      </w:rPr>
    </w:lvl>
  </w:abstractNum>
  <w:abstractNum w:abstractNumId="3374901">
    <w:lvl>
      <w:numFmt w:val="bullet"/>
      <w:suff w:val="tab"/>
      <w:lvlText w:val="•"/>
      <w:rPr>
        <w:color w:val="3370ff"/>
      </w:rPr>
    </w:lvl>
  </w:abstractNum>
  <w:abstractNum w:abstractNumId="3374902">
    <w:lvl>
      <w:numFmt w:val="bullet"/>
      <w:suff w:val="tab"/>
      <w:lvlText w:val="•"/>
      <w:rPr>
        <w:color w:val="3370ff"/>
      </w:rPr>
    </w:lvl>
  </w:abstractNum>
  <w:abstractNum w:abstractNumId="3374903">
    <w:lvl>
      <w:numFmt w:val="bullet"/>
      <w:suff w:val="tab"/>
      <w:lvlText w:val="•"/>
      <w:rPr>
        <w:color w:val="3370ff"/>
      </w:rPr>
    </w:lvl>
  </w:abstractNum>
  <w:abstractNum w:abstractNumId="3374904">
    <w:lvl>
      <w:numFmt w:val="bullet"/>
      <w:suff w:val="tab"/>
      <w:lvlText w:val="•"/>
      <w:rPr>
        <w:color w:val="3370ff"/>
      </w:rPr>
    </w:lvl>
  </w:abstractNum>
  <w:abstractNum w:abstractNumId="3374905">
    <w:lvl>
      <w:numFmt w:val="bullet"/>
      <w:suff w:val="tab"/>
      <w:lvlText w:val="•"/>
      <w:rPr>
        <w:color w:val="3370ff"/>
      </w:rPr>
    </w:lvl>
  </w:abstractNum>
  <w:abstractNum w:abstractNumId="3374906">
    <w:lvl>
      <w:numFmt w:val="bullet"/>
      <w:suff w:val="tab"/>
      <w:lvlText w:val="•"/>
      <w:rPr>
        <w:color w:val="3370ff"/>
      </w:rPr>
    </w:lvl>
  </w:abstractNum>
  <w:abstractNum w:abstractNumId="3374907">
    <w:lvl>
      <w:numFmt w:val="bullet"/>
      <w:suff w:val="tab"/>
      <w:lvlText w:val="•"/>
      <w:rPr>
        <w:color w:val="3370ff"/>
      </w:rPr>
    </w:lvl>
  </w:abstractNum>
  <w:abstractNum w:abstractNumId="3374908">
    <w:lvl>
      <w:numFmt w:val="bullet"/>
      <w:suff w:val="tab"/>
      <w:lvlText w:val="•"/>
      <w:rPr>
        <w:color w:val="3370ff"/>
      </w:rPr>
    </w:lvl>
  </w:abstractNum>
  <w:abstractNum w:abstractNumId="3374909">
    <w:lvl>
      <w:numFmt w:val="bullet"/>
      <w:suff w:val="tab"/>
      <w:lvlText w:val="•"/>
      <w:rPr>
        <w:color w:val="3370ff"/>
      </w:rPr>
    </w:lvl>
  </w:abstractNum>
  <w:abstractNum w:abstractNumId="3374910">
    <w:lvl>
      <w:numFmt w:val="bullet"/>
      <w:suff w:val="tab"/>
      <w:lvlText w:val="•"/>
      <w:rPr>
        <w:color w:val="3370ff"/>
      </w:rPr>
    </w:lvl>
  </w:abstractNum>
  <w:abstractNum w:abstractNumId="3374911">
    <w:lvl>
      <w:numFmt w:val="bullet"/>
      <w:suff w:val="tab"/>
      <w:lvlText w:val="•"/>
      <w:rPr>
        <w:color w:val="3370ff"/>
      </w:rPr>
    </w:lvl>
  </w:abstractNum>
  <w:abstractNum w:abstractNumId="3374912">
    <w:lvl>
      <w:numFmt w:val="bullet"/>
      <w:suff w:val="tab"/>
      <w:lvlText w:val="•"/>
      <w:rPr>
        <w:color w:val="3370ff"/>
      </w:rPr>
    </w:lvl>
  </w:abstractNum>
  <w:abstractNum w:abstractNumId="3374913">
    <w:lvl>
      <w:numFmt w:val="bullet"/>
      <w:suff w:val="tab"/>
      <w:lvlText w:val="•"/>
      <w:rPr>
        <w:color w:val="3370ff"/>
      </w:rPr>
    </w:lvl>
  </w:abstractNum>
  <w:abstractNum w:abstractNumId="3374914">
    <w:lvl>
      <w:numFmt w:val="bullet"/>
      <w:suff w:val="tab"/>
      <w:lvlText w:val="•"/>
      <w:rPr>
        <w:color w:val="3370ff"/>
      </w:rPr>
    </w:lvl>
  </w:abstractNum>
  <w:abstractNum w:abstractNumId="3374915">
    <w:lvl>
      <w:numFmt w:val="bullet"/>
      <w:suff w:val="tab"/>
      <w:lvlText w:val="•"/>
      <w:rPr>
        <w:color w:val="3370ff"/>
      </w:rPr>
    </w:lvl>
  </w:abstractNum>
  <w:abstractNum w:abstractNumId="3374916">
    <w:lvl>
      <w:numFmt w:val="bullet"/>
      <w:suff w:val="tab"/>
      <w:lvlText w:val="•"/>
      <w:rPr>
        <w:color w:val="3370ff"/>
      </w:rPr>
    </w:lvl>
  </w:abstractNum>
  <w:abstractNum w:abstractNumId="3374917">
    <w:lvl>
      <w:numFmt w:val="bullet"/>
      <w:suff w:val="tab"/>
      <w:lvlText w:val="•"/>
      <w:rPr>
        <w:color w:val="3370ff"/>
      </w:rPr>
    </w:lvl>
  </w:abstractNum>
  <w:abstractNum w:abstractNumId="3374918">
    <w:lvl>
      <w:numFmt w:val="bullet"/>
      <w:suff w:val="tab"/>
      <w:lvlText w:val="•"/>
      <w:rPr>
        <w:color w:val="3370ff"/>
      </w:rPr>
    </w:lvl>
  </w:abstractNum>
  <w:abstractNum w:abstractNumId="3374919">
    <w:lvl>
      <w:numFmt w:val="bullet"/>
      <w:suff w:val="tab"/>
      <w:lvlText w:val="•"/>
      <w:rPr>
        <w:color w:val="3370ff"/>
      </w:rPr>
    </w:lvl>
  </w:abstractNum>
  <w:abstractNum w:abstractNumId="3374920">
    <w:lvl>
      <w:numFmt w:val="bullet"/>
      <w:suff w:val="tab"/>
      <w:lvlText w:val="•"/>
      <w:rPr>
        <w:color w:val="3370ff"/>
      </w:rPr>
    </w:lvl>
  </w:abstractNum>
  <w:abstractNum w:abstractNumId="3374921">
    <w:lvl>
      <w:numFmt w:val="bullet"/>
      <w:suff w:val="tab"/>
      <w:lvlText w:val="•"/>
      <w:rPr>
        <w:color w:val="3370ff"/>
      </w:rPr>
    </w:lvl>
  </w:abstractNum>
  <w:abstractNum w:abstractNumId="3374922">
    <w:lvl>
      <w:numFmt w:val="bullet"/>
      <w:suff w:val="tab"/>
      <w:lvlText w:val="•"/>
      <w:rPr>
        <w:color w:val="3370ff"/>
      </w:rPr>
    </w:lvl>
  </w:abstractNum>
  <w:abstractNum w:abstractNumId="3374923">
    <w:lvl>
      <w:numFmt w:val="bullet"/>
      <w:suff w:val="tab"/>
      <w:lvlText w:val="•"/>
      <w:rPr>
        <w:color w:val="3370ff"/>
      </w:rPr>
    </w:lvl>
  </w:abstractNum>
  <w:abstractNum w:abstractNumId="3374924">
    <w:lvl>
      <w:numFmt w:val="bullet"/>
      <w:suff w:val="tab"/>
      <w:lvlText w:val="•"/>
      <w:rPr>
        <w:color w:val="3370ff"/>
      </w:rPr>
    </w:lvl>
  </w:abstractNum>
  <w:abstractNum w:abstractNumId="3374925">
    <w:lvl>
      <w:numFmt w:val="bullet"/>
      <w:suff w:val="tab"/>
      <w:lvlText w:val="•"/>
      <w:rPr>
        <w:color w:val="3370ff"/>
      </w:rPr>
    </w:lvl>
  </w:abstractNum>
  <w:abstractNum w:abstractNumId="3374926">
    <w:lvl>
      <w:numFmt w:val="bullet"/>
      <w:suff w:val="tab"/>
      <w:lvlText w:val="•"/>
      <w:rPr>
        <w:color w:val="3370ff"/>
      </w:rPr>
    </w:lvl>
  </w:abstractNum>
  <w:abstractNum w:abstractNumId="3374927">
    <w:lvl>
      <w:numFmt w:val="bullet"/>
      <w:suff w:val="tab"/>
      <w:lvlText w:val="•"/>
      <w:rPr>
        <w:color w:val="3370ff"/>
      </w:rPr>
    </w:lvl>
  </w:abstractNum>
  <w:abstractNum w:abstractNumId="3374928">
    <w:lvl>
      <w:numFmt w:val="bullet"/>
      <w:suff w:val="tab"/>
      <w:lvlText w:val="•"/>
      <w:rPr>
        <w:color w:val="3370ff"/>
      </w:rPr>
    </w:lvl>
  </w:abstractNum>
  <w:abstractNum w:abstractNumId="3374929">
    <w:lvl>
      <w:numFmt w:val="bullet"/>
      <w:suff w:val="tab"/>
      <w:lvlText w:val="•"/>
      <w:rPr>
        <w:color w:val="3370ff"/>
      </w:rPr>
    </w:lvl>
  </w:abstractNum>
  <w:abstractNum w:abstractNumId="3374930">
    <w:lvl>
      <w:numFmt w:val="bullet"/>
      <w:suff w:val="tab"/>
      <w:lvlText w:val="•"/>
      <w:rPr>
        <w:color w:val="3370ff"/>
      </w:rPr>
    </w:lvl>
  </w:abstractNum>
  <w:abstractNum w:abstractNumId="3374931">
    <w:lvl>
      <w:numFmt w:val="bullet"/>
      <w:suff w:val="tab"/>
      <w:lvlText w:val="•"/>
      <w:rPr>
        <w:color w:val="3370ff"/>
      </w:rPr>
    </w:lvl>
  </w:abstractNum>
  <w:abstractNum w:abstractNumId="3374932">
    <w:lvl>
      <w:numFmt w:val="bullet"/>
      <w:suff w:val="tab"/>
      <w:lvlText w:val="•"/>
      <w:rPr>
        <w:color w:val="3370ff"/>
      </w:rPr>
    </w:lvl>
  </w:abstractNum>
  <w:abstractNum w:abstractNumId="3374933">
    <w:lvl>
      <w:numFmt w:val="bullet"/>
      <w:suff w:val="tab"/>
      <w:lvlText w:val="•"/>
      <w:rPr>
        <w:color w:val="3370ff"/>
      </w:rPr>
    </w:lvl>
  </w:abstractNum>
  <w:abstractNum w:abstractNumId="3374934">
    <w:lvl>
      <w:numFmt w:val="bullet"/>
      <w:suff w:val="tab"/>
      <w:lvlText w:val="•"/>
      <w:rPr>
        <w:color w:val="3370ff"/>
      </w:rPr>
    </w:lvl>
  </w:abstractNum>
  <w:abstractNum w:abstractNumId="3374935">
    <w:lvl>
      <w:numFmt w:val="bullet"/>
      <w:suff w:val="tab"/>
      <w:lvlText w:val="•"/>
      <w:rPr>
        <w:color w:val="3370ff"/>
      </w:rPr>
    </w:lvl>
  </w:abstractNum>
  <w:abstractNum w:abstractNumId="3374936">
    <w:lvl>
      <w:numFmt w:val="bullet"/>
      <w:suff w:val="tab"/>
      <w:lvlText w:val="•"/>
      <w:rPr>
        <w:color w:val="3370ff"/>
      </w:rPr>
    </w:lvl>
  </w:abstractNum>
  <w:abstractNum w:abstractNumId="3374937">
    <w:lvl>
      <w:numFmt w:val="bullet"/>
      <w:suff w:val="tab"/>
      <w:lvlText w:val="•"/>
      <w:rPr>
        <w:color w:val="3370ff"/>
      </w:rPr>
    </w:lvl>
  </w:abstractNum>
  <w:abstractNum w:abstractNumId="3374938">
    <w:lvl>
      <w:numFmt w:val="bullet"/>
      <w:suff w:val="tab"/>
      <w:lvlText w:val="•"/>
      <w:rPr>
        <w:color w:val="3370ff"/>
      </w:rPr>
    </w:lvl>
  </w:abstractNum>
  <w:abstractNum w:abstractNumId="3374939">
    <w:lvl>
      <w:numFmt w:val="bullet"/>
      <w:suff w:val="tab"/>
      <w:lvlText w:val="•"/>
      <w:rPr>
        <w:color w:val="3370ff"/>
      </w:rPr>
    </w:lvl>
  </w:abstractNum>
  <w:abstractNum w:abstractNumId="3374940">
    <w:lvl>
      <w:numFmt w:val="bullet"/>
      <w:suff w:val="tab"/>
      <w:lvlText w:val="•"/>
      <w:rPr>
        <w:color w:val="3370ff"/>
      </w:rPr>
    </w:lvl>
  </w:abstractNum>
  <w:abstractNum w:abstractNumId="3374941">
    <w:lvl>
      <w:numFmt w:val="bullet"/>
      <w:suff w:val="tab"/>
      <w:lvlText w:val="•"/>
      <w:rPr>
        <w:color w:val="3370ff"/>
      </w:rPr>
    </w:lvl>
  </w:abstractNum>
  <w:abstractNum w:abstractNumId="3374942">
    <w:lvl>
      <w:numFmt w:val="bullet"/>
      <w:suff w:val="tab"/>
      <w:lvlText w:val="•"/>
      <w:rPr>
        <w:color w:val="3370ff"/>
      </w:rPr>
    </w:lvl>
  </w:abstractNum>
  <w:abstractNum w:abstractNumId="3374943">
    <w:lvl>
      <w:numFmt w:val="bullet"/>
      <w:suff w:val="tab"/>
      <w:lvlText w:val="•"/>
      <w:rPr>
        <w:color w:val="3370ff"/>
      </w:rPr>
    </w:lvl>
  </w:abstractNum>
  <w:abstractNum w:abstractNumId="3374944">
    <w:lvl>
      <w:numFmt w:val="bullet"/>
      <w:suff w:val="tab"/>
      <w:lvlText w:val="•"/>
      <w:rPr>
        <w:color w:val="3370ff"/>
      </w:rPr>
    </w:lvl>
  </w:abstractNum>
  <w:abstractNum w:abstractNumId="3374945">
    <w:lvl>
      <w:numFmt w:val="bullet"/>
      <w:suff w:val="tab"/>
      <w:lvlText w:val="•"/>
      <w:rPr>
        <w:color w:val="3370ff"/>
      </w:rPr>
    </w:lvl>
  </w:abstractNum>
  <w:abstractNum w:abstractNumId="3374946">
    <w:lvl>
      <w:numFmt w:val="bullet"/>
      <w:suff w:val="tab"/>
      <w:lvlText w:val="•"/>
      <w:rPr>
        <w:color w:val="3370ff"/>
      </w:rPr>
    </w:lvl>
  </w:abstractNum>
  <w:abstractNum w:abstractNumId="3374947">
    <w:lvl>
      <w:numFmt w:val="bullet"/>
      <w:suff w:val="tab"/>
      <w:lvlText w:val="•"/>
      <w:rPr>
        <w:color w:val="3370ff"/>
      </w:rPr>
    </w:lvl>
  </w:abstractNum>
  <w:abstractNum w:abstractNumId="3374948">
    <w:lvl>
      <w:numFmt w:val="bullet"/>
      <w:suff w:val="tab"/>
      <w:lvlText w:val="•"/>
      <w:rPr>
        <w:color w:val="3370ff"/>
      </w:rPr>
    </w:lvl>
  </w:abstractNum>
  <w:abstractNum w:abstractNumId="3374949">
    <w:lvl>
      <w:numFmt w:val="bullet"/>
      <w:suff w:val="tab"/>
      <w:lvlText w:val="•"/>
      <w:rPr>
        <w:color w:val="3370ff"/>
      </w:rPr>
    </w:lvl>
  </w:abstractNum>
  <w:abstractNum w:abstractNumId="3374950">
    <w:lvl>
      <w:numFmt w:val="bullet"/>
      <w:suff w:val="tab"/>
      <w:lvlText w:val="•"/>
      <w:rPr>
        <w:color w:val="3370ff"/>
      </w:rPr>
    </w:lvl>
  </w:abstractNum>
  <w:abstractNum w:abstractNumId="3374951">
    <w:lvl>
      <w:numFmt w:val="bullet"/>
      <w:suff w:val="tab"/>
      <w:lvlText w:val="•"/>
      <w:rPr>
        <w:color w:val="3370ff"/>
      </w:rPr>
    </w:lvl>
  </w:abstractNum>
  <w:abstractNum w:abstractNumId="3374952">
    <w:lvl>
      <w:numFmt w:val="bullet"/>
      <w:suff w:val="tab"/>
      <w:lvlText w:val="•"/>
      <w:rPr>
        <w:color w:val="3370ff"/>
      </w:rPr>
    </w:lvl>
  </w:abstractNum>
  <w:abstractNum w:abstractNumId="3374953">
    <w:lvl>
      <w:numFmt w:val="bullet"/>
      <w:suff w:val="tab"/>
      <w:lvlText w:val="•"/>
      <w:rPr>
        <w:color w:val="3370ff"/>
      </w:rPr>
    </w:lvl>
  </w:abstractNum>
  <w:abstractNum w:abstractNumId="3374954">
    <w:lvl>
      <w:numFmt w:val="bullet"/>
      <w:suff w:val="tab"/>
      <w:lvlText w:val="•"/>
      <w:rPr>
        <w:color w:val="3370ff"/>
      </w:rPr>
    </w:lvl>
  </w:abstractNum>
  <w:abstractNum w:abstractNumId="3374955">
    <w:lvl>
      <w:numFmt w:val="bullet"/>
      <w:suff w:val="tab"/>
      <w:lvlText w:val="•"/>
      <w:rPr>
        <w:color w:val="3370ff"/>
      </w:rPr>
    </w:lvl>
  </w:abstractNum>
  <w:abstractNum w:abstractNumId="3374956">
    <w:lvl>
      <w:numFmt w:val="bullet"/>
      <w:suff w:val="tab"/>
      <w:lvlText w:val="•"/>
      <w:rPr>
        <w:color w:val="3370ff"/>
      </w:rPr>
    </w:lvl>
  </w:abstractNum>
  <w:abstractNum w:abstractNumId="3374957">
    <w:lvl>
      <w:numFmt w:val="bullet"/>
      <w:suff w:val="tab"/>
      <w:lvlText w:val="•"/>
      <w:rPr>
        <w:color w:val="3370ff"/>
      </w:rPr>
    </w:lvl>
  </w:abstractNum>
  <w:abstractNum w:abstractNumId="3374958">
    <w:lvl>
      <w:numFmt w:val="bullet"/>
      <w:suff w:val="tab"/>
      <w:lvlText w:val="•"/>
      <w:rPr>
        <w:color w:val="3370ff"/>
      </w:rPr>
    </w:lvl>
  </w:abstractNum>
  <w:abstractNum w:abstractNumId="3374959">
    <w:lvl>
      <w:numFmt w:val="bullet"/>
      <w:suff w:val="tab"/>
      <w:lvlText w:val="•"/>
      <w:rPr>
        <w:color w:val="3370ff"/>
      </w:rPr>
    </w:lvl>
  </w:abstractNum>
  <w:abstractNum w:abstractNumId="3374960">
    <w:lvl>
      <w:numFmt w:val="bullet"/>
      <w:suff w:val="tab"/>
      <w:lvlText w:val="•"/>
      <w:rPr>
        <w:color w:val="3370ff"/>
      </w:rPr>
    </w:lvl>
  </w:abstractNum>
  <w:abstractNum w:abstractNumId="3374961">
    <w:lvl>
      <w:numFmt w:val="bullet"/>
      <w:suff w:val="tab"/>
      <w:lvlText w:val="•"/>
      <w:rPr>
        <w:color w:val="3370ff"/>
      </w:rPr>
    </w:lvl>
  </w:abstractNum>
  <w:abstractNum w:abstractNumId="3374962">
    <w:lvl>
      <w:numFmt w:val="bullet"/>
      <w:suff w:val="tab"/>
      <w:lvlText w:val="•"/>
      <w:rPr>
        <w:color w:val="3370ff"/>
      </w:rPr>
    </w:lvl>
  </w:abstractNum>
  <w:abstractNum w:abstractNumId="3374963">
    <w:lvl>
      <w:numFmt w:val="bullet"/>
      <w:suff w:val="tab"/>
      <w:lvlText w:val="•"/>
      <w:rPr>
        <w:color w:val="3370ff"/>
      </w:rPr>
    </w:lvl>
  </w:abstractNum>
  <w:abstractNum w:abstractNumId="3374964">
    <w:lvl>
      <w:numFmt w:val="bullet"/>
      <w:suff w:val="tab"/>
      <w:lvlText w:val="•"/>
      <w:rPr>
        <w:color w:val="3370ff"/>
      </w:rPr>
    </w:lvl>
  </w:abstractNum>
  <w:abstractNum w:abstractNumId="3374965">
    <w:lvl>
      <w:numFmt w:val="bullet"/>
      <w:suff w:val="tab"/>
      <w:lvlText w:val="•"/>
      <w:rPr>
        <w:color w:val="3370ff"/>
      </w:rPr>
    </w:lvl>
  </w:abstractNum>
  <w:abstractNum w:abstractNumId="3374966">
    <w:lvl>
      <w:numFmt w:val="bullet"/>
      <w:suff w:val="tab"/>
      <w:lvlText w:val="•"/>
      <w:rPr>
        <w:color w:val="3370ff"/>
      </w:rPr>
    </w:lvl>
  </w:abstractNum>
  <w:abstractNum w:abstractNumId="3374967">
    <w:lvl>
      <w:numFmt w:val="bullet"/>
      <w:suff w:val="tab"/>
      <w:lvlText w:val="•"/>
      <w:rPr>
        <w:color w:val="3370ff"/>
      </w:rPr>
    </w:lvl>
  </w:abstractNum>
  <w:abstractNum w:abstractNumId="3374968">
    <w:lvl>
      <w:numFmt w:val="bullet"/>
      <w:suff w:val="tab"/>
      <w:lvlText w:val="•"/>
      <w:rPr>
        <w:color w:val="3370ff"/>
      </w:rPr>
    </w:lvl>
  </w:abstractNum>
  <w:abstractNum w:abstractNumId="3374969">
    <w:lvl>
      <w:numFmt w:val="bullet"/>
      <w:suff w:val="tab"/>
      <w:lvlText w:val="•"/>
      <w:rPr>
        <w:color w:val="3370ff"/>
      </w:rPr>
    </w:lvl>
  </w:abstractNum>
  <w:abstractNum w:abstractNumId="3374970">
    <w:lvl>
      <w:numFmt w:val="bullet"/>
      <w:suff w:val="tab"/>
      <w:lvlText w:val="•"/>
      <w:rPr>
        <w:color w:val="3370ff"/>
      </w:rPr>
    </w:lvl>
  </w:abstractNum>
  <w:abstractNum w:abstractNumId="3374971">
    <w:lvl>
      <w:numFmt w:val="bullet"/>
      <w:suff w:val="tab"/>
      <w:lvlText w:val="•"/>
      <w:rPr>
        <w:color w:val="3370ff"/>
      </w:rPr>
    </w:lvl>
  </w:abstractNum>
  <w:abstractNum w:abstractNumId="3374972">
    <w:lvl>
      <w:numFmt w:val="bullet"/>
      <w:suff w:val="tab"/>
      <w:lvlText w:val="•"/>
      <w:rPr>
        <w:color w:val="3370ff"/>
      </w:rPr>
    </w:lvl>
  </w:abstractNum>
  <w:abstractNum w:abstractNumId="3374973">
    <w:lvl>
      <w:numFmt w:val="bullet"/>
      <w:suff w:val="tab"/>
      <w:lvlText w:val="•"/>
      <w:rPr>
        <w:color w:val="3370ff"/>
      </w:rPr>
    </w:lvl>
  </w:abstractNum>
  <w:abstractNum w:abstractNumId="3374974">
    <w:lvl>
      <w:numFmt w:val="bullet"/>
      <w:suff w:val="tab"/>
      <w:lvlText w:val="•"/>
      <w:rPr>
        <w:color w:val="3370ff"/>
      </w:rPr>
    </w:lvl>
  </w:abstractNum>
  <w:abstractNum w:abstractNumId="3374975">
    <w:lvl>
      <w:numFmt w:val="bullet"/>
      <w:suff w:val="tab"/>
      <w:lvlText w:val="•"/>
      <w:rPr>
        <w:color w:val="3370ff"/>
      </w:rPr>
    </w:lvl>
  </w:abstractNum>
  <w:abstractNum w:abstractNumId="3374976">
    <w:lvl>
      <w:numFmt w:val="bullet"/>
      <w:suff w:val="tab"/>
      <w:lvlText w:val="•"/>
      <w:rPr>
        <w:color w:val="3370ff"/>
      </w:rPr>
    </w:lvl>
  </w:abstractNum>
  <w:abstractNum w:abstractNumId="3374977">
    <w:lvl>
      <w:numFmt w:val="bullet"/>
      <w:suff w:val="tab"/>
      <w:lvlText w:val="•"/>
      <w:rPr>
        <w:color w:val="3370ff"/>
      </w:rPr>
    </w:lvl>
  </w:abstractNum>
  <w:abstractNum w:abstractNumId="3374978">
    <w:lvl>
      <w:numFmt w:val="bullet"/>
      <w:suff w:val="tab"/>
      <w:lvlText w:val="•"/>
      <w:rPr>
        <w:color w:val="3370ff"/>
      </w:rPr>
    </w:lvl>
  </w:abstractNum>
  <w:abstractNum w:abstractNumId="3374979">
    <w:lvl>
      <w:numFmt w:val="bullet"/>
      <w:suff w:val="tab"/>
      <w:lvlText w:val="•"/>
      <w:rPr>
        <w:color w:val="3370ff"/>
      </w:rPr>
    </w:lvl>
  </w:abstractNum>
  <w:abstractNum w:abstractNumId="3374980">
    <w:lvl>
      <w:numFmt w:val="bullet"/>
      <w:suff w:val="tab"/>
      <w:lvlText w:val="•"/>
      <w:rPr>
        <w:color w:val="3370ff"/>
      </w:rPr>
    </w:lvl>
  </w:abstractNum>
  <w:abstractNum w:abstractNumId="3374981">
    <w:lvl>
      <w:numFmt w:val="bullet"/>
      <w:suff w:val="tab"/>
      <w:lvlText w:val="•"/>
      <w:rPr>
        <w:color w:val="3370ff"/>
      </w:rPr>
    </w:lvl>
  </w:abstractNum>
  <w:num w:numId="1">
    <w:abstractNumId w:val="3374893"/>
  </w:num>
  <w:num w:numId="2">
    <w:abstractNumId w:val="3374894"/>
  </w:num>
  <w:num w:numId="3">
    <w:abstractNumId w:val="3374895"/>
  </w:num>
  <w:num w:numId="4">
    <w:abstractNumId w:val="3374896"/>
  </w:num>
  <w:num w:numId="5">
    <w:abstractNumId w:val="3374897"/>
  </w:num>
  <w:num w:numId="6">
    <w:abstractNumId w:val="3374898"/>
  </w:num>
  <w:num w:numId="7">
    <w:abstractNumId w:val="3374899"/>
  </w:num>
  <w:num w:numId="8">
    <w:abstractNumId w:val="3374900"/>
  </w:num>
  <w:num w:numId="9">
    <w:abstractNumId w:val="3374901"/>
  </w:num>
  <w:num w:numId="10">
    <w:abstractNumId w:val="3374902"/>
  </w:num>
  <w:num w:numId="11">
    <w:abstractNumId w:val="3374903"/>
  </w:num>
  <w:num w:numId="12">
    <w:abstractNumId w:val="3374904"/>
  </w:num>
  <w:num w:numId="13">
    <w:abstractNumId w:val="3374905"/>
  </w:num>
  <w:num w:numId="14">
    <w:abstractNumId w:val="3374906"/>
  </w:num>
  <w:num w:numId="15">
    <w:abstractNumId w:val="3374907"/>
  </w:num>
  <w:num w:numId="16">
    <w:abstractNumId w:val="3374908"/>
  </w:num>
  <w:num w:numId="17">
    <w:abstractNumId w:val="3374909"/>
  </w:num>
  <w:num w:numId="18">
    <w:abstractNumId w:val="3374910"/>
  </w:num>
  <w:num w:numId="19">
    <w:abstractNumId w:val="3374911"/>
  </w:num>
  <w:num w:numId="20">
    <w:abstractNumId w:val="3374912"/>
  </w:num>
  <w:num w:numId="21">
    <w:abstractNumId w:val="3374913"/>
  </w:num>
  <w:num w:numId="22">
    <w:abstractNumId w:val="3374914"/>
  </w:num>
  <w:num w:numId="23">
    <w:abstractNumId w:val="3374915"/>
  </w:num>
  <w:num w:numId="24">
    <w:abstractNumId w:val="3374916"/>
  </w:num>
  <w:num w:numId="25">
    <w:abstractNumId w:val="3374917"/>
  </w:num>
  <w:num w:numId="26">
    <w:abstractNumId w:val="3374918"/>
  </w:num>
  <w:num w:numId="27">
    <w:abstractNumId w:val="3374919"/>
  </w:num>
  <w:num w:numId="28">
    <w:abstractNumId w:val="3374920"/>
  </w:num>
  <w:num w:numId="29">
    <w:abstractNumId w:val="3374921"/>
  </w:num>
  <w:num w:numId="30">
    <w:abstractNumId w:val="3374922"/>
  </w:num>
  <w:num w:numId="31">
    <w:abstractNumId w:val="3374923"/>
  </w:num>
  <w:num w:numId="32">
    <w:abstractNumId w:val="3374924"/>
  </w:num>
  <w:num w:numId="33">
    <w:abstractNumId w:val="3374925"/>
  </w:num>
  <w:num w:numId="34">
    <w:abstractNumId w:val="3374926"/>
  </w:num>
  <w:num w:numId="35">
    <w:abstractNumId w:val="3374927"/>
  </w:num>
  <w:num w:numId="36">
    <w:abstractNumId w:val="3374928"/>
  </w:num>
  <w:num w:numId="37">
    <w:abstractNumId w:val="3374929"/>
  </w:num>
  <w:num w:numId="38">
    <w:abstractNumId w:val="3374930"/>
  </w:num>
  <w:num w:numId="39">
    <w:abstractNumId w:val="3374931"/>
  </w:num>
  <w:num w:numId="40">
    <w:abstractNumId w:val="3374932"/>
  </w:num>
  <w:num w:numId="41">
    <w:abstractNumId w:val="3374933"/>
  </w:num>
  <w:num w:numId="42">
    <w:abstractNumId w:val="3374934"/>
  </w:num>
  <w:num w:numId="43">
    <w:abstractNumId w:val="3374935"/>
  </w:num>
  <w:num w:numId="44">
    <w:abstractNumId w:val="3374936"/>
  </w:num>
  <w:num w:numId="45">
    <w:abstractNumId w:val="3374937"/>
  </w:num>
  <w:num w:numId="46">
    <w:abstractNumId w:val="3374938"/>
  </w:num>
  <w:num w:numId="47">
    <w:abstractNumId w:val="3374939"/>
  </w:num>
  <w:num w:numId="48">
    <w:abstractNumId w:val="3374940"/>
  </w:num>
  <w:num w:numId="49">
    <w:abstractNumId w:val="3374941"/>
  </w:num>
  <w:num w:numId="50">
    <w:abstractNumId w:val="3374942"/>
  </w:num>
  <w:num w:numId="51">
    <w:abstractNumId w:val="3374943"/>
  </w:num>
  <w:num w:numId="52">
    <w:abstractNumId w:val="3374944"/>
  </w:num>
  <w:num w:numId="53">
    <w:abstractNumId w:val="3374945"/>
  </w:num>
  <w:num w:numId="54">
    <w:abstractNumId w:val="3374946"/>
  </w:num>
  <w:num w:numId="55">
    <w:abstractNumId w:val="3374947"/>
  </w:num>
  <w:num w:numId="56">
    <w:abstractNumId w:val="3374948"/>
  </w:num>
  <w:num w:numId="57">
    <w:abstractNumId w:val="3374949"/>
  </w:num>
  <w:num w:numId="58">
    <w:abstractNumId w:val="3374950"/>
  </w:num>
  <w:num w:numId="59">
    <w:abstractNumId w:val="3374951"/>
  </w:num>
  <w:num w:numId="60">
    <w:abstractNumId w:val="3374952"/>
  </w:num>
  <w:num w:numId="61">
    <w:abstractNumId w:val="3374953"/>
  </w:num>
  <w:num w:numId="62">
    <w:abstractNumId w:val="3374954"/>
  </w:num>
  <w:num w:numId="63">
    <w:abstractNumId w:val="3374955"/>
  </w:num>
  <w:num w:numId="64">
    <w:abstractNumId w:val="3374956"/>
  </w:num>
  <w:num w:numId="65">
    <w:abstractNumId w:val="3374957"/>
  </w:num>
  <w:num w:numId="66">
    <w:abstractNumId w:val="3374958"/>
  </w:num>
  <w:num w:numId="67">
    <w:abstractNumId w:val="3374959"/>
  </w:num>
  <w:num w:numId="68">
    <w:abstractNumId w:val="3374960"/>
  </w:num>
  <w:num w:numId="69">
    <w:abstractNumId w:val="3374961"/>
  </w:num>
  <w:num w:numId="70">
    <w:abstractNumId w:val="3374962"/>
  </w:num>
  <w:num w:numId="71">
    <w:abstractNumId w:val="3374963"/>
  </w:num>
  <w:num w:numId="72">
    <w:abstractNumId w:val="3374964"/>
  </w:num>
  <w:num w:numId="73">
    <w:abstractNumId w:val="3374965"/>
  </w:num>
  <w:num w:numId="74">
    <w:abstractNumId w:val="3374966"/>
  </w:num>
  <w:num w:numId="75">
    <w:abstractNumId w:val="3374967"/>
  </w:num>
  <w:num w:numId="76">
    <w:abstractNumId w:val="3374968"/>
  </w:num>
  <w:num w:numId="77">
    <w:abstractNumId w:val="3374969"/>
  </w:num>
  <w:num w:numId="78">
    <w:abstractNumId w:val="3374970"/>
  </w:num>
  <w:num w:numId="79">
    <w:abstractNumId w:val="3374971"/>
  </w:num>
  <w:num w:numId="80">
    <w:abstractNumId w:val="3374972"/>
  </w:num>
  <w:num w:numId="81">
    <w:abstractNumId w:val="3374973"/>
  </w:num>
  <w:num w:numId="82">
    <w:abstractNumId w:val="3374974"/>
  </w:num>
  <w:num w:numId="83">
    <w:abstractNumId w:val="3374975"/>
  </w:num>
  <w:num w:numId="84">
    <w:abstractNumId w:val="3374976"/>
  </w:num>
  <w:num w:numId="85">
    <w:abstractNumId w:val="3374977"/>
  </w:num>
  <w:num w:numId="86">
    <w:abstractNumId w:val="3374978"/>
  </w:num>
  <w:num w:numId="87">
    <w:abstractNumId w:val="3374979"/>
  </w:num>
  <w:num w:numId="88">
    <w:abstractNumId w:val="3374980"/>
  </w:num>
  <w:num w:numId="89">
    <w:abstractNumId w:val="337498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ttps://oqeq6v34zmp.feishu.cn/wiki/BciLw0XrPi7oJvk0nFJc1CX7nsc?from=from_copylink" TargetMode="External" Type="http://schemas.openxmlformats.org/officeDocument/2006/relationships/hyperlink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2026-06-23T09:36:18Z</dcterms:created>
  <dc:creator>Apache POI</dc:creator>
</cp:coreProperties>
</file>