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elly.pro: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2f3fil8tr30" w:id="0"/>
      <w:bookmarkEnd w:id="0"/>
      <w:r w:rsidDel="00000000" w:rsidR="00000000" w:rsidRPr="00000000">
        <w:rPr>
          <w:rtl w:val="0"/>
        </w:rPr>
        <w:t xml:space="preserve">Автоматическая генерация правил привязки Facebook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Необходимо предусмотреть возможность разового создания правил привязки на старте проекта (ручной запуск скриптов), а также регулярное создание правил привязки для новых атомов (автоматический запуск скриптов). 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yum18u1l7f" w:id="1"/>
      <w:bookmarkEnd w:id="1"/>
      <w:r w:rsidDel="00000000" w:rsidR="00000000" w:rsidRPr="00000000">
        <w:rPr>
          <w:rtl w:val="0"/>
        </w:rPr>
        <w:t xml:space="preserve">Получение данных 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Данные по Facebook могут быть выведены на уровне кампании Facebook, группы объявления Facebook или объявления Facebook. В зависимости от того, какая группировка данных используется, для формирования правил привязки используем ID кампании, группы объявлений или объявления.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Разметка задаётся на уровне объявлений. Чтобы связать метки, которые задаются на уровне объявлений с кампаниями или группами объявлений, нужно создать справочник соответствия объявлений кампаниям и группам объявлений. 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Параметры, которые нужно получить для справочника (API </w:t>
      </w:r>
      <w:hyperlink r:id="rId7">
        <w:r w:rsidDel="00000000" w:rsidR="00000000" w:rsidRPr="00000000">
          <w:rPr>
            <w:color w:val="3578e5"/>
            <w:sz w:val="21"/>
            <w:szCs w:val="21"/>
            <w:highlight w:val="white"/>
            <w:u w:val="single"/>
            <w:rtl w:val="0"/>
          </w:rPr>
          <w:t xml:space="preserve">Ads Insights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ad_id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ad_name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adset_id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adset_name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campaign_id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campaign_name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В таблице-справочнике также нужно хранить информацию о профиле facebook, из которого получаем данные.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Параметры, которые нужно получить для создания правил привязки (API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 Creative</w:t>
        </w:r>
      </w:hyperlink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id — ID объявления, соответствует ad_id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name — название объявления, соответствует ad_name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url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url_tags 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В таблице также нужно хранить информацию о профиле facebook, из которого получаем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854lqk35aj5t" w:id="2"/>
      <w:bookmarkEnd w:id="2"/>
      <w:r w:rsidDel="00000000" w:rsidR="00000000" w:rsidRPr="00000000">
        <w:rPr>
          <w:rtl w:val="0"/>
        </w:rPr>
        <w:t xml:space="preserve">Обработка полученных данных</w:t>
      </w:r>
    </w:p>
    <w:p w:rsidR="00000000" w:rsidDel="00000000" w:rsidP="00000000" w:rsidRDefault="00000000" w:rsidRPr="00000000" w14:paraId="00000016">
      <w:pPr>
        <w:pStyle w:val="Heading1"/>
        <w:rPr>
          <w:color w:val="434343"/>
          <w:sz w:val="28"/>
          <w:szCs w:val="28"/>
        </w:rPr>
      </w:pPr>
      <w:bookmarkStart w:colFirst="0" w:colLast="0" w:name="_ud8i1lg6lajd" w:id="3"/>
      <w:bookmarkEnd w:id="3"/>
      <w:r w:rsidDel="00000000" w:rsidR="00000000" w:rsidRPr="00000000">
        <w:rPr>
          <w:color w:val="434343"/>
          <w:sz w:val="28"/>
          <w:szCs w:val="28"/>
          <w:rtl w:val="0"/>
        </w:rPr>
        <w:t xml:space="preserve">Справочные поля 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Поля Id и Name содержат справочную информацию об объявлениях и в процессе обработки данных участия не принимают.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434343"/>
          <w:sz w:val="28"/>
          <w:szCs w:val="28"/>
        </w:rPr>
      </w:pPr>
      <w:bookmarkStart w:colFirst="0" w:colLast="0" w:name="_txgifsfcuo8j" w:id="4"/>
      <w:bookmarkEnd w:id="4"/>
      <w:r w:rsidDel="00000000" w:rsidR="00000000" w:rsidRPr="00000000">
        <w:rPr>
          <w:color w:val="434343"/>
          <w:sz w:val="28"/>
          <w:szCs w:val="28"/>
          <w:rtl w:val="0"/>
        </w:rPr>
        <w:t xml:space="preserve">Обработка полей, содержащих URL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UTM-параметры передаются в поле url_tags. </w:t>
      </w:r>
      <w:r w:rsidDel="00000000" w:rsidR="00000000" w:rsidRPr="00000000">
        <w:rPr>
          <w:rtl w:val="0"/>
        </w:rPr>
        <w:t xml:space="preserve">Данные в поле парсим на наличие параметров utm_source, utm_medium, </w:t>
      </w:r>
      <w:commentRangeStart w:id="0"/>
      <w:r w:rsidDel="00000000" w:rsidR="00000000" w:rsidRPr="00000000">
        <w:rPr>
          <w:rtl w:val="0"/>
        </w:rPr>
        <w:t xml:space="preserve">utm_campaign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В данных могут содержаться динамические параметры, в этом случае нужно заменить динамический параметр на значение из таблицы-справочника. Набор динамических параметров, которые могут встретиться: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ad_id={{ad.id}}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adset_id={{adset.id}}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campaign_id={{campaign.id}}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ad_name={{ad.name}}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adset_name={{adset.name}}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campaign_name={{campaign.name}}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Данные в Url парсим на наличие домена.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c6h3tc8dfou" w:id="5"/>
      <w:bookmarkEnd w:id="5"/>
      <w:r w:rsidDel="00000000" w:rsidR="00000000" w:rsidRPr="00000000">
        <w:rPr>
          <w:rtl w:val="0"/>
        </w:rPr>
        <w:t xml:space="preserve">Привязка данных по источнику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В таблице [core].[AdEngineCampaigns] находим atomID для кампании из таблицы с полученными метками, сопоставление по полю ad_id (в зависимости от уровня детализации в качестве ID используем ad_id, adset_id или campaign_id).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Заполняем таблицу правил привязки [client].[BindingRulesUtm]. В привязке участвуют только те записи, в которых </w:t>
      </w:r>
      <w:r w:rsidDel="00000000" w:rsidR="00000000" w:rsidRPr="00000000">
        <w:rPr>
          <w:rtl w:val="0"/>
        </w:rPr>
        <w:t xml:space="preserve">в таблице с полученными данными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заполнено поле utm_campaign</w:t>
      </w:r>
      <w:r w:rsidDel="00000000" w:rsidR="00000000" w:rsidRPr="00000000">
        <w:rPr>
          <w:rtl w:val="0"/>
        </w:rPr>
        <w:t xml:space="preserve">. Заполняем по следующих правилам: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AtomId</w:t>
        <w:tab/>
        <w:t xml:space="preserve">=  AtomId из таблицы core.AdEngineCampaigns;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Version = 1;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Source = utm_source;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Medium = utm_medium;</w:t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Campaign = utm_campaign;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HostName = Domain — если на проекте домен участвует в привязке данных, если нет — NULL;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StartDate = 2000-01-01;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EndDate = 2200-01-01;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Priority = 1000;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ProfileId — указываем профиль GA, если на проекте он участвует в привязке данных, если нет — NULL.</w:t>
      </w:r>
    </w:p>
    <w:p w:rsidR="00000000" w:rsidDel="00000000" w:rsidP="00000000" w:rsidRDefault="00000000" w:rsidRPr="00000000" w14:paraId="0000002F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Дубли правил привязки удаляем из таблицы, оставляем более раннюю запись. Дубли проверяем по полям AtomId, Source, Medium, Campaign и HostName.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Запускаем хранимые процедуры привязки данных, в которых присутствует привязка по UTM-меткам. По-умолчанию это привязка данных из Google Analytics.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kl3vjwpqk96c" w:id="6"/>
      <w:bookmarkEnd w:id="6"/>
      <w:r w:rsidDel="00000000" w:rsidR="00000000" w:rsidRPr="00000000">
        <w:rPr>
          <w:rtl w:val="0"/>
        </w:rPr>
        <w:t xml:space="preserve">Отправка письма с оповещением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После создания правил привязки проверяем, что: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всех кампаний Facebook в таблице core.AdEngineCampaigns созданы правила привязки в [client].[BindingRulesUtm]. Если есть кампании без правил привязки, формируем оповещение для письма. Шаблон ниже.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в таблице [client].[BindingRulesUtm] нет двух и более атомов с одинаковым набором Source, Medium и Campaign и HostName. Если есть, формируем оповещение для письма. Шаблон ниже.</w:t>
      </w:r>
    </w:p>
    <w:p w:rsidR="00000000" w:rsidDel="00000000" w:rsidP="00000000" w:rsidRDefault="00000000" w:rsidRPr="00000000" w14:paraId="00000035">
      <w:pPr>
        <w:spacing w:before="200" w:lineRule="auto"/>
        <w:rPr/>
      </w:pPr>
      <w:r w:rsidDel="00000000" w:rsidR="00000000" w:rsidRPr="00000000">
        <w:rPr>
          <w:rtl w:val="0"/>
        </w:rPr>
        <w:t xml:space="preserve">После создания правил привязки и проверки на ошибки, отправляем письмо на почту проекта. Шаблон письма:</w:t>
      </w:r>
    </w:p>
    <w:p w:rsidR="00000000" w:rsidDel="00000000" w:rsidP="00000000" w:rsidRDefault="00000000" w:rsidRPr="00000000" w14:paraId="00000036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проект</w:t>
      </w:r>
      <w:r w:rsidDel="00000000" w:rsidR="00000000" w:rsidRPr="00000000">
        <w:rPr>
          <w:rtl w:val="0"/>
        </w:rPr>
        <w:t xml:space="preserve">]: Созданы новые правила привязки ([</w:t>
      </w:r>
      <w:r w:rsidDel="00000000" w:rsidR="00000000" w:rsidRPr="00000000">
        <w:rPr>
          <w:i w:val="1"/>
          <w:rtl w:val="0"/>
        </w:rPr>
        <w:t xml:space="preserve">дата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8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Содержимое:</w:t>
      </w:r>
    </w:p>
    <w:p w:rsidR="00000000" w:rsidDel="00000000" w:rsidP="00000000" w:rsidRDefault="00000000" w:rsidRPr="00000000" w14:paraId="00000039">
      <w:pPr>
        <w:shd w:fill="ffffff" w:val="clear"/>
        <w:spacing w:befor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[Название площадки]</w:t>
      </w:r>
    </w:p>
    <w:p w:rsidR="00000000" w:rsidDel="00000000" w:rsidP="00000000" w:rsidRDefault="00000000" w:rsidRPr="00000000" w14:paraId="0000003A">
      <w:pPr>
        <w:spacing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 БД созданы правила привязки для кампании [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ID кампаний через запятую</w:t>
      </w:r>
      <w:r w:rsidDel="00000000" w:rsidR="00000000" w:rsidRPr="00000000">
        <w:rPr>
          <w:color w:val="222222"/>
          <w:highlight w:val="white"/>
          <w:rtl w:val="0"/>
        </w:rPr>
        <w:t xml:space="preserve">].</w:t>
      </w:r>
    </w:p>
    <w:p w:rsidR="00000000" w:rsidDel="00000000" w:rsidP="00000000" w:rsidRDefault="00000000" w:rsidRPr="00000000" w14:paraId="0000003B">
      <w:pPr>
        <w:spacing w:before="200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Внимание!</w:t>
      </w:r>
      <w:r w:rsidDel="00000000" w:rsidR="00000000" w:rsidRPr="00000000">
        <w:rPr>
          <w:color w:val="222222"/>
          <w:highlight w:val="white"/>
          <w:rtl w:val="0"/>
        </w:rPr>
        <w:t xml:space="preserve"> Не удалось составить правила привязки для кампаний [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ID кампаний через запятую</w:t>
      </w:r>
      <w:r w:rsidDel="00000000" w:rsidR="00000000" w:rsidRPr="00000000">
        <w:rPr>
          <w:color w:val="222222"/>
          <w:highlight w:val="white"/>
          <w:rtl w:val="0"/>
        </w:rPr>
        <w:t xml:space="preserve">]:</w:t>
      </w:r>
    </w:p>
    <w:tbl>
      <w:tblPr>
        <w:tblStyle w:val="Table1"/>
        <w:tblW w:w="9359.9238578680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06.5989847715737"/>
        <w:gridCol w:w="1575"/>
        <w:gridCol w:w="1950"/>
        <w:gridCol w:w="1440"/>
        <w:gridCol w:w="1544.1624365482235"/>
        <w:gridCol w:w="1544.1624365482235"/>
        <w:tblGridChange w:id="0">
          <w:tblGrid>
            <w:gridCol w:w="1306.5989847715737"/>
            <w:gridCol w:w="1575"/>
            <w:gridCol w:w="1950"/>
            <w:gridCol w:w="1440"/>
            <w:gridCol w:w="1544.1624365482235"/>
            <w:gridCol w:w="1544.162436548223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AtomID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Кампания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Дата старта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ProfileID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ProfileName</w:t>
            </w:r>
          </w:p>
        </w:tc>
      </w:tr>
      <w:tr>
        <w:trPr>
          <w:trHeight w:val="7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00" w:lineRule="auto"/>
              <w:jc w:val="center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AtomID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CampaignID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CampaignName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StartDate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ProfileID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ProfileName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Внимание! </w:t>
      </w:r>
      <w:r w:rsidDel="00000000" w:rsidR="00000000" w:rsidRPr="00000000">
        <w:rPr>
          <w:color w:val="222222"/>
          <w:highlight w:val="white"/>
          <w:rtl w:val="0"/>
        </w:rPr>
        <w:t xml:space="preserve">Для кампаний [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ID кампаний через запятую</w:t>
      </w:r>
      <w:r w:rsidDel="00000000" w:rsidR="00000000" w:rsidRPr="00000000">
        <w:rPr>
          <w:color w:val="222222"/>
          <w:highlight w:val="white"/>
          <w:rtl w:val="0"/>
        </w:rPr>
        <w:t xml:space="preserve">] заведены одинаковые правила привязки:</w:t>
      </w:r>
    </w:p>
    <w:tbl>
      <w:tblPr>
        <w:tblStyle w:val="Table2"/>
        <w:tblW w:w="9358.074814778609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21.5764592512935"/>
        <w:gridCol w:w="1500"/>
        <w:gridCol w:w="1815"/>
        <w:gridCol w:w="945"/>
        <w:gridCol w:w="1325.499451842438"/>
        <w:gridCol w:w="1325.499451842438"/>
        <w:gridCol w:w="1325.499451842438"/>
        <w:tblGridChange w:id="0">
          <w:tblGrid>
            <w:gridCol w:w="1121.5764592512935"/>
            <w:gridCol w:w="1500"/>
            <w:gridCol w:w="1815"/>
            <w:gridCol w:w="945"/>
            <w:gridCol w:w="1325.499451842438"/>
            <w:gridCol w:w="1325.499451842438"/>
            <w:gridCol w:w="1325.499451842438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AtomID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Кампания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Campaign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Hostname</w:t>
            </w:r>
          </w:p>
        </w:tc>
      </w:tr>
      <w:tr>
        <w:trPr>
          <w:trHeight w:val="7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00" w:lineRule="auto"/>
              <w:jc w:val="center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AtomID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CampaignID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CampaignName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Source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Medium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Campaign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0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Hostname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икита Шеин" w:id="0" w:date="2019-06-21T11:04:32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контент лучше сразу тоже смотреть, у нас сейчас есть возможность по нему тоже привязываться.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соц сетях просто треш обычно хуже, чем в контексте, и тут могут вобще всё в контент зафигачить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ー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velopers.facebook.com/docs/marketing-api/insights-api" TargetMode="External"/><Relationship Id="rId8" Type="http://schemas.openxmlformats.org/officeDocument/2006/relationships/hyperlink" Target="https://developers.facebook.com/docs/marketing-api/reference/ad-creativ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