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pasSimulation parameters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g, acceleration due to gravity (m/s^2):  9.81 m/s2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rho, air density (kg/m^3): 1.2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Gearbox efficiency: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Gear ratio: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Cost of energy: 1 SEK/kWh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Maximum allowed velocity: 70 km/h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Cost of electric motor: 70 SEK/kWh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C-rate of charge at stations: 1.5C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Cost of charging station: 2000 SEK/kW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Passenger mass (kg): 80 kg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Tram: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Mass of the tram car (kg): 36800 kg (Wikipedia: M32 spårvagn)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Maximum number of passengers: 202 (wikipedia)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Drag coefficient: 1.8 (https://www.engineeringtoolbox.com/drag-coefficient-d_627.html)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Frontal area: 3.32*(1.435+0.4) (wikipedia + excession outside wheel base)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Rolling resistance: 0.001 (https://www.engineeringtoolbox.com/rolling-friction-resistance-d_1303.html)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Wheel radius: 0.2 (no source)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Vehicle: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Used values from XC90: https://www.volvocars.com/se/bilar/modeller/xc90/specifikationer?gclid=CjwKCAjw3cPYBRB7EiwAsrc-uXi2RXLty7z73xsZWbaxWY-mfc309AqfyGBWKALqPSKbvGNwCLIjwRoCwoUQAvD_BwE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Unladen mass of vehicle (kg): 2000 kg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Wheel radius (m): 0.37 (19” + 235 mm 55% AR tires)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Aerodynamic drag coefficient (Cd):  0.5 (https://www.engineeringtoolbox.com/drag-coefficient-d_627.html)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Rolling resistance coefficient (Cr): 0.02 (https://www.engineeringtoolbox.com/rolling-friction-resistance-d_1303.html)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Frontal cross-section (m^2): 1.78*2.0 (XC90)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Energy density of battery (kWh/kg): 0.1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Cost of battery: 1000 SEK/kWh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