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Continuous Deployment &amp; Incident Handbook</w:t>
      </w:r>
    </w:p>
    <w:p>
      <w:pPr>
        <w:pStyle w:val="Heading2"/>
      </w:pPr>
      <w:r>
        <w:t>Blue-Green Deployment Protocol</w:t>
      </w:r>
    </w:p>
    <w:p>
      <w:r>
        <w:t>All production deployments must follow Blue-Green environment switching. The green environment is provisioned, warm-up tests are executed, and DNS traffic weights are shifted incrementally over a 20-minute window (10%, 25%, 50%, 100%).</w:t>
      </w:r>
    </w:p>
    <w:p>
      <w:pPr>
        <w:pStyle w:val="Heading2"/>
      </w:pPr>
      <w:r>
        <w:t>Automated Rollback Triggers</w:t>
      </w:r>
    </w:p>
    <w:p>
      <w:r>
        <w:t>Automated rollbacks are executed instantly if the HTTP 5xx error rate exceeds 0.5% over a 3-minute rolling window, or if latency p99 exceeds 450ms. The deployment pipeline restores traffic to the previous Blue environment within 12 seconds.</w:t>
      </w:r>
    </w:p>
    <w:p>
      <w:pPr>
        <w:pStyle w:val="Heading2"/>
      </w:pPr>
      <w:r>
        <w:t>Incident Escalation Protocol</w:t>
      </w:r>
    </w:p>
    <w:p>
      <w:r>
        <w:t>For Severity 1 (P1) outages impacting core payment or authentication services, the Incident Commander must open an emergency bridge within 5 minutes and notify the VP of Engineering within 15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