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Clinical Trial Protocol &amp; Adverse Event Reporting Guidelines</w:t>
      </w:r>
    </w:p>
    <w:p>
      <w:pPr>
        <w:pStyle w:val="Heading2"/>
      </w:pPr>
      <w:r>
        <w:t>Informed Consent Administration</w:t>
      </w:r>
    </w:p>
    <w:p>
      <w:r>
        <w:t>Informed consent must be obtained voluntarily from all prospective trial participants prior to initiating any study-related procedure. The consent document must be signed in duplicate with one physical copy provided to the patient.</w:t>
      </w:r>
    </w:p>
    <w:p>
      <w:pPr>
        <w:pStyle w:val="Heading2"/>
      </w:pPr>
      <w:r>
        <w:t>Serious Adverse Event (SAE) Reporting</w:t>
      </w:r>
    </w:p>
    <w:p>
      <w:r>
        <w:t>Any Serious Adverse Event—defined as death, life-threatening condition, hospitalization, or persistent disability—must be reported to the Principal Investigator and Institutional Review Board (IRB) within 24 hours of clinical notification.</w:t>
      </w:r>
    </w:p>
    <w:p>
      <w:pPr>
        <w:pStyle w:val="Heading2"/>
      </w:pPr>
      <w:r>
        <w:t>Double-Blind Protocol Maintenance</w:t>
      </w:r>
    </w:p>
    <w:p>
      <w:r>
        <w:t>Blinding codes for experimental drug vs placebo are maintained by an unblinded biostatistician. Emergency unblinding is permitted only when immediate clinical treatment decisions depend on knowing the exact assignment.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