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Pr="009D78D1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>Wykorzystano popularną platformę GitHub,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wideo. Jednak nie wspiera ona odtwarzania nieskompresowanych sekwencji wideo. Jednym ze standardo</w:t>
      </w:r>
      <w:r w:rsidR="00955CD4">
        <w:t>wych sposobów odtwarzania wideo</w:t>
      </w:r>
      <w:r>
        <w:t xml:space="preserve"> jest</w:t>
      </w:r>
      <w:r w:rsidR="00955CD4">
        <w:t>,</w:t>
      </w:r>
      <w:bookmarkStart w:id="0" w:name="_GoBack"/>
      <w:bookmarkEnd w:id="0"/>
      <w:r>
        <w:t xml:space="preserve"> poprzez dekompresje filmu, wczytywanie nie całych klatek, a tylko zmian zachodzących między kolejnymi dwoma. 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Pr="00770172" w:rsidRDefault="00D370F1" w:rsidP="00E133D5">
      <w:pPr>
        <w:ind w:firstLine="360"/>
        <w:jc w:val="both"/>
      </w:pPr>
      <w:r>
        <w:t xml:space="preserve">W przypadku inkrementacyjnego ładowania zmian w jednym z ostatnich kroków procesu otrzymywana jest klatka reprezentowana w ten sam sposób, co zapisana jako nieskompresowana. Dzięki tej obserwacji, możliwe jest wstrzyknięcie wczytanej nieskompresowanej klatki do standardowego procesu odtwarzania filmu i jego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sectPr w:rsidR="00EB335D" w:rsidRPr="0077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598" w:rsidRDefault="00271598" w:rsidP="00CA66AF">
      <w:pPr>
        <w:spacing w:after="0" w:line="240" w:lineRule="auto"/>
      </w:pPr>
      <w:r>
        <w:separator/>
      </w:r>
    </w:p>
  </w:endnote>
  <w:endnote w:type="continuationSeparator" w:id="0">
    <w:p w:rsidR="00271598" w:rsidRDefault="00271598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598" w:rsidRDefault="00271598" w:rsidP="00CA66AF">
      <w:pPr>
        <w:spacing w:after="0" w:line="240" w:lineRule="auto"/>
      </w:pPr>
      <w:r>
        <w:separator/>
      </w:r>
    </w:p>
  </w:footnote>
  <w:footnote w:type="continuationSeparator" w:id="0">
    <w:p w:rsidR="00271598" w:rsidRDefault="00271598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234F9"/>
    <w:rsid w:val="00095F73"/>
    <w:rsid w:val="000A0FE7"/>
    <w:rsid w:val="000A5B43"/>
    <w:rsid w:val="000B6344"/>
    <w:rsid w:val="00113A72"/>
    <w:rsid w:val="00123C7F"/>
    <w:rsid w:val="001C4ACA"/>
    <w:rsid w:val="00265599"/>
    <w:rsid w:val="00271598"/>
    <w:rsid w:val="00281442"/>
    <w:rsid w:val="0028204B"/>
    <w:rsid w:val="00384090"/>
    <w:rsid w:val="00452F70"/>
    <w:rsid w:val="004B06F5"/>
    <w:rsid w:val="004E013D"/>
    <w:rsid w:val="00502EDE"/>
    <w:rsid w:val="0058778C"/>
    <w:rsid w:val="006153AC"/>
    <w:rsid w:val="00671590"/>
    <w:rsid w:val="00671FB2"/>
    <w:rsid w:val="006B144D"/>
    <w:rsid w:val="006D0AC5"/>
    <w:rsid w:val="00700328"/>
    <w:rsid w:val="00770172"/>
    <w:rsid w:val="007B3240"/>
    <w:rsid w:val="008274A9"/>
    <w:rsid w:val="008530CC"/>
    <w:rsid w:val="008D403C"/>
    <w:rsid w:val="008F258B"/>
    <w:rsid w:val="00955CD4"/>
    <w:rsid w:val="00992F6C"/>
    <w:rsid w:val="009A21D7"/>
    <w:rsid w:val="009B115B"/>
    <w:rsid w:val="009B4F35"/>
    <w:rsid w:val="009D78D1"/>
    <w:rsid w:val="009E7D04"/>
    <w:rsid w:val="00A10E0E"/>
    <w:rsid w:val="00A32FDB"/>
    <w:rsid w:val="00A91A02"/>
    <w:rsid w:val="00AA5BE2"/>
    <w:rsid w:val="00B80745"/>
    <w:rsid w:val="00B82F90"/>
    <w:rsid w:val="00B90A31"/>
    <w:rsid w:val="00BB1785"/>
    <w:rsid w:val="00BC2768"/>
    <w:rsid w:val="00BE45B2"/>
    <w:rsid w:val="00CA66AF"/>
    <w:rsid w:val="00D370F1"/>
    <w:rsid w:val="00D761FA"/>
    <w:rsid w:val="00DB7490"/>
    <w:rsid w:val="00DC2098"/>
    <w:rsid w:val="00E133D5"/>
    <w:rsid w:val="00E41C5D"/>
    <w:rsid w:val="00E47464"/>
    <w:rsid w:val="00E820E9"/>
    <w:rsid w:val="00EA2FDE"/>
    <w:rsid w:val="00EB335D"/>
    <w:rsid w:val="00EB59FF"/>
    <w:rsid w:val="00F11F03"/>
    <w:rsid w:val="00F76C94"/>
    <w:rsid w:val="00F97D30"/>
    <w:rsid w:val="00FA672A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1431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35</cp:revision>
  <dcterms:created xsi:type="dcterms:W3CDTF">2017-05-10T18:04:00Z</dcterms:created>
  <dcterms:modified xsi:type="dcterms:W3CDTF">2017-06-04T19:12:00Z</dcterms:modified>
</cp:coreProperties>
</file>