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Pr="009D78D1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</w:p>
    <w:p w:rsidR="00B90A31" w:rsidRPr="009D78D1" w:rsidRDefault="00B90A31" w:rsidP="008F258B">
      <w:pPr>
        <w:ind w:firstLine="360"/>
        <w:jc w:val="both"/>
      </w:pPr>
      <w:r w:rsidRPr="009D78D1">
        <w:t xml:space="preserve">Kluczowym punktem pracy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 xml:space="preserve">cią przeglądu dostępnych zasobów ludzkich pod kątem umiejętności tworzenia oprogramowania w danym języku oraz analizą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 xml:space="preserve">ze względu na doświadczenie </w:t>
      </w:r>
      <w:r w:rsidRPr="009D78D1">
        <w:t>z tym językiem,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>Wybranym systemem operacyjnym</w:t>
      </w:r>
      <w:bookmarkStart w:id="0" w:name="_GoBack"/>
      <w:bookmarkEnd w:id="0"/>
      <w:r w:rsidRPr="009D78D1">
        <w:t xml:space="preserve"> został Linux, dystrybucja Xubuntu </w:t>
      </w:r>
      <w:r w:rsidRPr="009D78D1">
        <w:rPr>
          <w:rStyle w:val="5yl5"/>
        </w:rPr>
        <w:t>16.04</w:t>
      </w:r>
      <w:r w:rsidRPr="009D78D1">
        <w:rPr>
          <w:rStyle w:val="5yl5"/>
        </w:rPr>
        <w:t xml:space="preserve">.2 </w:t>
      </w:r>
      <w:r w:rsidRPr="009D78D1">
        <w:t xml:space="preserve">posiadająca jądro w wersji </w:t>
      </w:r>
      <w:r w:rsidRPr="009D78D1">
        <w:rPr>
          <w:rStyle w:val="5yl5"/>
        </w:rPr>
        <w:t>4.4.0-72-generic</w:t>
      </w:r>
      <w:r w:rsidRPr="009D78D1">
        <w:rPr>
          <w:rStyle w:val="5yl5"/>
        </w:rPr>
        <w:t xml:space="preserve">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9D78D1" w:rsidRDefault="009D78D1" w:rsidP="008F258B">
      <w:pPr>
        <w:ind w:firstLine="360"/>
        <w:jc w:val="both"/>
        <w:rPr>
          <w:rStyle w:val="5yl5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9D78D1">
        <w:rPr>
          <w:rStyle w:val="5yl5"/>
          <w:i/>
        </w:rPr>
        <w:t>Integrated Development Environment</w:t>
      </w:r>
      <w:r w:rsidRPr="009D78D1">
        <w:rPr>
          <w:rStyle w:val="5yl5"/>
        </w:rPr>
        <w:t xml:space="preserve">) w celach edukacyjnych. </w:t>
      </w:r>
    </w:p>
    <w:p w:rsidR="00700328" w:rsidRPr="009D78D1" w:rsidRDefault="009D78D1" w:rsidP="008F258B">
      <w:pPr>
        <w:ind w:firstLine="360"/>
        <w:jc w:val="both"/>
      </w:pPr>
      <w:r w:rsidRPr="009D78D1">
        <w:rPr>
          <w:rStyle w:val="5yl5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wyselekcjonować bibliotekę, która dała by 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</w:p>
    <w:p w:rsidR="00B90A31" w:rsidRPr="009D78D1" w:rsidRDefault="00B90A31" w:rsidP="00B90A31">
      <w:pPr>
        <w:pStyle w:val="Podtytu"/>
        <w:numPr>
          <w:ilvl w:val="0"/>
          <w:numId w:val="1"/>
        </w:numPr>
      </w:pPr>
    </w:p>
    <w:sectPr w:rsidR="00B90A31" w:rsidRPr="009D7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1FA" w:rsidRDefault="00D761FA" w:rsidP="00CA66AF">
      <w:pPr>
        <w:spacing w:after="0" w:line="240" w:lineRule="auto"/>
      </w:pPr>
      <w:r>
        <w:separator/>
      </w:r>
    </w:p>
  </w:endnote>
  <w:endnote w:type="continuationSeparator" w:id="0">
    <w:p w:rsidR="00D761FA" w:rsidRDefault="00D761FA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1FA" w:rsidRDefault="00D761FA" w:rsidP="00CA66AF">
      <w:pPr>
        <w:spacing w:after="0" w:line="240" w:lineRule="auto"/>
      </w:pPr>
      <w:r>
        <w:separator/>
      </w:r>
    </w:p>
  </w:footnote>
  <w:footnote w:type="continuationSeparator" w:id="0">
    <w:p w:rsidR="00D761FA" w:rsidRDefault="00D761FA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123C7F"/>
    <w:rsid w:val="001C4ACA"/>
    <w:rsid w:val="00700328"/>
    <w:rsid w:val="008F258B"/>
    <w:rsid w:val="009A21D7"/>
    <w:rsid w:val="009D78D1"/>
    <w:rsid w:val="00B90A31"/>
    <w:rsid w:val="00BE45B2"/>
    <w:rsid w:val="00CA66AF"/>
    <w:rsid w:val="00D761FA"/>
    <w:rsid w:val="00E47464"/>
    <w:rsid w:val="00E820E9"/>
    <w:rsid w:val="00F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344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4</cp:revision>
  <dcterms:created xsi:type="dcterms:W3CDTF">2017-05-10T18:04:00Z</dcterms:created>
  <dcterms:modified xsi:type="dcterms:W3CDTF">2017-05-10T19:55:00Z</dcterms:modified>
</cp:coreProperties>
</file>