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ACF" w:rsidRPr="00C42EDE" w:rsidRDefault="00291ACF" w:rsidP="00C42EDE"/>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291ACF" w:rsidRPr="009D78D1" w:rsidRDefault="00291ACF" w:rsidP="00291ACF"/>
    <w:p w:rsidR="00103309" w:rsidRDefault="00103309" w:rsidP="00291ACF">
      <w:pPr>
        <w:pStyle w:val="Tytu"/>
        <w:rPr>
          <w:sz w:val="72"/>
          <w:szCs w:val="72"/>
        </w:rPr>
      </w:pPr>
    </w:p>
    <w:p w:rsidR="001D0E65" w:rsidRPr="00291ACF" w:rsidRDefault="00291ACF" w:rsidP="00291ACF">
      <w:pPr>
        <w:pStyle w:val="Tytu"/>
        <w:rPr>
          <w:sz w:val="72"/>
          <w:szCs w:val="72"/>
        </w:rPr>
      </w:pPr>
      <w:r>
        <w:rPr>
          <w:sz w:val="72"/>
          <w:szCs w:val="72"/>
        </w:rPr>
        <w:t>W</w:t>
      </w:r>
      <w:r w:rsidRPr="00291ACF">
        <w:rPr>
          <w:sz w:val="72"/>
          <w:szCs w:val="72"/>
        </w:rPr>
        <w:t>PROWADZENIE</w:t>
      </w:r>
    </w:p>
    <w:p w:rsidR="00430BDC" w:rsidRDefault="00430BDC"/>
    <w:p w:rsidR="00103309" w:rsidRDefault="00103309"/>
    <w:p w:rsidR="00103309" w:rsidRDefault="00430BDC" w:rsidP="00103309">
      <w:pPr>
        <w:pStyle w:val="Nagwek1"/>
      </w:pPr>
      <w:r w:rsidRPr="00103309">
        <w:t>T</w:t>
      </w:r>
      <w:r w:rsidR="00291ACF" w:rsidRPr="00103309">
        <w:t>eoria</w:t>
      </w:r>
    </w:p>
    <w:p w:rsidR="00F5269A" w:rsidRDefault="00F5269A" w:rsidP="00F5269A">
      <w:pPr>
        <w:pStyle w:val="Nagwek2"/>
      </w:pPr>
      <w:proofErr w:type="gramStart"/>
      <w:r>
        <w:t>Standardy jakości</w:t>
      </w:r>
      <w:proofErr w:type="gramEnd"/>
      <w:r>
        <w:t xml:space="preserve"> wideo</w:t>
      </w:r>
    </w:p>
    <w:p w:rsidR="00F5269A" w:rsidRPr="00F5269A" w:rsidRDefault="00F5269A" w:rsidP="00F5269A">
      <w:bookmarkStart w:id="0" w:name="_GoBack"/>
      <w:bookmarkEnd w:id="0"/>
    </w:p>
    <w:p w:rsidR="00A0598A" w:rsidRDefault="00430BDC" w:rsidP="00103309">
      <w:pPr>
        <w:pStyle w:val="Nagwek2"/>
      </w:pPr>
      <w:proofErr w:type="gramStart"/>
      <w:r w:rsidRPr="00103309">
        <w:t>Subiektywna</w:t>
      </w:r>
      <w:r w:rsidRPr="00291ACF">
        <w:t xml:space="preserve"> jakość</w:t>
      </w:r>
      <w:proofErr w:type="gramEnd"/>
      <w:r w:rsidRPr="00291ACF">
        <w:t xml:space="preserve"> wideo</w:t>
      </w:r>
    </w:p>
    <w:p w:rsidR="00103309" w:rsidRDefault="00103309" w:rsidP="00A0598A"/>
    <w:p w:rsidR="00103309" w:rsidRDefault="00A0598A" w:rsidP="00C42EDE">
      <w:pPr>
        <w:ind w:firstLine="567"/>
      </w:pPr>
      <w:r>
        <w:t xml:space="preserve">Jakość to miara doskonałości. W przypadku wideo możemy </w:t>
      </w:r>
      <w:proofErr w:type="gramStart"/>
      <w:r>
        <w:t>wyróżnić jakość</w:t>
      </w:r>
      <w:proofErr w:type="gramEnd"/>
      <w:r>
        <w:t xml:space="preserve"> obiektywną oraz subiektywną. Jakością obiektywną </w:t>
      </w:r>
      <w:proofErr w:type="gramStart"/>
      <w:r>
        <w:t>nazywamy jakość</w:t>
      </w:r>
      <w:proofErr w:type="gramEnd"/>
      <w:r>
        <w:t xml:space="preserve"> mierzalną czyli taką którą da się opisać za pomocą równań czyli parametrów liczbowych. Jej zaletą jest niezależność od czynników ludzkich </w:t>
      </w:r>
      <w:r w:rsidR="007F569F">
        <w:t xml:space="preserve">natomiast ta sama łatwość może również stanowić problem. Wideo obiektywnie </w:t>
      </w:r>
      <w:proofErr w:type="gramStart"/>
      <w:r w:rsidR="007F569F">
        <w:t>dobrej jakości</w:t>
      </w:r>
      <w:proofErr w:type="gramEnd"/>
      <w:r w:rsidR="007F569F">
        <w:t xml:space="preserve"> może tak naprawdę wyglądać źle ze względu na fakt, iż ludzkie oczy są różne, podobnie jak różne są reakcje ludzi na poszczególne bodźce, dlatego też stosuje się testy subiektywne. Jakość subiektywna </w:t>
      </w:r>
      <w:r w:rsidR="00F60147">
        <w:t xml:space="preserve">polega na ocenie wyników testów poprzez metody statystyczne. Zazwyczaj wyniki testów przeprowadzanych na grupie badanych uśrednia się uzyskując w ten sposób wynik będący liczbową </w:t>
      </w:r>
      <w:proofErr w:type="gramStart"/>
      <w:r w:rsidR="00F60147">
        <w:t>oceną jakości</w:t>
      </w:r>
      <w:proofErr w:type="gramEnd"/>
      <w:r w:rsidR="00F60147">
        <w:t xml:space="preserve"> wideo. Testy subiektywne wykonuje się według określonych standardowych reguł opisanych w publikacjach Sektora N</w:t>
      </w:r>
      <w:r w:rsidR="00431B6A">
        <w:t xml:space="preserve">ormalizacji Telekomunikacji ITU. Najnowsze normy ITU-T P.913 określają m.in. kształt pomieszczenia, kolory ścian i podług, odpowiednie ustawienie sprzętu czy oświetlenia, a także wiele </w:t>
      </w:r>
      <w:r w:rsidR="00431B6A">
        <w:lastRenderedPageBreak/>
        <w:t>norm technicznych czy sposobów doboru badanych osób</w:t>
      </w:r>
      <w:r w:rsidR="00E53282">
        <w:t>.</w:t>
      </w:r>
      <w:r w:rsidR="00770585">
        <w:t xml:space="preserve"> Istotne aspekty przeprowadzanych testów zostaną opisane w dalszej części pracy.</w:t>
      </w:r>
    </w:p>
    <w:p w:rsidR="00103309" w:rsidRDefault="00103309" w:rsidP="00103309">
      <w:pPr>
        <w:pStyle w:val="Nagwek2"/>
      </w:pPr>
      <w:r>
        <w:t>Sekwencje wideo</w:t>
      </w:r>
    </w:p>
    <w:p w:rsidR="00BD7A56" w:rsidRDefault="00C04681" w:rsidP="00C42EDE">
      <w:pPr>
        <w:ind w:firstLine="567"/>
      </w:pPr>
      <w:r>
        <w:t xml:space="preserve">Ponieważ, człowiek z natury dąży do uzyskania jak </w:t>
      </w:r>
      <w:proofErr w:type="gramStart"/>
      <w:r>
        <w:t>najlepszej jakości</w:t>
      </w:r>
      <w:proofErr w:type="gramEnd"/>
      <w:r>
        <w:t xml:space="preserve"> w każdym aspekcie życia filmy</w:t>
      </w:r>
      <w:r w:rsidR="00C9528B">
        <w:t xml:space="preserve"> źródłowe (</w:t>
      </w:r>
      <w:r w:rsidR="00C9528B" w:rsidRPr="00C04681">
        <w:rPr>
          <w:i/>
        </w:rPr>
        <w:t>SRC</w:t>
      </w:r>
      <w:r w:rsidR="00C9528B">
        <w:t xml:space="preserve">) </w:t>
      </w:r>
      <w:r>
        <w:t>to filmy wideo nieskompresowane o możliwie najlepszych parametrach głębi</w:t>
      </w:r>
      <w:r w:rsidR="00BD7A56">
        <w:t xml:space="preserve">, </w:t>
      </w:r>
      <w:r>
        <w:t>przepływności (</w:t>
      </w:r>
      <w:proofErr w:type="spellStart"/>
      <w:r w:rsidRPr="00C04681">
        <w:rPr>
          <w:i/>
        </w:rPr>
        <w:t>bitrate</w:t>
      </w:r>
      <w:proofErr w:type="spellEnd"/>
      <w:r>
        <w:t>)</w:t>
      </w:r>
      <w:r w:rsidR="00BD7A56">
        <w:t xml:space="preserve"> i o wysokiej liczbie klatek na sekundę</w:t>
      </w:r>
      <w:r>
        <w:t xml:space="preserve">. </w:t>
      </w:r>
      <w:r w:rsidR="00BD7A56">
        <w:t xml:space="preserve">Z filmu wycina się fragment około 10 sekund nazywany dalej sekwencją. </w:t>
      </w:r>
      <w:r>
        <w:t xml:space="preserve">Filmy te kompresuje się ze zmienioną przepływnością celem sztucznego </w:t>
      </w:r>
      <w:proofErr w:type="gramStart"/>
      <w:r>
        <w:t>pogorszen</w:t>
      </w:r>
      <w:r w:rsidR="00BD7A56">
        <w:t>ia jakości</w:t>
      </w:r>
      <w:proofErr w:type="gramEnd"/>
      <w:r w:rsidR="00BD7A56">
        <w:t xml:space="preserve"> sekwencji</w:t>
      </w:r>
      <w:r>
        <w:t xml:space="preserve"> do porównania, a następnie ponownie dekompresuje.</w:t>
      </w:r>
      <w:r w:rsidR="00BD7A56">
        <w:t xml:space="preserve"> Uzyskane wideo </w:t>
      </w:r>
      <w:proofErr w:type="gramStart"/>
      <w:r w:rsidR="00BD7A56">
        <w:t>wysokiej jakości</w:t>
      </w:r>
      <w:proofErr w:type="gramEnd"/>
      <w:r w:rsidR="00BD7A56">
        <w:t xml:space="preserve"> zajmuje bardzo dużo przestrzeni dyskowej co stanowi dodatkowy problem. </w:t>
      </w:r>
    </w:p>
    <w:p w:rsidR="00103309" w:rsidRPr="00775F84" w:rsidRDefault="00BD7A56" w:rsidP="00C42EDE">
      <w:pPr>
        <w:ind w:firstLine="567"/>
      </w:pPr>
      <w:r>
        <w:t xml:space="preserve">Jedna sekunda sekwencji składa się standardowo z od 24 do 60 klatek (w </w:t>
      </w:r>
      <w:r w:rsidR="00900C5C">
        <w:t xml:space="preserve">zależności od ilości klatek na sekundę – </w:t>
      </w:r>
      <w:proofErr w:type="spellStart"/>
      <w:r w:rsidR="00900C5C" w:rsidRPr="00900C5C">
        <w:rPr>
          <w:i/>
        </w:rPr>
        <w:t>fps</w:t>
      </w:r>
      <w:proofErr w:type="spellEnd"/>
      <w:r w:rsidR="00900C5C">
        <w:t xml:space="preserve"> w filmie źródłowym). W przypadku rozdzielczości UHD, czyli </w:t>
      </w:r>
      <w:r w:rsidR="00900C5C" w:rsidRPr="00900C5C">
        <w:rPr>
          <w:i/>
        </w:rPr>
        <w:t xml:space="preserve">4096x2160 </w:t>
      </w:r>
      <w:r w:rsidR="00900C5C">
        <w:t>i standardowo 8 bitach na kolor</w:t>
      </w:r>
      <w:r w:rsidR="00775F84">
        <w:t xml:space="preserve"> ilość danych konieczna do załadowania pojedynczej nieskompresowanej sekundy takiego filmu jest tak duża, że przekracza możliwości odczytu danych z najszybszych dostępnych na rynku dysków </w:t>
      </w:r>
      <w:r w:rsidR="00775F84" w:rsidRPr="00775F84">
        <w:rPr>
          <w:i/>
        </w:rPr>
        <w:t>SSD</w:t>
      </w:r>
      <w:r w:rsidR="00775F84">
        <w:t xml:space="preserve">. </w:t>
      </w:r>
      <w:r w:rsidR="005654B7">
        <w:t xml:space="preserve">Dlatego też stosuje ogranicza się parametry próbkowania chrominancji </w:t>
      </w:r>
      <w:proofErr w:type="gramStart"/>
      <w:r w:rsidR="005654B7">
        <w:t>pogarszając jakość</w:t>
      </w:r>
      <w:proofErr w:type="gramEnd"/>
      <w:r w:rsidR="005654B7">
        <w:t>, jednakże pozwalając na odtwarzanie z dysku. Poza czasem odczytu z dysku problematyczna staje się również jego pojemność. Dziesięciosekundowa nieskompresowana sekwencja ze strukturą próbkowania</w:t>
      </w:r>
      <w:proofErr w:type="gramStart"/>
      <w:r w:rsidR="005654B7">
        <w:t xml:space="preserve"> 4:2:0 w</w:t>
      </w:r>
      <w:proofErr w:type="gramEnd"/>
      <w:r w:rsidR="005654B7">
        <w:t xml:space="preserve"> rozdzielczości UHD przy 25 </w:t>
      </w:r>
      <w:proofErr w:type="spellStart"/>
      <w:r w:rsidR="005654B7">
        <w:t>kl</w:t>
      </w:r>
      <w:proofErr w:type="spellEnd"/>
      <w:r w:rsidR="005654B7">
        <w:t>/s zajmuje około 3.5 GB przestrzeni dyskowej.</w:t>
      </w:r>
    </w:p>
    <w:p w:rsidR="000F1BD8" w:rsidRDefault="000F1BD8" w:rsidP="00103309">
      <w:pPr>
        <w:pStyle w:val="Nagwek2"/>
      </w:pPr>
      <w:r>
        <w:t>Sprzęt</w:t>
      </w:r>
    </w:p>
    <w:p w:rsidR="000F1BD8" w:rsidRPr="000F1BD8" w:rsidRDefault="00103309" w:rsidP="00C42EDE">
      <w:pPr>
        <w:ind w:firstLine="567"/>
      </w:pPr>
      <w:r>
        <w:t xml:space="preserve">Środowisko testowe to nie tylko oprogramowanie, ale także odpowiedni sprzęt pozwalający na odtwarzanie nieskompresowanych sekwencji wideo wysokiej rozdzielczości. </w:t>
      </w:r>
      <w:r w:rsidR="005262F9">
        <w:t xml:space="preserve"> Aby wyświetlać obraz </w:t>
      </w:r>
      <w:proofErr w:type="gramStart"/>
      <w:r w:rsidR="005262F9">
        <w:t>najwyższej jakości</w:t>
      </w:r>
      <w:proofErr w:type="gramEnd"/>
      <w:r w:rsidR="005262F9">
        <w:t xml:space="preserve"> w rozdzielczościach FHD czy UHD konieczne są karty graficzne z najwyższej półki. Kierując się kryterium szybkości przetwarzania obrazu twórcy środowisk testowych stosują karty graficzne najpopularniejszych producentów wybierając produkty dla graczy. Od sprzętu dla gracza komputerowego wymaga się najwyższej szybkości ze względu na konieczność </w:t>
      </w:r>
      <w:proofErr w:type="spellStart"/>
      <w:r w:rsidR="005262F9">
        <w:t>renderowania</w:t>
      </w:r>
      <w:proofErr w:type="spellEnd"/>
      <w:r w:rsidR="005262F9">
        <w:t xml:space="preserve"> grafiki 3D</w:t>
      </w:r>
      <w:r w:rsidR="001F1AB4">
        <w:t xml:space="preserve">. Na rynku kart graficznych istnieje bardzo silna rywalizacja o klienta pomiędzy wiodącymi markami, co powoduje obniżenie ceny i </w:t>
      </w:r>
      <w:proofErr w:type="gramStart"/>
      <w:r w:rsidR="001F1AB4">
        <w:t>podniesienie jakości</w:t>
      </w:r>
      <w:proofErr w:type="gramEnd"/>
      <w:r w:rsidR="001F1AB4">
        <w:t xml:space="preserve"> produktu. Dzisiejsze karty graficzne pozwalają na wyświetlanie obrazu w rozdzielczości 4k zachowując pełną płynność obrazu. </w:t>
      </w:r>
      <w:r w:rsidR="002B261E">
        <w:t>Rozsądny koszt takiej karty waha się granicach 700 - 1400zł (stan na maj 2017).</w:t>
      </w:r>
    </w:p>
    <w:p w:rsidR="002B261E" w:rsidRDefault="002B261E" w:rsidP="00017E88">
      <w:pPr>
        <w:ind w:firstLine="567"/>
      </w:pPr>
    </w:p>
    <w:p w:rsidR="001F1AB4" w:rsidRDefault="001F1AB4" w:rsidP="00CB40DC">
      <w:pPr>
        <w:ind w:firstLine="567"/>
      </w:pPr>
      <w:r>
        <w:t>Odtwarzania wideo wymaga także wielowątkowego procesora, jednakże moc obliczeniowa jednostki CPU nie jest aż tak istotna ze względu na problem z prędkością odczytu danych. Analizując proces odtwarzania nieskompresowanych sekwencji wideo nasuwa się wniosek, iż najwolniejszym elementem procesu jest dysk komputera. Pomimo wprowadzenia na rynek dysków półprzewodnikowych SSD, które osiągają nawet 1000x mniejsze czasy dostępu do</w:t>
      </w:r>
      <w:r w:rsidR="00017E88">
        <w:t xml:space="preserve"> danych niż klasyczne dyski HDD, pozwalają one na uzyskanie prędkości odczytu około </w:t>
      </w:r>
      <w:r w:rsidR="00CB40DC">
        <w:t>530 MB</w:t>
      </w:r>
      <w:r w:rsidR="00017E88">
        <w:t xml:space="preserve">/s, co jest wartością graniczną dla sekwencji UHD nie pozwalając na płynne wczytywanie sekwencji z strukturą próbkowania kolorów 4:4:4. Dlatego też dla przeprowadzania testów wideo subiektywnych w rozdzielczości większej niż 4k (8k czy 16k) konieczne jest wprowadzenie na rynek nowego nośnika danych, bądź wstępna kompresja sekwencji. </w:t>
      </w:r>
      <w:r w:rsidR="00CB40DC">
        <w:t xml:space="preserve">Ze względu na wzrost światowych cen dolara w lutym 2017 cena 1GB przestrzeni dyskowej SSD wynosiła około 2 zł, obecnie (stan na maj 2017) cena ta spadła do około 1,6 zł, a ze względu na wprowadzenie na rynek dysków o pojemności 1TB przez </w:t>
      </w:r>
      <w:r w:rsidR="00CB40DC">
        <w:lastRenderedPageBreak/>
        <w:t>niemal wszystkich producentów notuje się ciągły spadek ceny. Jeśli chod</w:t>
      </w:r>
      <w:r w:rsidR="00DE0A1A">
        <w:t xml:space="preserve">zi o nośniki szybsze niż SSD </w:t>
      </w:r>
      <w:r w:rsidR="00CB40DC">
        <w:t xml:space="preserve">firma Intel wprowadza na rynek technologie Intel </w:t>
      </w:r>
      <w:proofErr w:type="spellStart"/>
      <w:r w:rsidR="00CB40DC">
        <w:t>Optane</w:t>
      </w:r>
      <w:proofErr w:type="spellEnd"/>
      <w:r w:rsidR="00CB40DC">
        <w:t xml:space="preserve"> pozwalającą zgodnie z zapowiedzią uzyskiwać dostęp do danych szybciej niż w przypadku klasycznych dysków SSD jednakże rozwiązanie </w:t>
      </w:r>
      <w:r w:rsidR="00DE0A1A">
        <w:t xml:space="preserve">dopiero debiutuje i nie było dostępne do przetestowania dla autorów pracy. </w:t>
      </w:r>
    </w:p>
    <w:p w:rsidR="00FC6DC3" w:rsidRDefault="00017E88" w:rsidP="005262F9">
      <w:r>
        <w:tab/>
      </w:r>
    </w:p>
    <w:p w:rsidR="00FC6DC3" w:rsidRDefault="00017E88" w:rsidP="00C42EDE">
      <w:pPr>
        <w:ind w:firstLine="567"/>
        <w:rPr>
          <w:bCs/>
        </w:rPr>
      </w:pPr>
      <w:r>
        <w:t xml:space="preserve">Do wyświetlania obrazów poza odtwarzaczem (w przypadku testów subiektywnych jest to najczęściej komputer) </w:t>
      </w:r>
      <w:r w:rsidR="001B29BA">
        <w:t xml:space="preserve">konieczny jest również monitor. </w:t>
      </w:r>
      <w:r w:rsidR="00DE0A1A">
        <w:t xml:space="preserve">Przeprowadzono analizę rynku dostępnych monitorów pod kątem wyświetlania wysokich </w:t>
      </w:r>
      <w:proofErr w:type="gramStart"/>
      <w:r w:rsidR="00DE0A1A">
        <w:t>standardów jakości</w:t>
      </w:r>
      <w:proofErr w:type="gramEnd"/>
      <w:r w:rsidR="00DE0A1A">
        <w:t xml:space="preserve"> obrazu. </w:t>
      </w:r>
      <w:r w:rsidR="00F21455">
        <w:t>Poszukiwano monitorów lub telewizorów pozwalających na wyświetlanie wideo w rozdzielczości 4k, wspierających technikę HDR i pozwalających na wyświetlanie obrazów w poszerzonej przestrzeni barw zgodnej z rec.2020 (</w:t>
      </w:r>
      <w:r w:rsidR="00F21455" w:rsidRPr="00F21455">
        <w:rPr>
          <w:bCs/>
        </w:rPr>
        <w:t xml:space="preserve">ITU-R </w:t>
      </w:r>
      <w:proofErr w:type="spellStart"/>
      <w:r w:rsidR="00F21455" w:rsidRPr="00F21455">
        <w:rPr>
          <w:bCs/>
        </w:rPr>
        <w:t>Recommendation</w:t>
      </w:r>
      <w:proofErr w:type="spellEnd"/>
      <w:r w:rsidR="00F21455" w:rsidRPr="00F21455">
        <w:rPr>
          <w:bCs/>
        </w:rPr>
        <w:t xml:space="preserve"> BT.2020)</w:t>
      </w:r>
      <w:r w:rsidR="00F21455">
        <w:rPr>
          <w:bCs/>
        </w:rPr>
        <w:t>.</w:t>
      </w:r>
      <w:r w:rsidR="00BD2C83">
        <w:rPr>
          <w:bCs/>
        </w:rPr>
        <w:t xml:space="preserve"> </w:t>
      </w:r>
      <w:r w:rsidR="00B06FE0">
        <w:rPr>
          <w:bCs/>
        </w:rPr>
        <w:t xml:space="preserve">Zwrócono uwagę na różne typy dostępnych urządzeń od zwykłych domowych telewizorów po monitory studyjne. </w:t>
      </w:r>
      <w:r w:rsidR="00BD2C83">
        <w:rPr>
          <w:bCs/>
        </w:rPr>
        <w:t xml:space="preserve">Poniższa tabela prezentuje wybrane urządzenia wraz z orientacyjnymi cenami, typem urządzenia, a także procentem pokrycia </w:t>
      </w:r>
      <w:r w:rsidR="00B06FE0">
        <w:rPr>
          <w:bCs/>
        </w:rPr>
        <w:t>przestrzeni rec.2020</w:t>
      </w:r>
      <w:r w:rsidR="00BD2C83">
        <w:rPr>
          <w:bCs/>
        </w:rPr>
        <w:t>.</w:t>
      </w:r>
      <w:r w:rsidR="00C42EDE">
        <w:rPr>
          <w:bCs/>
        </w:rPr>
        <w:t xml:space="preserve"> Wszystkie wymienione urządzenia wyświetlają obraz w rozdzielczości 4k.</w:t>
      </w:r>
    </w:p>
    <w:p w:rsidR="00C42EDE" w:rsidRDefault="00C42EDE" w:rsidP="00C42EDE">
      <w:pPr>
        <w:ind w:firstLine="567"/>
        <w:rPr>
          <w:bCs/>
        </w:rPr>
      </w:pPr>
    </w:p>
    <w:p w:rsidR="00C42EDE" w:rsidRDefault="00C42EDE" w:rsidP="005262F9">
      <w:pPr>
        <w:rPr>
          <w:bCs/>
        </w:rPr>
      </w:pPr>
    </w:p>
    <w:tbl>
      <w:tblPr>
        <w:tblStyle w:val="Tabela-Siatka"/>
        <w:tblW w:w="9067" w:type="dxa"/>
        <w:tblLook w:val="04A0" w:firstRow="1" w:lastRow="0" w:firstColumn="1" w:lastColumn="0" w:noHBand="0" w:noVBand="1"/>
      </w:tblPr>
      <w:tblGrid>
        <w:gridCol w:w="3276"/>
        <w:gridCol w:w="5791"/>
      </w:tblGrid>
      <w:tr w:rsidR="00B06FE0" w:rsidTr="00B06FE0">
        <w:tc>
          <w:tcPr>
            <w:tcW w:w="9067" w:type="dxa"/>
            <w:gridSpan w:val="2"/>
            <w:vAlign w:val="center"/>
          </w:tcPr>
          <w:p w:rsidR="00B06FE0" w:rsidRDefault="00B06FE0" w:rsidP="00BD2C83">
            <w:pPr>
              <w:jc w:val="center"/>
            </w:pPr>
            <w:r>
              <w:t>Produkt</w:t>
            </w:r>
          </w:p>
        </w:tc>
      </w:tr>
      <w:tr w:rsidR="00FC6DC3" w:rsidTr="00FC6DC3">
        <w:trPr>
          <w:trHeight w:val="575"/>
        </w:trPr>
        <w:tc>
          <w:tcPr>
            <w:tcW w:w="3276" w:type="dxa"/>
            <w:vMerge w:val="restart"/>
            <w:vAlign w:val="center"/>
          </w:tcPr>
          <w:p w:rsidR="00B06FE0" w:rsidRDefault="00B06FE0" w:rsidP="00FC6DC3">
            <w:pPr>
              <w:jc w:val="center"/>
            </w:pPr>
            <w:r>
              <w:rPr>
                <w:noProof/>
                <w:lang w:eastAsia="pl-PL"/>
              </w:rPr>
              <w:drawing>
                <wp:inline distT="0" distB="0" distL="0" distR="0" wp14:anchorId="59ADB662" wp14:editId="783AA8DC">
                  <wp:extent cx="1384300" cy="1418907"/>
                  <wp:effectExtent l="0" t="0" r="6350" b="0"/>
                  <wp:docPr id="2" name="Obraz 2" descr="http://www.eizo.pl/uploads/2015/07/CG248-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izo.pl/uploads/2015/07/CG248-phot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4174" cy="1449528"/>
                          </a:xfrm>
                          <a:prstGeom prst="rect">
                            <a:avLst/>
                          </a:prstGeom>
                          <a:noFill/>
                          <a:ln>
                            <a:noFill/>
                          </a:ln>
                        </pic:spPr>
                      </pic:pic>
                    </a:graphicData>
                  </a:graphic>
                </wp:inline>
              </w:drawing>
            </w:r>
          </w:p>
        </w:tc>
        <w:tc>
          <w:tcPr>
            <w:tcW w:w="5791" w:type="dxa"/>
            <w:vAlign w:val="center"/>
          </w:tcPr>
          <w:p w:rsidR="00B06FE0" w:rsidRDefault="00B06FE0" w:rsidP="00B06FE0">
            <w:pPr>
              <w:jc w:val="center"/>
            </w:pPr>
            <w:r>
              <w:t>Eizo CG248-4K 31”</w:t>
            </w:r>
          </w:p>
        </w:tc>
      </w:tr>
      <w:tr w:rsidR="00FC6DC3" w:rsidTr="00FC6DC3">
        <w:trPr>
          <w:trHeight w:val="569"/>
        </w:trPr>
        <w:tc>
          <w:tcPr>
            <w:tcW w:w="3276" w:type="dxa"/>
            <w:vMerge/>
            <w:vAlign w:val="center"/>
          </w:tcPr>
          <w:p w:rsidR="00B06FE0" w:rsidRDefault="00B06FE0" w:rsidP="00FC6DC3">
            <w:pPr>
              <w:jc w:val="center"/>
            </w:pPr>
          </w:p>
        </w:tc>
        <w:tc>
          <w:tcPr>
            <w:tcW w:w="5791" w:type="dxa"/>
            <w:vAlign w:val="center"/>
          </w:tcPr>
          <w:p w:rsidR="00B06FE0" w:rsidRDefault="00B06FE0" w:rsidP="00B06FE0">
            <w:pPr>
              <w:jc w:val="center"/>
            </w:pPr>
            <w:r>
              <w:t>77% rec. 2020</w:t>
            </w:r>
          </w:p>
        </w:tc>
      </w:tr>
      <w:tr w:rsidR="00FC6DC3" w:rsidTr="00FC6DC3">
        <w:trPr>
          <w:trHeight w:val="566"/>
        </w:trPr>
        <w:tc>
          <w:tcPr>
            <w:tcW w:w="3276" w:type="dxa"/>
            <w:vMerge/>
            <w:vAlign w:val="center"/>
          </w:tcPr>
          <w:p w:rsidR="00B06FE0" w:rsidRDefault="00B06FE0" w:rsidP="00FC6DC3">
            <w:pPr>
              <w:jc w:val="center"/>
            </w:pPr>
          </w:p>
        </w:tc>
        <w:tc>
          <w:tcPr>
            <w:tcW w:w="5791" w:type="dxa"/>
            <w:vAlign w:val="center"/>
          </w:tcPr>
          <w:p w:rsidR="00B06FE0" w:rsidRDefault="00B06FE0" w:rsidP="00B06FE0">
            <w:pPr>
              <w:jc w:val="center"/>
            </w:pPr>
            <w:r>
              <w:t>Profesjonalny monitor</w:t>
            </w:r>
          </w:p>
        </w:tc>
      </w:tr>
      <w:tr w:rsidR="00FC6DC3" w:rsidTr="00FC6DC3">
        <w:trPr>
          <w:trHeight w:val="544"/>
        </w:trPr>
        <w:tc>
          <w:tcPr>
            <w:tcW w:w="3276" w:type="dxa"/>
            <w:vMerge/>
            <w:vAlign w:val="center"/>
          </w:tcPr>
          <w:p w:rsidR="00B06FE0" w:rsidRDefault="00B06FE0" w:rsidP="00FC6DC3">
            <w:pPr>
              <w:jc w:val="center"/>
            </w:pPr>
          </w:p>
        </w:tc>
        <w:tc>
          <w:tcPr>
            <w:tcW w:w="5791" w:type="dxa"/>
            <w:vAlign w:val="center"/>
          </w:tcPr>
          <w:p w:rsidR="00B06FE0" w:rsidRDefault="00B06FE0" w:rsidP="00B06FE0">
            <w:pPr>
              <w:jc w:val="center"/>
            </w:pPr>
            <w:r>
              <w:t>9999</w:t>
            </w:r>
            <w:r w:rsidR="00FC6DC3">
              <w:t xml:space="preserve"> </w:t>
            </w:r>
            <w:r>
              <w:t>zł</w:t>
            </w:r>
          </w:p>
        </w:tc>
      </w:tr>
      <w:tr w:rsidR="00FC6DC3" w:rsidTr="00FC6DC3">
        <w:trPr>
          <w:trHeight w:val="552"/>
        </w:trPr>
        <w:tc>
          <w:tcPr>
            <w:tcW w:w="3276" w:type="dxa"/>
            <w:vMerge w:val="restart"/>
            <w:vAlign w:val="center"/>
          </w:tcPr>
          <w:p w:rsidR="00B06FE0" w:rsidRDefault="00B06FE0" w:rsidP="00FC6DC3">
            <w:pPr>
              <w:jc w:val="center"/>
            </w:pPr>
            <w:r>
              <w:rPr>
                <w:noProof/>
                <w:lang w:eastAsia="pl-PL"/>
              </w:rPr>
              <w:drawing>
                <wp:inline distT="0" distB="0" distL="0" distR="0" wp14:anchorId="7D6D0943" wp14:editId="5B094D98">
                  <wp:extent cx="1540933" cy="1155700"/>
                  <wp:effectExtent l="0" t="0" r="2540" b="6350"/>
                  <wp:docPr id="3" name="Obraz 3" descr="55” Class Q7F QLED 4K 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5” Class Q7F QLED 4K T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6185" cy="1182139"/>
                          </a:xfrm>
                          <a:prstGeom prst="rect">
                            <a:avLst/>
                          </a:prstGeom>
                          <a:noFill/>
                          <a:ln>
                            <a:noFill/>
                          </a:ln>
                        </pic:spPr>
                      </pic:pic>
                    </a:graphicData>
                  </a:graphic>
                </wp:inline>
              </w:drawing>
            </w:r>
          </w:p>
        </w:tc>
        <w:tc>
          <w:tcPr>
            <w:tcW w:w="5791" w:type="dxa"/>
            <w:vAlign w:val="center"/>
          </w:tcPr>
          <w:p w:rsidR="00B06FE0" w:rsidRDefault="00B06FE0" w:rsidP="00B06FE0">
            <w:pPr>
              <w:jc w:val="center"/>
            </w:pPr>
            <w:r>
              <w:t>Samsung Class Q7F QLED 55”</w:t>
            </w:r>
          </w:p>
        </w:tc>
      </w:tr>
      <w:tr w:rsidR="00FC6DC3" w:rsidTr="00FC6DC3">
        <w:trPr>
          <w:trHeight w:val="559"/>
        </w:trPr>
        <w:tc>
          <w:tcPr>
            <w:tcW w:w="3276" w:type="dxa"/>
            <w:vMerge/>
            <w:vAlign w:val="center"/>
          </w:tcPr>
          <w:p w:rsidR="00B06FE0" w:rsidRDefault="00B06FE0" w:rsidP="00FC6DC3">
            <w:pPr>
              <w:jc w:val="center"/>
            </w:pPr>
          </w:p>
        </w:tc>
        <w:tc>
          <w:tcPr>
            <w:tcW w:w="5791" w:type="dxa"/>
            <w:vAlign w:val="center"/>
          </w:tcPr>
          <w:p w:rsidR="00B06FE0" w:rsidRDefault="00B06FE0" w:rsidP="00B06FE0">
            <w:pPr>
              <w:jc w:val="center"/>
            </w:pPr>
            <w:r>
              <w:t xml:space="preserve">77.19% </w:t>
            </w:r>
            <w:proofErr w:type="gramStart"/>
            <w:r>
              <w:t>rec</w:t>
            </w:r>
            <w:proofErr w:type="gramEnd"/>
            <w:r>
              <w:t>.2020</w:t>
            </w:r>
          </w:p>
        </w:tc>
      </w:tr>
      <w:tr w:rsidR="00FC6DC3" w:rsidTr="00FC6DC3">
        <w:trPr>
          <w:trHeight w:val="567"/>
        </w:trPr>
        <w:tc>
          <w:tcPr>
            <w:tcW w:w="3276" w:type="dxa"/>
            <w:vMerge/>
            <w:vAlign w:val="center"/>
          </w:tcPr>
          <w:p w:rsidR="00B06FE0" w:rsidRDefault="00B06FE0" w:rsidP="00FC6DC3">
            <w:pPr>
              <w:jc w:val="center"/>
            </w:pPr>
          </w:p>
        </w:tc>
        <w:tc>
          <w:tcPr>
            <w:tcW w:w="5791" w:type="dxa"/>
            <w:vAlign w:val="center"/>
          </w:tcPr>
          <w:p w:rsidR="00B06FE0" w:rsidRDefault="00B06FE0" w:rsidP="00B06FE0">
            <w:pPr>
              <w:jc w:val="center"/>
            </w:pPr>
            <w:r>
              <w:t>Telewizor</w:t>
            </w:r>
          </w:p>
        </w:tc>
      </w:tr>
      <w:tr w:rsidR="00FC6DC3" w:rsidTr="00FC6DC3">
        <w:trPr>
          <w:trHeight w:val="548"/>
        </w:trPr>
        <w:tc>
          <w:tcPr>
            <w:tcW w:w="3276" w:type="dxa"/>
            <w:vMerge/>
            <w:vAlign w:val="center"/>
          </w:tcPr>
          <w:p w:rsidR="00B06FE0" w:rsidRDefault="00B06FE0" w:rsidP="00FC6DC3">
            <w:pPr>
              <w:jc w:val="center"/>
            </w:pPr>
          </w:p>
        </w:tc>
        <w:tc>
          <w:tcPr>
            <w:tcW w:w="5791" w:type="dxa"/>
            <w:vAlign w:val="center"/>
          </w:tcPr>
          <w:p w:rsidR="00B06FE0" w:rsidRDefault="00B06FE0" w:rsidP="00FC6DC3">
            <w:pPr>
              <w:jc w:val="center"/>
            </w:pPr>
            <w:r>
              <w:t>2499</w:t>
            </w:r>
            <w:r w:rsidR="00FC6DC3">
              <w:t xml:space="preserve"> </w:t>
            </w:r>
            <w:r>
              <w:t>$ ~</w:t>
            </w:r>
            <w:r w:rsidR="00FC6DC3">
              <w:t xml:space="preserve"> ok.</w:t>
            </w:r>
            <w:r>
              <w:t xml:space="preserve"> 9</w:t>
            </w:r>
            <w:r w:rsidR="00FC6DC3">
              <w:t>3</w:t>
            </w:r>
            <w:r>
              <w:t>00</w:t>
            </w:r>
            <w:r w:rsidR="00FC6DC3">
              <w:t xml:space="preserve"> </w:t>
            </w:r>
            <w:r>
              <w:t>zł</w:t>
            </w:r>
          </w:p>
        </w:tc>
      </w:tr>
      <w:tr w:rsidR="00FC6DC3" w:rsidTr="00FC6DC3">
        <w:trPr>
          <w:trHeight w:val="559"/>
        </w:trPr>
        <w:tc>
          <w:tcPr>
            <w:tcW w:w="3276" w:type="dxa"/>
            <w:vMerge w:val="restart"/>
            <w:vAlign w:val="center"/>
          </w:tcPr>
          <w:p w:rsidR="00B06FE0" w:rsidRDefault="00FC6DC3" w:rsidP="00FC6DC3">
            <w:pPr>
              <w:jc w:val="center"/>
            </w:pPr>
            <w:r>
              <w:rPr>
                <w:noProof/>
                <w:lang w:eastAsia="pl-PL"/>
              </w:rPr>
              <w:drawing>
                <wp:inline distT="0" distB="0" distL="0" distR="0" wp14:anchorId="0EF29C9C" wp14:editId="0C6EBEBA">
                  <wp:extent cx="1886974" cy="1244600"/>
                  <wp:effectExtent l="0" t="0" r="0" b="0"/>
                  <wp:docPr id="4" name="Obraz 4" descr="http://www.lg.com/us/images/tvs/md05600410/gallery/mediu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g.com/us/images/tvs/md05600410/gallery/medium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6421" cy="1270618"/>
                          </a:xfrm>
                          <a:prstGeom prst="rect">
                            <a:avLst/>
                          </a:prstGeom>
                          <a:noFill/>
                          <a:ln>
                            <a:noFill/>
                          </a:ln>
                        </pic:spPr>
                      </pic:pic>
                    </a:graphicData>
                  </a:graphic>
                </wp:inline>
              </w:drawing>
            </w:r>
          </w:p>
        </w:tc>
        <w:tc>
          <w:tcPr>
            <w:tcW w:w="5791" w:type="dxa"/>
            <w:vAlign w:val="center"/>
          </w:tcPr>
          <w:p w:rsidR="00B06FE0" w:rsidRDefault="00B06FE0" w:rsidP="00B06FE0">
            <w:pPr>
              <w:jc w:val="center"/>
            </w:pPr>
            <w:r>
              <w:t>LG B6 OLED 4K 65"</w:t>
            </w:r>
          </w:p>
        </w:tc>
      </w:tr>
      <w:tr w:rsidR="00FC6DC3" w:rsidTr="00FC6DC3">
        <w:trPr>
          <w:trHeight w:val="554"/>
        </w:trPr>
        <w:tc>
          <w:tcPr>
            <w:tcW w:w="3276" w:type="dxa"/>
            <w:vMerge/>
            <w:vAlign w:val="center"/>
          </w:tcPr>
          <w:p w:rsidR="00B06FE0" w:rsidRDefault="00B06FE0" w:rsidP="00FC6DC3">
            <w:pPr>
              <w:jc w:val="center"/>
            </w:pPr>
          </w:p>
        </w:tc>
        <w:tc>
          <w:tcPr>
            <w:tcW w:w="5791" w:type="dxa"/>
            <w:vAlign w:val="center"/>
          </w:tcPr>
          <w:p w:rsidR="00B06FE0" w:rsidRDefault="00FC6DC3" w:rsidP="00B06FE0">
            <w:pPr>
              <w:jc w:val="center"/>
            </w:pPr>
            <w:r>
              <w:t xml:space="preserve">75.89 % </w:t>
            </w:r>
            <w:proofErr w:type="gramStart"/>
            <w:r>
              <w:t>rec</w:t>
            </w:r>
            <w:proofErr w:type="gramEnd"/>
            <w:r>
              <w:t>.2020</w:t>
            </w:r>
          </w:p>
        </w:tc>
      </w:tr>
      <w:tr w:rsidR="00FC6DC3" w:rsidTr="00FC6DC3">
        <w:trPr>
          <w:trHeight w:val="562"/>
        </w:trPr>
        <w:tc>
          <w:tcPr>
            <w:tcW w:w="3276" w:type="dxa"/>
            <w:vMerge/>
            <w:vAlign w:val="center"/>
          </w:tcPr>
          <w:p w:rsidR="00B06FE0" w:rsidRDefault="00B06FE0" w:rsidP="00FC6DC3">
            <w:pPr>
              <w:jc w:val="center"/>
            </w:pPr>
          </w:p>
        </w:tc>
        <w:tc>
          <w:tcPr>
            <w:tcW w:w="5791" w:type="dxa"/>
            <w:vAlign w:val="center"/>
          </w:tcPr>
          <w:p w:rsidR="00B06FE0" w:rsidRDefault="00FC6DC3" w:rsidP="00B06FE0">
            <w:pPr>
              <w:jc w:val="center"/>
            </w:pPr>
            <w:r>
              <w:t>Telewizor</w:t>
            </w:r>
          </w:p>
        </w:tc>
      </w:tr>
      <w:tr w:rsidR="00FC6DC3" w:rsidTr="00FC6DC3">
        <w:trPr>
          <w:trHeight w:val="556"/>
        </w:trPr>
        <w:tc>
          <w:tcPr>
            <w:tcW w:w="3276" w:type="dxa"/>
            <w:vMerge/>
            <w:vAlign w:val="center"/>
          </w:tcPr>
          <w:p w:rsidR="00B06FE0" w:rsidRDefault="00B06FE0" w:rsidP="00FC6DC3">
            <w:pPr>
              <w:jc w:val="center"/>
            </w:pPr>
          </w:p>
        </w:tc>
        <w:tc>
          <w:tcPr>
            <w:tcW w:w="5791" w:type="dxa"/>
            <w:vAlign w:val="center"/>
          </w:tcPr>
          <w:p w:rsidR="00B06FE0" w:rsidRDefault="00FC6DC3" w:rsidP="00B06FE0">
            <w:pPr>
              <w:jc w:val="center"/>
            </w:pPr>
            <w:r>
              <w:t>1999 $ ~ 7400 zł</w:t>
            </w:r>
          </w:p>
        </w:tc>
      </w:tr>
      <w:tr w:rsidR="00FC6DC3" w:rsidTr="00FC6DC3">
        <w:trPr>
          <w:trHeight w:val="563"/>
        </w:trPr>
        <w:tc>
          <w:tcPr>
            <w:tcW w:w="3276" w:type="dxa"/>
            <w:vMerge w:val="restart"/>
            <w:vAlign w:val="center"/>
          </w:tcPr>
          <w:p w:rsidR="00FC6DC3" w:rsidRDefault="00FC6DC3" w:rsidP="00FC6DC3">
            <w:pPr>
              <w:jc w:val="center"/>
            </w:pPr>
            <w:r>
              <w:rPr>
                <w:noProof/>
                <w:lang w:eastAsia="pl-PL"/>
              </w:rPr>
              <w:drawing>
                <wp:inline distT="0" distB="0" distL="0" distR="0" wp14:anchorId="0F97A5F0" wp14:editId="47C59CC9">
                  <wp:extent cx="1543050" cy="1024148"/>
                  <wp:effectExtent l="0" t="0" r="0" b="5080"/>
                  <wp:docPr id="5" name="Obraz 5" descr="http://images.anandtech.com/doci/11004/asus_pro_art_monitor_pa32u_678_678x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anandtech.com/doci/11004/asus_pro_art_monitor_pa32u_678_678x45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476" cy="1045006"/>
                          </a:xfrm>
                          <a:prstGeom prst="rect">
                            <a:avLst/>
                          </a:prstGeom>
                          <a:noFill/>
                          <a:ln>
                            <a:noFill/>
                          </a:ln>
                        </pic:spPr>
                      </pic:pic>
                    </a:graphicData>
                  </a:graphic>
                </wp:inline>
              </w:drawing>
            </w:r>
          </w:p>
        </w:tc>
        <w:tc>
          <w:tcPr>
            <w:tcW w:w="5791" w:type="dxa"/>
            <w:vAlign w:val="center"/>
          </w:tcPr>
          <w:p w:rsidR="00FC6DC3" w:rsidRDefault="00FC6DC3" w:rsidP="00B06FE0">
            <w:pPr>
              <w:jc w:val="center"/>
            </w:pPr>
            <w:proofErr w:type="spellStart"/>
            <w:r>
              <w:t>Asus</w:t>
            </w:r>
            <w:proofErr w:type="spellEnd"/>
            <w:r>
              <w:t xml:space="preserve"> </w:t>
            </w:r>
            <w:proofErr w:type="spellStart"/>
            <w:r>
              <w:t>ProArt</w:t>
            </w:r>
            <w:proofErr w:type="spellEnd"/>
            <w:r>
              <w:t xml:space="preserve"> PA32U 32”</w:t>
            </w:r>
          </w:p>
        </w:tc>
      </w:tr>
      <w:tr w:rsidR="00FC6DC3" w:rsidTr="00FC6DC3">
        <w:trPr>
          <w:trHeight w:val="558"/>
        </w:trPr>
        <w:tc>
          <w:tcPr>
            <w:tcW w:w="3276" w:type="dxa"/>
            <w:vMerge/>
            <w:vAlign w:val="center"/>
          </w:tcPr>
          <w:p w:rsidR="00FC6DC3" w:rsidRDefault="00FC6DC3" w:rsidP="00B06FE0">
            <w:pPr>
              <w:jc w:val="center"/>
            </w:pPr>
          </w:p>
        </w:tc>
        <w:tc>
          <w:tcPr>
            <w:tcW w:w="5791" w:type="dxa"/>
            <w:vAlign w:val="center"/>
          </w:tcPr>
          <w:p w:rsidR="00FC6DC3" w:rsidRDefault="00FC6DC3" w:rsidP="00B06FE0">
            <w:pPr>
              <w:jc w:val="center"/>
            </w:pPr>
            <w:r>
              <w:t xml:space="preserve">85% rec.2020 </w:t>
            </w:r>
          </w:p>
        </w:tc>
      </w:tr>
      <w:tr w:rsidR="00FC6DC3" w:rsidTr="00FC6DC3">
        <w:trPr>
          <w:trHeight w:val="552"/>
        </w:trPr>
        <w:tc>
          <w:tcPr>
            <w:tcW w:w="3276" w:type="dxa"/>
            <w:vMerge/>
            <w:vAlign w:val="center"/>
          </w:tcPr>
          <w:p w:rsidR="00FC6DC3" w:rsidRDefault="00FC6DC3" w:rsidP="00B06FE0">
            <w:pPr>
              <w:jc w:val="center"/>
            </w:pPr>
          </w:p>
        </w:tc>
        <w:tc>
          <w:tcPr>
            <w:tcW w:w="5791" w:type="dxa"/>
            <w:vAlign w:val="center"/>
          </w:tcPr>
          <w:p w:rsidR="00FC6DC3" w:rsidRDefault="00FC6DC3" w:rsidP="00B06FE0">
            <w:pPr>
              <w:jc w:val="center"/>
            </w:pPr>
            <w:r>
              <w:t>Profesjonalny monitor</w:t>
            </w:r>
          </w:p>
        </w:tc>
      </w:tr>
      <w:tr w:rsidR="00FC6DC3" w:rsidTr="00FC6DC3">
        <w:trPr>
          <w:trHeight w:val="560"/>
        </w:trPr>
        <w:tc>
          <w:tcPr>
            <w:tcW w:w="3276" w:type="dxa"/>
            <w:vMerge/>
            <w:vAlign w:val="center"/>
          </w:tcPr>
          <w:p w:rsidR="00FC6DC3" w:rsidRDefault="00FC6DC3" w:rsidP="00B06FE0">
            <w:pPr>
              <w:jc w:val="center"/>
            </w:pPr>
          </w:p>
        </w:tc>
        <w:tc>
          <w:tcPr>
            <w:tcW w:w="5791" w:type="dxa"/>
            <w:vAlign w:val="center"/>
          </w:tcPr>
          <w:p w:rsidR="00FC6DC3" w:rsidRDefault="00FC6DC3" w:rsidP="00B06FE0">
            <w:pPr>
              <w:jc w:val="center"/>
            </w:pPr>
            <w:proofErr w:type="gramStart"/>
            <w:r>
              <w:t>ok</w:t>
            </w:r>
            <w:proofErr w:type="gramEnd"/>
            <w:r>
              <w:t xml:space="preserve">. 7500zł (dostępny w III </w:t>
            </w:r>
            <w:proofErr w:type="spellStart"/>
            <w:r>
              <w:t>kw</w:t>
            </w:r>
            <w:proofErr w:type="spellEnd"/>
            <w:r>
              <w:t xml:space="preserve"> 2017) </w:t>
            </w:r>
          </w:p>
        </w:tc>
      </w:tr>
      <w:tr w:rsidR="00FC6DC3" w:rsidTr="00057E5E">
        <w:trPr>
          <w:trHeight w:val="553"/>
        </w:trPr>
        <w:tc>
          <w:tcPr>
            <w:tcW w:w="3276" w:type="dxa"/>
            <w:vMerge w:val="restart"/>
            <w:vAlign w:val="center"/>
          </w:tcPr>
          <w:p w:rsidR="00FC6DC3" w:rsidRDefault="00FC6DC3" w:rsidP="00B06FE0">
            <w:pPr>
              <w:jc w:val="center"/>
            </w:pPr>
            <w:r>
              <w:rPr>
                <w:noProof/>
                <w:lang w:eastAsia="pl-PL"/>
              </w:rPr>
              <w:drawing>
                <wp:inline distT="0" distB="0" distL="0" distR="0" wp14:anchorId="031CB87E" wp14:editId="7FDE7BB5">
                  <wp:extent cx="1936750" cy="1167746"/>
                  <wp:effectExtent l="0" t="0" r="6350" b="0"/>
                  <wp:docPr id="6" name="Obraz 6" descr="https://sp.sony-europe.com/da/8746/660f3eacc661326c2387facf059228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sony-europe.com/da/8746/660f3eacc661326c2387facf05922875.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7400" cy="1180197"/>
                          </a:xfrm>
                          <a:prstGeom prst="rect">
                            <a:avLst/>
                          </a:prstGeom>
                          <a:noFill/>
                          <a:ln>
                            <a:noFill/>
                          </a:ln>
                        </pic:spPr>
                      </pic:pic>
                    </a:graphicData>
                  </a:graphic>
                </wp:inline>
              </w:drawing>
            </w:r>
          </w:p>
        </w:tc>
        <w:tc>
          <w:tcPr>
            <w:tcW w:w="5791" w:type="dxa"/>
            <w:vAlign w:val="center"/>
          </w:tcPr>
          <w:p w:rsidR="00FC6DC3" w:rsidRDefault="00FC6DC3" w:rsidP="00FC6DC3">
            <w:pPr>
              <w:jc w:val="center"/>
            </w:pPr>
            <w:r>
              <w:t>Sony BVM-X300 OLED</w:t>
            </w:r>
            <w:r w:rsidR="00C42EDE">
              <w:t xml:space="preserve"> 30”</w:t>
            </w:r>
          </w:p>
        </w:tc>
      </w:tr>
      <w:tr w:rsidR="00FC6DC3" w:rsidTr="00057E5E">
        <w:trPr>
          <w:trHeight w:val="561"/>
        </w:trPr>
        <w:tc>
          <w:tcPr>
            <w:tcW w:w="3276" w:type="dxa"/>
            <w:vMerge/>
            <w:vAlign w:val="center"/>
          </w:tcPr>
          <w:p w:rsidR="00FC6DC3" w:rsidRDefault="00FC6DC3" w:rsidP="00B06FE0">
            <w:pPr>
              <w:jc w:val="center"/>
            </w:pPr>
          </w:p>
        </w:tc>
        <w:tc>
          <w:tcPr>
            <w:tcW w:w="5791" w:type="dxa"/>
            <w:vAlign w:val="center"/>
          </w:tcPr>
          <w:p w:rsidR="00FC6DC3" w:rsidRDefault="00057E5E" w:rsidP="00FC6DC3">
            <w:pPr>
              <w:jc w:val="center"/>
            </w:pPr>
            <w:r>
              <w:t>Rec.2020 nie w pełni</w:t>
            </w:r>
          </w:p>
        </w:tc>
      </w:tr>
      <w:tr w:rsidR="00FC6DC3" w:rsidTr="00057E5E">
        <w:trPr>
          <w:trHeight w:val="555"/>
        </w:trPr>
        <w:tc>
          <w:tcPr>
            <w:tcW w:w="3276" w:type="dxa"/>
            <w:vMerge/>
            <w:vAlign w:val="center"/>
          </w:tcPr>
          <w:p w:rsidR="00FC6DC3" w:rsidRDefault="00FC6DC3" w:rsidP="00B06FE0">
            <w:pPr>
              <w:jc w:val="center"/>
            </w:pPr>
          </w:p>
        </w:tc>
        <w:tc>
          <w:tcPr>
            <w:tcW w:w="5791" w:type="dxa"/>
            <w:vAlign w:val="center"/>
          </w:tcPr>
          <w:p w:rsidR="00FC6DC3" w:rsidRDefault="00057E5E" w:rsidP="00FC6DC3">
            <w:pPr>
              <w:jc w:val="center"/>
            </w:pPr>
            <w:r>
              <w:t>Monitor studyjny</w:t>
            </w:r>
          </w:p>
        </w:tc>
      </w:tr>
      <w:tr w:rsidR="00FC6DC3" w:rsidTr="00057E5E">
        <w:trPr>
          <w:trHeight w:val="562"/>
        </w:trPr>
        <w:tc>
          <w:tcPr>
            <w:tcW w:w="3276" w:type="dxa"/>
            <w:vMerge/>
            <w:vAlign w:val="center"/>
          </w:tcPr>
          <w:p w:rsidR="00FC6DC3" w:rsidRDefault="00FC6DC3" w:rsidP="00B06FE0">
            <w:pPr>
              <w:jc w:val="center"/>
            </w:pPr>
          </w:p>
        </w:tc>
        <w:tc>
          <w:tcPr>
            <w:tcW w:w="5791" w:type="dxa"/>
            <w:vAlign w:val="center"/>
          </w:tcPr>
          <w:p w:rsidR="00FC6DC3" w:rsidRDefault="00057E5E" w:rsidP="00FC6DC3">
            <w:pPr>
              <w:jc w:val="center"/>
            </w:pPr>
            <w:r>
              <w:rPr>
                <w:rStyle w:val="price"/>
              </w:rPr>
              <w:t>150 751,36 ‎zł</w:t>
            </w:r>
          </w:p>
        </w:tc>
      </w:tr>
    </w:tbl>
    <w:p w:rsidR="00F21455" w:rsidRDefault="00F21455" w:rsidP="005262F9"/>
    <w:p w:rsidR="00057E5E" w:rsidRDefault="00057E5E" w:rsidP="005262F9">
      <w:r>
        <w:t>Dla uzyskania w pełni profesjonalnego stanowiska do przeprowadzania</w:t>
      </w:r>
      <w:r w:rsidR="00C42EDE">
        <w:t xml:space="preserve"> komercyjnych</w:t>
      </w:r>
      <w:r>
        <w:t xml:space="preserve"> testów </w:t>
      </w:r>
      <w:proofErr w:type="gramStart"/>
      <w:r>
        <w:t>subiektywnych w jakości</w:t>
      </w:r>
      <w:proofErr w:type="gramEnd"/>
      <w:r>
        <w:t xml:space="preserve"> UHD należałoby zastosować jeden z dostępnych</w:t>
      </w:r>
      <w:r w:rsidR="00C42EDE">
        <w:t xml:space="preserve"> na rynku monitorów studyjnych cena takiego monitora to kilkadziesiąt tysięcy złotych. W przypadku rec.2020 producenci nie wprowadzili na rynek urządzenia pokrywającego w pełni przestrzeń barw z rekomendacji. Sony nie podaje oficjalnej informacji o procencie pokrycia w swoim flagowym monitorze studyjnym, jednakże w przypadku tego produktu barierą do zastosowania na gruncie akademickim jest oczywiście cena. W przypadku tworzenia środowiska dla celów badań naukowych na uczelni należałoby wyposażyć się w telewizor o możliwie jak najwyższym pokryciu poszerzonej przestrzeni barw. </w:t>
      </w:r>
      <w:r w:rsidR="00F5269A">
        <w:t xml:space="preserve">Telewizor posiada więcej zastosowań i ma lepszy stosunek ceny do wielkości niż profesjonalny monitor. Większe kąty widzenia monitora są niepotrzebne w przypadku przeprowadzania testów, w których tester siedzi centralnie na wprost ekranu. </w:t>
      </w:r>
    </w:p>
    <w:p w:rsidR="00057E5E" w:rsidRDefault="00057E5E" w:rsidP="005262F9"/>
    <w:p w:rsidR="00057E5E" w:rsidRDefault="00057E5E" w:rsidP="005262F9"/>
    <w:p w:rsidR="00057E5E" w:rsidRDefault="00057E5E" w:rsidP="005262F9"/>
    <w:p w:rsidR="00057E5E" w:rsidRDefault="00057E5E" w:rsidP="005262F9"/>
    <w:p w:rsidR="00057E5E" w:rsidRDefault="00AC2173" w:rsidP="005262F9">
      <w:hyperlink r:id="rId11" w:history="1">
        <w:r w:rsidR="00057E5E" w:rsidRPr="0020079A">
          <w:rPr>
            <w:rStyle w:val="Hipercze"/>
          </w:rPr>
          <w:t>https://www.ceneo.pl/Dyski_SSD</w:t>
        </w:r>
      </w:hyperlink>
    </w:p>
    <w:p w:rsidR="00057E5E" w:rsidRDefault="00AC2173" w:rsidP="005262F9">
      <w:hyperlink r:id="rId12" w:history="1">
        <w:r w:rsidR="00057E5E" w:rsidRPr="0020079A">
          <w:rPr>
            <w:rStyle w:val="Hipercze"/>
          </w:rPr>
          <w:t>https://www.morele.net/wiadomosc/ranking-kart-graficznych-top-10-najlepszych-kart/1204/</w:t>
        </w:r>
      </w:hyperlink>
    </w:p>
    <w:p w:rsidR="00057E5E" w:rsidRDefault="00AC2173" w:rsidP="005262F9">
      <w:hyperlink r:id="rId13" w:history="1">
        <w:r w:rsidR="00057E5E" w:rsidRPr="0020079A">
          <w:rPr>
            <w:rStyle w:val="Hipercze"/>
          </w:rPr>
          <w:t>https://www.geek.com/chips/new-intel-storage-is-1000-times-faster-than-your-ssd-1629656/</w:t>
        </w:r>
      </w:hyperlink>
    </w:p>
    <w:p w:rsidR="00057E5E" w:rsidRDefault="00AC2173" w:rsidP="005262F9">
      <w:hyperlink r:id="rId14" w:history="1">
        <w:r w:rsidR="00057E5E" w:rsidRPr="0020079A">
          <w:rPr>
            <w:rStyle w:val="Hipercze"/>
          </w:rPr>
          <w:t>http://www.intel.pl/content/www/pl/pl/architecture-and-technology/intel-optane-technology.html</w:t>
        </w:r>
      </w:hyperlink>
    </w:p>
    <w:p w:rsidR="00057E5E" w:rsidRDefault="00AC2173" w:rsidP="005262F9">
      <w:hyperlink r:id="rId15" w:history="1">
        <w:r w:rsidR="00057E5E" w:rsidRPr="0020079A">
          <w:rPr>
            <w:rStyle w:val="Hipercze"/>
          </w:rPr>
          <w:t>http://www.rtings.com/tv/tests/picture-quality/wide-color-gamut-rec-709-dci-p3-rec-2020</w:t>
        </w:r>
      </w:hyperlink>
    </w:p>
    <w:p w:rsidR="00017E88" w:rsidRDefault="00AC2173" w:rsidP="005262F9">
      <w:hyperlink r:id="rId16" w:anchor="specyfikacja" w:history="1">
        <w:r w:rsidR="00B06FE0" w:rsidRPr="0020079A">
          <w:rPr>
            <w:rStyle w:val="Hipercze"/>
          </w:rPr>
          <w:t>http://www.eizo.pl/monitor/coloredge-cg248-4k/#specyfikacja</w:t>
        </w:r>
      </w:hyperlink>
    </w:p>
    <w:p w:rsidR="00B06FE0" w:rsidRDefault="00AC2173" w:rsidP="005262F9">
      <w:hyperlink r:id="rId17" w:history="1">
        <w:r w:rsidR="00B06FE0" w:rsidRPr="0020079A">
          <w:rPr>
            <w:rStyle w:val="Hipercze"/>
          </w:rPr>
          <w:t>http://www.cyfrowe.pl/druk-montaz-edycja/monitor-eizo-cg248-4k.html</w:t>
        </w:r>
      </w:hyperlink>
    </w:p>
    <w:p w:rsidR="00057E5E" w:rsidRDefault="00AC2173" w:rsidP="005262F9">
      <w:hyperlink r:id="rId18" w:history="1">
        <w:r w:rsidR="00B06FE0" w:rsidRPr="0020079A">
          <w:rPr>
            <w:rStyle w:val="Hipercze"/>
          </w:rPr>
          <w:t>http://www.samsung.com/us/televisions-home-theater/tvs/qled-tvs/55--class-q7f-qled-4k-tv-qn55q7famfxza/</w:t>
        </w:r>
      </w:hyperlink>
    </w:p>
    <w:p w:rsidR="00057E5E" w:rsidRDefault="00AC2173" w:rsidP="005262F9">
      <w:hyperlink r:id="rId19" w:anchor="specifications" w:history="1">
        <w:r w:rsidR="00057E5E" w:rsidRPr="0020079A">
          <w:rPr>
            <w:rStyle w:val="Hipercze"/>
          </w:rPr>
          <w:t>https://www.sony.pl/pro/product/broadcast-products-professional-monitors-oled-monitors/bvm-x300/specifications/#specifications</w:t>
        </w:r>
      </w:hyperlink>
    </w:p>
    <w:p w:rsidR="00057E5E" w:rsidRDefault="00AC2173" w:rsidP="005262F9">
      <w:hyperlink r:id="rId20" w:history="1">
        <w:r w:rsidR="00057E5E" w:rsidRPr="0020079A">
          <w:rPr>
            <w:rStyle w:val="Hipercze"/>
          </w:rPr>
          <w:t>https://www.marcotec-sklep.pl/plpl/sony-bvm-x300-oled-monitor-7783.html</w:t>
        </w:r>
      </w:hyperlink>
    </w:p>
    <w:p w:rsidR="00057E5E" w:rsidRDefault="00AC2173" w:rsidP="005262F9">
      <w:hyperlink r:id="rId21" w:history="1">
        <w:r w:rsidR="00057E5E" w:rsidRPr="0020079A">
          <w:rPr>
            <w:rStyle w:val="Hipercze"/>
          </w:rPr>
          <w:t>http://www.lg.com/us/tvs/lg-OLED65B6P-oled-4k-tv</w:t>
        </w:r>
      </w:hyperlink>
    </w:p>
    <w:p w:rsidR="00057E5E" w:rsidRDefault="00057E5E" w:rsidP="005262F9"/>
    <w:p w:rsidR="00B06FE0" w:rsidRDefault="00B06FE0" w:rsidP="005262F9"/>
    <w:p w:rsidR="00770585" w:rsidRDefault="00770585" w:rsidP="00770585"/>
    <w:p w:rsidR="00770585" w:rsidRDefault="00770585" w:rsidP="00C42EDE"/>
    <w:p w:rsidR="00430BDC" w:rsidRDefault="00430BDC" w:rsidP="00C42EDE"/>
    <w:sectPr w:rsidR="00430B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B8D"/>
    <w:multiLevelType w:val="multilevel"/>
    <w:tmpl w:val="F188B944"/>
    <w:lvl w:ilvl="0">
      <w:start w:val="1"/>
      <w:numFmt w:val="decimal"/>
      <w:pStyle w:val="Nagwek1"/>
      <w:lvlText w:val="%1."/>
      <w:lvlJc w:val="left"/>
      <w:pPr>
        <w:ind w:left="927" w:hanging="360"/>
      </w:pPr>
      <w:rPr>
        <w:rFonts w:hint="default"/>
      </w:rPr>
    </w:lvl>
    <w:lvl w:ilvl="1">
      <w:start w:val="2"/>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1" w15:restartNumberingAfterBreak="0">
    <w:nsid w:val="2DE26CA5"/>
    <w:multiLevelType w:val="multilevel"/>
    <w:tmpl w:val="4F863548"/>
    <w:lvl w:ilvl="0">
      <w:start w:val="1"/>
      <w:numFmt w:val="decimal"/>
      <w:lvlText w:val="%1."/>
      <w:lvlJc w:val="left"/>
      <w:pPr>
        <w:ind w:left="480" w:hanging="480"/>
      </w:pPr>
      <w:rPr>
        <w:rFonts w:hint="default"/>
      </w:rPr>
    </w:lvl>
    <w:lvl w:ilvl="1">
      <w:start w:val="1"/>
      <w:numFmt w:val="decimal"/>
      <w:pStyle w:val="Nagwek2"/>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abstractNumId w:val="0"/>
  </w:num>
  <w:num w:numId="2">
    <w:abstractNumId w:val="1"/>
  </w:num>
  <w:num w:numId="3">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091"/>
    <w:rsid w:val="00017E88"/>
    <w:rsid w:val="00057E5E"/>
    <w:rsid w:val="000F1BD8"/>
    <w:rsid w:val="00103309"/>
    <w:rsid w:val="001B29BA"/>
    <w:rsid w:val="001D0E65"/>
    <w:rsid w:val="001F1AB4"/>
    <w:rsid w:val="002026B6"/>
    <w:rsid w:val="00291ACF"/>
    <w:rsid w:val="002B261E"/>
    <w:rsid w:val="00430BDC"/>
    <w:rsid w:val="00431B6A"/>
    <w:rsid w:val="005262F9"/>
    <w:rsid w:val="005654B7"/>
    <w:rsid w:val="00646AE8"/>
    <w:rsid w:val="00652E4D"/>
    <w:rsid w:val="00720494"/>
    <w:rsid w:val="00770585"/>
    <w:rsid w:val="00775F84"/>
    <w:rsid w:val="007F569F"/>
    <w:rsid w:val="008F2091"/>
    <w:rsid w:val="00900C5C"/>
    <w:rsid w:val="00A0598A"/>
    <w:rsid w:val="00AC2173"/>
    <w:rsid w:val="00AE4FEB"/>
    <w:rsid w:val="00B06FE0"/>
    <w:rsid w:val="00BD2C83"/>
    <w:rsid w:val="00BD7A56"/>
    <w:rsid w:val="00BE5D8C"/>
    <w:rsid w:val="00C04681"/>
    <w:rsid w:val="00C42EDE"/>
    <w:rsid w:val="00C9528B"/>
    <w:rsid w:val="00CB40DC"/>
    <w:rsid w:val="00DE0A1A"/>
    <w:rsid w:val="00E53282"/>
    <w:rsid w:val="00EF1831"/>
    <w:rsid w:val="00F21455"/>
    <w:rsid w:val="00F5269A"/>
    <w:rsid w:val="00F60147"/>
    <w:rsid w:val="00F90DB1"/>
    <w:rsid w:val="00FC6D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C8F8"/>
  <w15:chartTrackingRefBased/>
  <w15:docId w15:val="{E5E8DD1B-F7A7-4883-B738-83E73F97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Podtytu"/>
    <w:next w:val="Normalny"/>
    <w:link w:val="Nagwek1Znak"/>
    <w:uiPriority w:val="9"/>
    <w:qFormat/>
    <w:rsid w:val="00103309"/>
    <w:pPr>
      <w:numPr>
        <w:ilvl w:val="0"/>
        <w:numId w:val="1"/>
      </w:numPr>
      <w:outlineLvl w:val="0"/>
    </w:pPr>
    <w:rPr>
      <w:sz w:val="36"/>
      <w:szCs w:val="36"/>
    </w:rPr>
  </w:style>
  <w:style w:type="paragraph" w:styleId="Nagwek2">
    <w:name w:val="heading 2"/>
    <w:basedOn w:val="Podtytu"/>
    <w:next w:val="Normalny"/>
    <w:link w:val="Nagwek2Znak"/>
    <w:uiPriority w:val="9"/>
    <w:unhideWhenUsed/>
    <w:qFormat/>
    <w:rsid w:val="00103309"/>
    <w:pPr>
      <w:numPr>
        <w:numId w:val="2"/>
      </w:numPr>
      <w:outlineLvl w:val="1"/>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0BDC"/>
    <w:pPr>
      <w:ind w:left="720"/>
      <w:contextualSpacing/>
    </w:pPr>
  </w:style>
  <w:style w:type="paragraph" w:styleId="Tytu">
    <w:name w:val="Title"/>
    <w:basedOn w:val="Normalny"/>
    <w:next w:val="Normalny"/>
    <w:link w:val="TytuZnak"/>
    <w:uiPriority w:val="10"/>
    <w:qFormat/>
    <w:rsid w:val="00291A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91AC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291ACF"/>
    <w:pPr>
      <w:numPr>
        <w:ilvl w:val="1"/>
      </w:numPr>
    </w:pPr>
    <w:rPr>
      <w:rFonts w:asciiTheme="majorHAnsi" w:eastAsiaTheme="minorEastAsia" w:hAnsiTheme="majorHAnsi"/>
      <w:smallCaps/>
      <w:color w:val="5A5A5A" w:themeColor="text1" w:themeTint="A5"/>
      <w:sz w:val="28"/>
      <w:szCs w:val="28"/>
    </w:rPr>
  </w:style>
  <w:style w:type="character" w:customStyle="1" w:styleId="PodtytuZnak">
    <w:name w:val="Podtytuł Znak"/>
    <w:basedOn w:val="Domylnaczcionkaakapitu"/>
    <w:link w:val="Podtytu"/>
    <w:uiPriority w:val="11"/>
    <w:rsid w:val="00291ACF"/>
    <w:rPr>
      <w:rFonts w:asciiTheme="majorHAnsi" w:eastAsiaTheme="minorEastAsia" w:hAnsiTheme="majorHAnsi"/>
      <w:smallCaps/>
      <w:color w:val="5A5A5A" w:themeColor="text1" w:themeTint="A5"/>
      <w:sz w:val="28"/>
      <w:szCs w:val="28"/>
    </w:rPr>
  </w:style>
  <w:style w:type="character" w:customStyle="1" w:styleId="Nagwek1Znak">
    <w:name w:val="Nagłówek 1 Znak"/>
    <w:basedOn w:val="Domylnaczcionkaakapitu"/>
    <w:link w:val="Nagwek1"/>
    <w:uiPriority w:val="9"/>
    <w:rsid w:val="00103309"/>
    <w:rPr>
      <w:rFonts w:asciiTheme="majorHAnsi" w:eastAsiaTheme="minorEastAsia" w:hAnsiTheme="majorHAnsi"/>
      <w:smallCaps/>
      <w:color w:val="5A5A5A" w:themeColor="text1" w:themeTint="A5"/>
      <w:sz w:val="36"/>
      <w:szCs w:val="36"/>
    </w:rPr>
  </w:style>
  <w:style w:type="character" w:customStyle="1" w:styleId="Nagwek2Znak">
    <w:name w:val="Nagłówek 2 Znak"/>
    <w:basedOn w:val="Domylnaczcionkaakapitu"/>
    <w:link w:val="Nagwek2"/>
    <w:uiPriority w:val="9"/>
    <w:rsid w:val="00103309"/>
    <w:rPr>
      <w:rFonts w:asciiTheme="majorHAnsi" w:eastAsiaTheme="minorEastAsia" w:hAnsiTheme="majorHAnsi"/>
      <w:smallCaps/>
      <w:color w:val="5A5A5A" w:themeColor="text1" w:themeTint="A5"/>
      <w:sz w:val="28"/>
      <w:szCs w:val="28"/>
    </w:rPr>
  </w:style>
  <w:style w:type="table" w:styleId="Tabela-Siatka">
    <w:name w:val="Table Grid"/>
    <w:basedOn w:val="Standardowy"/>
    <w:uiPriority w:val="39"/>
    <w:rsid w:val="00AC2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AC2173"/>
    <w:rPr>
      <w:color w:val="0563C1" w:themeColor="hyperlink"/>
      <w:u w:val="single"/>
    </w:rPr>
  </w:style>
  <w:style w:type="character" w:customStyle="1" w:styleId="price">
    <w:name w:val="price"/>
    <w:basedOn w:val="Domylnaczcionkaakapitu"/>
    <w:rsid w:val="00AC2173"/>
  </w:style>
  <w:style w:type="paragraph" w:styleId="Poprawka">
    <w:name w:val="Revision"/>
    <w:hidden/>
    <w:uiPriority w:val="99"/>
    <w:semiHidden/>
    <w:rsid w:val="00AC2173"/>
    <w:pPr>
      <w:spacing w:after="0" w:line="240" w:lineRule="auto"/>
    </w:pPr>
  </w:style>
  <w:style w:type="paragraph" w:styleId="Tekstdymka">
    <w:name w:val="Balloon Text"/>
    <w:basedOn w:val="Normalny"/>
    <w:link w:val="TekstdymkaZnak"/>
    <w:uiPriority w:val="99"/>
    <w:semiHidden/>
    <w:unhideWhenUsed/>
    <w:rsid w:val="00AC217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C21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759723">
      <w:bodyDiv w:val="1"/>
      <w:marLeft w:val="0"/>
      <w:marRight w:val="0"/>
      <w:marTop w:val="0"/>
      <w:marBottom w:val="0"/>
      <w:divBdr>
        <w:top w:val="none" w:sz="0" w:space="0" w:color="auto"/>
        <w:left w:val="none" w:sz="0" w:space="0" w:color="auto"/>
        <w:bottom w:val="none" w:sz="0" w:space="0" w:color="auto"/>
        <w:right w:val="none" w:sz="0" w:space="0" w:color="auto"/>
      </w:divBdr>
    </w:div>
    <w:div w:id="382098330">
      <w:bodyDiv w:val="1"/>
      <w:marLeft w:val="0"/>
      <w:marRight w:val="0"/>
      <w:marTop w:val="0"/>
      <w:marBottom w:val="0"/>
      <w:divBdr>
        <w:top w:val="none" w:sz="0" w:space="0" w:color="auto"/>
        <w:left w:val="none" w:sz="0" w:space="0" w:color="auto"/>
        <w:bottom w:val="none" w:sz="0" w:space="0" w:color="auto"/>
        <w:right w:val="none" w:sz="0" w:space="0" w:color="auto"/>
      </w:divBdr>
    </w:div>
    <w:div w:id="545606991">
      <w:bodyDiv w:val="1"/>
      <w:marLeft w:val="0"/>
      <w:marRight w:val="0"/>
      <w:marTop w:val="0"/>
      <w:marBottom w:val="0"/>
      <w:divBdr>
        <w:top w:val="none" w:sz="0" w:space="0" w:color="auto"/>
        <w:left w:val="none" w:sz="0" w:space="0" w:color="auto"/>
        <w:bottom w:val="none" w:sz="0" w:space="0" w:color="auto"/>
        <w:right w:val="none" w:sz="0" w:space="0" w:color="auto"/>
      </w:divBdr>
    </w:div>
    <w:div w:id="1023507973">
      <w:bodyDiv w:val="1"/>
      <w:marLeft w:val="0"/>
      <w:marRight w:val="0"/>
      <w:marTop w:val="0"/>
      <w:marBottom w:val="0"/>
      <w:divBdr>
        <w:top w:val="none" w:sz="0" w:space="0" w:color="auto"/>
        <w:left w:val="none" w:sz="0" w:space="0" w:color="auto"/>
        <w:bottom w:val="none" w:sz="0" w:space="0" w:color="auto"/>
        <w:right w:val="none" w:sz="0" w:space="0" w:color="auto"/>
      </w:divBdr>
    </w:div>
    <w:div w:id="1139035476">
      <w:bodyDiv w:val="1"/>
      <w:marLeft w:val="0"/>
      <w:marRight w:val="0"/>
      <w:marTop w:val="0"/>
      <w:marBottom w:val="0"/>
      <w:divBdr>
        <w:top w:val="none" w:sz="0" w:space="0" w:color="auto"/>
        <w:left w:val="none" w:sz="0" w:space="0" w:color="auto"/>
        <w:bottom w:val="none" w:sz="0" w:space="0" w:color="auto"/>
        <w:right w:val="none" w:sz="0" w:space="0" w:color="auto"/>
      </w:divBdr>
    </w:div>
    <w:div w:id="1440224955">
      <w:bodyDiv w:val="1"/>
      <w:marLeft w:val="0"/>
      <w:marRight w:val="0"/>
      <w:marTop w:val="0"/>
      <w:marBottom w:val="0"/>
      <w:divBdr>
        <w:top w:val="none" w:sz="0" w:space="0" w:color="auto"/>
        <w:left w:val="none" w:sz="0" w:space="0" w:color="auto"/>
        <w:bottom w:val="none" w:sz="0" w:space="0" w:color="auto"/>
        <w:right w:val="none" w:sz="0" w:space="0" w:color="auto"/>
      </w:divBdr>
    </w:div>
    <w:div w:id="1488476073">
      <w:bodyDiv w:val="1"/>
      <w:marLeft w:val="0"/>
      <w:marRight w:val="0"/>
      <w:marTop w:val="0"/>
      <w:marBottom w:val="0"/>
      <w:divBdr>
        <w:top w:val="none" w:sz="0" w:space="0" w:color="auto"/>
        <w:left w:val="none" w:sz="0" w:space="0" w:color="auto"/>
        <w:bottom w:val="none" w:sz="0" w:space="0" w:color="auto"/>
        <w:right w:val="none" w:sz="0" w:space="0" w:color="auto"/>
      </w:divBdr>
    </w:div>
    <w:div w:id="1768386946">
      <w:bodyDiv w:val="1"/>
      <w:marLeft w:val="0"/>
      <w:marRight w:val="0"/>
      <w:marTop w:val="0"/>
      <w:marBottom w:val="0"/>
      <w:divBdr>
        <w:top w:val="none" w:sz="0" w:space="0" w:color="auto"/>
        <w:left w:val="none" w:sz="0" w:space="0" w:color="auto"/>
        <w:bottom w:val="none" w:sz="0" w:space="0" w:color="auto"/>
        <w:right w:val="none" w:sz="0" w:space="0" w:color="auto"/>
      </w:divBdr>
    </w:div>
    <w:div w:id="190502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eek.com/chips/new-intel-storage-is-1000-times-faster-than-your-ssd-1629656/" TargetMode="External"/><Relationship Id="rId18" Type="http://schemas.openxmlformats.org/officeDocument/2006/relationships/hyperlink" Target="http://www.samsung.com/us/televisions-home-theater/tvs/qled-tvs/55--class-q7f-qled-4k-tv-qn55q7famfxza/" TargetMode="External"/><Relationship Id="rId3" Type="http://schemas.openxmlformats.org/officeDocument/2006/relationships/styles" Target="styles.xml"/><Relationship Id="rId21" Type="http://schemas.openxmlformats.org/officeDocument/2006/relationships/hyperlink" Target="http://www.lg.com/us/tvs/lg-OLED65B6P-oled-4k-tv" TargetMode="External"/><Relationship Id="rId7" Type="http://schemas.openxmlformats.org/officeDocument/2006/relationships/image" Target="media/image2.jpeg"/><Relationship Id="rId12" Type="http://schemas.openxmlformats.org/officeDocument/2006/relationships/hyperlink" Target="https://www.morele.net/wiadomosc/ranking-kart-graficznych-top-10-najlepszych-kart/1204/" TargetMode="External"/><Relationship Id="rId17" Type="http://schemas.openxmlformats.org/officeDocument/2006/relationships/hyperlink" Target="http://www.cyfrowe.pl/druk-montaz-edycja/monitor-eizo-cg248-4k.html" TargetMode="External"/><Relationship Id="rId2" Type="http://schemas.openxmlformats.org/officeDocument/2006/relationships/numbering" Target="numbering.xml"/><Relationship Id="rId16" Type="http://schemas.openxmlformats.org/officeDocument/2006/relationships/hyperlink" Target="http://www.eizo.pl/monitor/coloredge-cg248-4k/" TargetMode="External"/><Relationship Id="rId20" Type="http://schemas.openxmlformats.org/officeDocument/2006/relationships/hyperlink" Target="https://www.marcotec-sklep.pl/plpl/sony-bvm-x300-oled-monitor-7783.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eneo.pl/Dyski_SSD" TargetMode="External"/><Relationship Id="rId5" Type="http://schemas.openxmlformats.org/officeDocument/2006/relationships/webSettings" Target="webSettings.xml"/><Relationship Id="rId15" Type="http://schemas.openxmlformats.org/officeDocument/2006/relationships/hyperlink" Target="http://www.rtings.com/tv/tests/picture-quality/wide-color-gamut-rec-709-dci-p3-rec-2020" TargetMode="External"/><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www.sony.pl/pro/product/broadcast-products-professional-monitors-oled-monitors/bvm-x300/specifications/"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intel.pl/content/www/pl/pl/architecture-and-technology/intel-optane-technolog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0FC62-2E12-4169-B4F5-6951A36CE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5</Pages>
  <Words>1310</Words>
  <Characters>7861</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dc:creator>
  <cp:keywords/>
  <dc:description/>
  <cp:lastModifiedBy>Bartek</cp:lastModifiedBy>
  <cp:revision>15</cp:revision>
  <dcterms:created xsi:type="dcterms:W3CDTF">2017-05-29T23:16:00Z</dcterms:created>
  <dcterms:modified xsi:type="dcterms:W3CDTF">2017-06-05T23:54:00Z</dcterms:modified>
</cp:coreProperties>
</file>