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56"/>
          <w:szCs w:val="56"/>
        </w:rPr>
        <w:t xml:space="preserve">CAHIER DES CHARGES</w:t>
      </w:r>
    </w:p>
    <w:p>
      <w:pPr>
        <w:spacing w:after="0" w:before="120"/>
        <w:jc w:val="center"/>
      </w:pPr>
      <w:r>
        <w:rPr>
          <w:color w:val="404040"/>
          <w:sz w:val="32"/>
          <w:szCs w:val="32"/>
        </w:rPr>
        <w:t xml:space="preserve">Application de gestion de stock et de vente</w:t>
      </w:r>
    </w:p>
    <w:p>
      <w:pPr>
        <w:spacing w:after="0" w:before="60"/>
        <w:jc w:val="center"/>
      </w:pPr>
      <w:r>
        <w:rPr>
          <w:color w:val="404040"/>
          <w:sz w:val="32"/>
          <w:szCs w:val="32"/>
        </w:rPr>
        <w:t xml:space="preserve">pour commerçants</w:t>
      </w:r>
    </w:p>
    <w:p>
      <w:pPr>
        <w:spacing w:after="0" w:before="900"/>
        <w:jc w:val="center"/>
      </w:pPr>
      <w:r>
        <w:rPr>
          <w:i/>
          <w:iCs/>
          <w:color w:val="595959"/>
          <w:sz w:val="24"/>
          <w:szCs w:val="24"/>
        </w:rPr>
        <w:t xml:space="preserve">Projet : gestion_stock</w:t>
      </w:r>
    </w:p>
    <w:p>
      <w:pPr>
        <w:spacing w:after="0" w:before="60"/>
        <w:jc w:val="center"/>
      </w:pPr>
      <w:r>
        <w:rPr>
          <w:color w:val="595959"/>
          <w:sz w:val="22"/>
          <w:szCs w:val="22"/>
        </w:rPr>
        <w:t xml:space="preserve">Backend Django + PostgreSQL  ·  Client Electron + React + SQLite</w:t>
      </w:r>
    </w:p>
    <w:p>
      <w:pPr>
        <w:spacing w:after="0" w:before="1500"/>
        <w:jc w:val="center"/>
      </w:pPr>
      <w:r>
        <w:rPr>
          <w:color w:val="808080"/>
          <w:sz w:val="22"/>
          <w:szCs w:val="22"/>
        </w:rPr>
        <w:t xml:space="preserve">Version 1.0 — Juillet 2026</w:t>
      </w:r>
    </w:p>
    <w:p>
      <w:r>
        <w:br w:type="page"/>
      </w:r>
    </w:p>
    <w:p>
      <w:pPr>
        <w:pStyle w:val="Heading1"/>
        <w:spacing w:after="140" w:before="300"/>
      </w:pPr>
      <w:r>
        <w:rPr>
          <w:b/>
          <w:bCs/>
          <w:color w:val="1F4E79"/>
        </w:rPr>
        <w:t xml:space="preserve">Sommaire</w:t>
      </w:r>
    </w:p>
    <w:p>
      <w:pPr>
        <w:spacing w:after="100" w:line="300"/>
        <w:ind w:left="200"/>
      </w:pPr>
      <w:r>
        <w:rPr>
          <w:color w:val="262626"/>
          <w:sz w:val="24"/>
          <w:szCs w:val="24"/>
        </w:rPr>
        <w:t xml:space="preserve">1.  Présentation du projet</w:t>
      </w:r>
    </w:p>
    <w:p>
      <w:pPr>
        <w:spacing w:after="100" w:line="300"/>
        <w:ind w:left="200"/>
      </w:pPr>
      <w:r>
        <w:rPr>
          <w:color w:val="262626"/>
          <w:sz w:val="24"/>
          <w:szCs w:val="24"/>
        </w:rPr>
        <w:t xml:space="preserve">2.  Périmètre</w:t>
      </w:r>
    </w:p>
    <w:p>
      <w:pPr>
        <w:spacing w:after="100" w:line="300"/>
        <w:ind w:left="200"/>
      </w:pPr>
      <w:r>
        <w:rPr>
          <w:color w:val="262626"/>
          <w:sz w:val="24"/>
          <w:szCs w:val="24"/>
        </w:rPr>
        <w:t xml:space="preserve">3.  Architecture technique</w:t>
      </w:r>
    </w:p>
    <w:p>
      <w:pPr>
        <w:spacing w:after="100" w:line="300"/>
        <w:ind w:left="200"/>
      </w:pPr>
      <w:r>
        <w:rPr>
          <w:color w:val="262626"/>
          <w:sz w:val="24"/>
          <w:szCs w:val="24"/>
        </w:rPr>
        <w:t xml:space="preserve">4.  Applications Django</w:t>
      </w:r>
    </w:p>
    <w:p>
      <w:pPr>
        <w:spacing w:after="100" w:line="300"/>
        <w:ind w:left="200"/>
      </w:pPr>
      <w:r>
        <w:rPr>
          <w:color w:val="262626"/>
          <w:sz w:val="24"/>
          <w:szCs w:val="24"/>
        </w:rPr>
        <w:t xml:space="preserve">5.  Modèle de données</w:t>
      </w:r>
    </w:p>
    <w:p>
      <w:pPr>
        <w:spacing w:after="100" w:line="300"/>
        <w:ind w:left="200"/>
      </w:pPr>
      <w:r>
        <w:rPr>
          <w:color w:val="262626"/>
          <w:sz w:val="24"/>
          <w:szCs w:val="24"/>
        </w:rPr>
        <w:t xml:space="preserve">6.  Fonctionnalités par module</w:t>
      </w:r>
    </w:p>
    <w:p>
      <w:pPr>
        <w:spacing w:after="100" w:line="300"/>
        <w:ind w:left="200"/>
      </w:pPr>
      <w:r>
        <w:rPr>
          <w:color w:val="262626"/>
          <w:sz w:val="24"/>
          <w:szCs w:val="24"/>
        </w:rPr>
        <w:t xml:space="preserve">7.  Rôles et permissions</w:t>
      </w:r>
    </w:p>
    <w:p>
      <w:pPr>
        <w:spacing w:after="100" w:line="300"/>
        <w:ind w:left="200"/>
      </w:pPr>
      <w:r>
        <w:rPr>
          <w:color w:val="262626"/>
          <w:sz w:val="24"/>
          <w:szCs w:val="24"/>
        </w:rPr>
        <w:t xml:space="preserve">8.  Règles de gestion</w:t>
      </w:r>
    </w:p>
    <w:p>
      <w:pPr>
        <w:spacing w:after="100" w:line="300"/>
        <w:ind w:left="200"/>
      </w:pPr>
      <w:r>
        <w:rPr>
          <w:color w:val="262626"/>
          <w:sz w:val="24"/>
          <w:szCs w:val="24"/>
        </w:rPr>
        <w:t xml:space="preserve">9.  API de synchronisation</w:t>
      </w:r>
    </w:p>
    <w:p>
      <w:pPr>
        <w:spacing w:after="100" w:line="300"/>
        <w:ind w:left="200"/>
      </w:pPr>
      <w:r>
        <w:rPr>
          <w:color w:val="262626"/>
          <w:sz w:val="24"/>
          <w:szCs w:val="24"/>
        </w:rPr>
        <w:t xml:space="preserve">10.  Écrans de l'application</w:t>
      </w:r>
    </w:p>
    <w:p>
      <w:pPr>
        <w:spacing w:after="100" w:line="300"/>
        <w:ind w:left="200"/>
      </w:pPr>
      <w:r>
        <w:rPr>
          <w:color w:val="262626"/>
          <w:sz w:val="24"/>
          <w:szCs w:val="24"/>
        </w:rPr>
        <w:t xml:space="preserve">11.  Plan de développement par étapes</w:t>
      </w:r>
    </w:p>
    <w:p>
      <w:pPr>
        <w:spacing w:after="100" w:line="300"/>
        <w:ind w:left="200"/>
      </w:pPr>
      <w:r>
        <w:rPr>
          <w:color w:val="262626"/>
          <w:sz w:val="24"/>
          <w:szCs w:val="24"/>
        </w:rPr>
        <w:t xml:space="preserve">12.  Prérequis techniques</w:t>
      </w:r>
    </w:p>
    <w:p>
      <w:r>
        <w:br w:type="page"/>
      </w:r>
    </w:p>
    <w:p>
      <w:pPr>
        <w:pStyle w:val="Heading1"/>
        <w:spacing w:after="140" w:before="300"/>
      </w:pPr>
      <w:r>
        <w:rPr>
          <w:b/>
          <w:bCs/>
          <w:color w:val="1F4E79"/>
        </w:rPr>
        <w:t xml:space="preserve">1. Présentation du projet</w:t>
      </w:r>
    </w:p>
    <w:p>
      <w:pPr>
        <w:spacing w:after="120" w:line="276"/>
        <w:jc w:val="both"/>
      </w:pPr>
      <w:r>
        <w:rPr>
          <w:b/>
          <w:bCs/>
        </w:rPr>
        <w:t xml:space="preserve">Objectif. </w:t>
      </w:r>
      <w:r>
        <w:t xml:space="preserve">Concevoir une application permettant à des commerçants de gérer leur stock et de réaliser leurs ventes. Chaque commerçant dispose de son propre compte et de ses propres données, totalement isolées de celles des autres.</w:t>
      </w:r>
    </w:p>
    <w:p>
      <w:pPr>
        <w:spacing w:after="120" w:line="276"/>
        <w:jc w:val="both"/>
      </w:pPr>
      <w:r>
        <w:rPr>
          <w:b/>
          <w:bCs/>
        </w:rPr>
        <w:t xml:space="preserve">Modèle « local d'abord ». </w:t>
      </w:r>
      <w:r>
        <w:t xml:space="preserve">L'application s'installe sur l'ordinateur du commerçant sous forme d'exécutable et fonctionne intégralement hors connexion (les données sont stockées localement). Dès qu'une connexion internet est disponible, les données sont sauvegardées et synchronisées avec un serveur en ligne, ce qui permet aussi de retrouver ses données sur un autre appareil.</w:t>
      </w:r>
    </w:p>
    <w:p>
      <w:pPr>
        <w:spacing w:after="120" w:line="276"/>
        <w:jc w:val="both"/>
      </w:pPr>
      <w:r>
        <w:rPr>
          <w:b/>
          <w:bCs/>
        </w:rPr>
        <w:t xml:space="preserve">Contexte marché. </w:t>
      </w:r>
      <w:r>
        <w:t xml:space="preserve">Le projet s'inscrit dans un marché déjà actif en Afrique de l'Ouest (Kweeli, Samabitik, Diarama, Avobi, STOCKAM, Weebi…). Ces solutions se distinguent par trois atouts adaptés au terrain : le fonctionnement hors-ligne, le paiement mobile money (Wave, Orange Money, MTN) et le carnet de crédit client. Ces éléments orientent le présent cahier des charges.</w:t>
      </w:r>
    </w:p>
    <w:p>
      <w:pPr>
        <w:spacing w:after="120" w:line="276"/>
        <w:jc w:val="both"/>
      </w:pPr>
      <w:r>
        <w:rPr>
          <w:b/>
          <w:bCs/>
        </w:rPr>
        <w:t xml:space="preserve">Public visé. </w:t>
      </w:r>
      <w:r>
        <w:t xml:space="preserve">Commerçants, boutiques et petites entreprises, notamment en Côte d'Ivoire et en Afrique de l'Ouest. Devise par défaut : le FCFA.</w:t>
      </w:r>
    </w:p>
    <w:p>
      <w:pPr>
        <w:pStyle w:val="Heading1"/>
        <w:spacing w:after="140" w:before="300"/>
      </w:pPr>
      <w:r>
        <w:rPr>
          <w:b/>
          <w:bCs/>
          <w:color w:val="1F4E79"/>
        </w:rPr>
        <w:t xml:space="preserve">2. Périmètre</w:t>
      </w:r>
    </w:p>
    <w:p>
      <w:pPr>
        <w:spacing w:after="120" w:line="276"/>
        <w:jc w:val="both"/>
      </w:pPr>
      <w:r>
        <w:rPr>
          <w:b/>
          <w:bCs/>
        </w:rPr>
        <w:t xml:space="preserve">Version 1 (MVP). </w:t>
      </w:r>
      <w:r>
        <w:t xml:space="preserve">Gestion des produits et du stock, ventes et caisse, achats et fournisseurs, rapports et statistiques, gestion des clients avec carnet de crédit, comptes et rôles, et synchronisation locale ↔ serveur.</w:t>
      </w:r>
    </w:p>
    <w:p>
      <w:pPr>
        <w:spacing w:after="120" w:line="276"/>
        <w:jc w:val="both"/>
      </w:pPr>
      <w:r>
        <w:rPr>
          <w:b/>
          <w:bCs/>
        </w:rPr>
        <w:t xml:space="preserve">Phase 2. </w:t>
      </w:r>
      <w:r>
        <w:t xml:space="preserve">Intégration du mobile money (Wave, Orange Money, MTN) et des notifications (rappels de crédit et de rupture de stock, envoi du ticket par WhatsApp).</w:t>
      </w:r>
    </w:p>
    <w:p>
      <w:pPr>
        <w:pStyle w:val="Heading1"/>
        <w:spacing w:after="140" w:before="300"/>
      </w:pPr>
      <w:r>
        <w:rPr>
          <w:b/>
          <w:bCs/>
          <w:color w:val="1F4E79"/>
        </w:rPr>
        <w:t xml:space="preserve">3. Architecture technique</w:t>
      </w:r>
    </w:p>
    <w:p>
      <w:pPr>
        <w:spacing w:after="120" w:line="276"/>
        <w:jc w:val="both"/>
      </w:pPr>
      <w:r>
        <w:t xml:space="preserve">L'application repose sur deux composants reliés par une API de synchronisation.</w:t>
      </w:r>
    </w:p>
    <w:p>
      <w:pPr>
        <w:pStyle w:val="Heading2"/>
        <w:spacing w:after="100" w:before="200"/>
      </w:pPr>
      <w:r>
        <w:rPr>
          <w:b/>
          <w:bCs/>
          <w:color w:val="1F4E79"/>
        </w:rPr>
        <w:t xml:space="preserve">3.1 Client — appli locale</w:t>
      </w:r>
    </w:p>
    <w:p>
      <w:pPr>
        <w:spacing w:after="120" w:line="276"/>
        <w:jc w:val="both"/>
      </w:pPr>
      <w:r>
        <w:rPr>
          <w:b/>
          <w:bCs/>
        </w:rPr>
        <w:t xml:space="preserve">Electron + React + SQLite. </w:t>
      </w:r>
      <w:r>
        <w:t xml:space="preserve">Electron transforme l'interface web (React) en une application de bureau installable sur Windows. Les données sont enregistrées localement dans une base SQLite, ce qui garantit un fonctionnement rapide et hors-ligne. L'interface (écrans, boutons, navigation) est définie dans le code React, pas en base de données.</w:t>
      </w:r>
    </w:p>
    <w:p>
      <w:pPr>
        <w:pStyle w:val="Heading2"/>
        <w:spacing w:after="100" w:before="200"/>
      </w:pPr>
      <w:r>
        <w:rPr>
          <w:b/>
          <w:bCs/>
          <w:color w:val="1F4E79"/>
        </w:rPr>
        <w:t xml:space="preserve">3.2 Serveur — backend en ligne</w:t>
      </w:r>
    </w:p>
    <w:p>
      <w:pPr>
        <w:spacing w:after="120" w:line="276"/>
        <w:jc w:val="both"/>
      </w:pPr>
      <w:r>
        <w:rPr>
          <w:b/>
          <w:bCs/>
        </w:rPr>
        <w:t xml:space="preserve">Django + PostgreSQL. </w:t>
      </w:r>
      <w:r>
        <w:t xml:space="preserve">Le serveur gère l'authentification des comptes, la sauvegarde des données, l'espace d'administration et l'API. PostgreSQL stocke les données en ligne. Django REST Framework expose l'API consommée par le client.</w:t>
      </w:r>
    </w:p>
    <w:p>
      <w:pPr>
        <w:pStyle w:val="Heading2"/>
        <w:spacing w:after="100" w:before="200"/>
      </w:pPr>
      <w:r>
        <w:rPr>
          <w:b/>
          <w:bCs/>
          <w:color w:val="1F4E79"/>
        </w:rPr>
        <w:t xml:space="preserve">3.3 Principe de fonctionnement</w:t>
      </w:r>
    </w:p>
    <w:p>
      <w:pPr>
        <w:spacing w:after="120" w:line="276"/>
        <w:jc w:val="both"/>
      </w:pPr>
      <w:r>
        <w:t xml:space="preserve">Au quotidien, la base locale est la source de vérité ; le serveur sert de coffre-fort et de point de rencontre entre appareils. La synchronisation envoie vers le serveur les changements locaux (push) puis récupère les changements du serveur (pull). Seuls les changements (deltas) sont échangés, jamais toute la base.</w:t>
      </w:r>
    </w:p>
    <w:p>
      <w:pPr>
        <w:pStyle w:val="Heading1"/>
        <w:spacing w:after="140" w:before="300"/>
      </w:pPr>
      <w:r>
        <w:rPr>
          <w:b/>
          <w:bCs/>
          <w:color w:val="1F4E79"/>
        </w:rPr>
        <w:t xml:space="preserve">4. Applications Django</w:t>
      </w:r>
    </w:p>
    <w:p>
      <w:pPr>
        <w:spacing w:after="120" w:line="276"/>
        <w:jc w:val="both"/>
      </w:pPr>
      <w:r>
        <w:t xml:space="preserve">Le projet est découpé en 10 applications (V1), chacune responsable d'un domaine précis. Deux applications supplémentaires sont prévues en phase 2.</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400"/>
      </w:tblGrid>
      <w:tr>
        <w:trPr>
          <w:tblHeader/>
        </w:trPr>
        <w:tc>
          <w:tcPr>
            <w:tcW w:type="dxa" w:w="2600"/>
            <w:shd w:fill="1F4E79" w:color="auto" w:val="clear"/>
            <w:tcMar>
              <w:top w:type="dxa" w:w="60"/>
              <w:left w:type="dxa" w:w="90"/>
              <w:bottom w:type="dxa" w:w="60"/>
              <w:right w:type="dxa" w:w="90"/>
            </w:tcMar>
          </w:tcPr>
          <w:p>
            <w:pPr>
              <w:spacing w:after="0" w:line="250"/>
              <w:jc w:val="left"/>
            </w:pPr>
            <w:r>
              <w:rPr>
                <w:b/>
                <w:bCs/>
                <w:color w:val="FFFFFF"/>
              </w:rPr>
              <w:t xml:space="preserve">Application</w:t>
            </w:r>
          </w:p>
        </w:tc>
        <w:tc>
          <w:tcPr>
            <w:tcW w:type="dxa" w:w="6400"/>
            <w:shd w:fill="1F4E79" w:color="auto" w:val="clear"/>
            <w:tcMar>
              <w:top w:type="dxa" w:w="60"/>
              <w:left w:type="dxa" w:w="90"/>
              <w:bottom w:type="dxa" w:w="60"/>
              <w:right w:type="dxa" w:w="90"/>
            </w:tcMar>
          </w:tcPr>
          <w:p>
            <w:pPr>
              <w:spacing w:after="0" w:line="250"/>
              <w:jc w:val="left"/>
            </w:pPr>
            <w:r>
              <w:rPr>
                <w:b/>
                <w:bCs/>
                <w:color w:val="FFFFFF"/>
              </w:rPr>
              <w:t xml:space="preserve">Rôle</w:t>
            </w:r>
          </w:p>
        </w:tc>
      </w:tr>
      <w:tr>
        <w:tc>
          <w:tcPr>
            <w:tcW w:type="dxa" w:w="2600"/>
            <w:shd w:fill="FFFFFF" w:color="auto" w:val="clear"/>
            <w:tcMar>
              <w:top w:type="dxa" w:w="60"/>
              <w:left w:type="dxa" w:w="90"/>
              <w:bottom w:type="dxa" w:w="60"/>
              <w:right w:type="dxa" w:w="90"/>
            </w:tcMar>
          </w:tcPr>
          <w:p>
            <w:pPr>
              <w:spacing w:after="0" w:line="250"/>
              <w:jc w:val="left"/>
            </w:pPr>
            <w:r>
              <w:t xml:space="preserve">core</w:t>
            </w:r>
          </w:p>
        </w:tc>
        <w:tc>
          <w:tcPr>
            <w:tcW w:type="dxa" w:w="6400"/>
            <w:shd w:fill="FFFFFF" w:color="auto" w:val="clear"/>
            <w:tcMar>
              <w:top w:type="dxa" w:w="60"/>
              <w:left w:type="dxa" w:w="90"/>
              <w:bottom w:type="dxa" w:w="60"/>
              <w:right w:type="dxa" w:w="90"/>
            </w:tcMar>
          </w:tcPr>
          <w:p>
            <w:pPr>
              <w:spacing w:after="0" w:line="250"/>
              <w:jc w:val="left"/>
            </w:pPr>
            <w:r>
              <w:t xml:space="preserve">Modèle de base commun à toutes les tables (UUID, dates, indicateurs de synchro, soft delete)</w:t>
            </w:r>
          </w:p>
        </w:tc>
      </w:tr>
      <w:tr>
        <w:tc>
          <w:tcPr>
            <w:tcW w:type="dxa" w:w="2600"/>
            <w:shd w:fill="F2F2F2" w:color="auto" w:val="clear"/>
            <w:tcMar>
              <w:top w:type="dxa" w:w="60"/>
              <w:left w:type="dxa" w:w="90"/>
              <w:bottom w:type="dxa" w:w="60"/>
              <w:right w:type="dxa" w:w="90"/>
            </w:tcMar>
          </w:tcPr>
          <w:p>
            <w:pPr>
              <w:spacing w:after="0" w:line="250"/>
              <w:jc w:val="left"/>
            </w:pPr>
            <w:r>
              <w:t xml:space="preserve">comptes</w:t>
            </w:r>
          </w:p>
        </w:tc>
        <w:tc>
          <w:tcPr>
            <w:tcW w:type="dxa" w:w="6400"/>
            <w:shd w:fill="F2F2F2" w:color="auto" w:val="clear"/>
            <w:tcMar>
              <w:top w:type="dxa" w:w="60"/>
              <w:left w:type="dxa" w:w="90"/>
              <w:bottom w:type="dxa" w:w="60"/>
              <w:right w:type="dxa" w:w="90"/>
            </w:tcMar>
          </w:tcPr>
          <w:p>
            <w:pPr>
              <w:spacing w:after="0" w:line="250"/>
              <w:jc w:val="left"/>
            </w:pPr>
            <w:r>
              <w:t xml:space="preserve">Boutiques, utilisateurs, rôles et permissions (isolation multi-commerçant)</w:t>
            </w:r>
          </w:p>
        </w:tc>
      </w:tr>
      <w:tr>
        <w:tc>
          <w:tcPr>
            <w:tcW w:type="dxa" w:w="2600"/>
            <w:shd w:fill="FFFFFF" w:color="auto" w:val="clear"/>
            <w:tcMar>
              <w:top w:type="dxa" w:w="60"/>
              <w:left w:type="dxa" w:w="90"/>
              <w:bottom w:type="dxa" w:w="60"/>
              <w:right w:type="dxa" w:w="90"/>
            </w:tcMar>
          </w:tcPr>
          <w:p>
            <w:pPr>
              <w:spacing w:after="0" w:line="250"/>
              <w:jc w:val="left"/>
            </w:pPr>
            <w:r>
              <w:t xml:space="preserve">catalogue</w:t>
            </w:r>
          </w:p>
        </w:tc>
        <w:tc>
          <w:tcPr>
            <w:tcW w:type="dxa" w:w="6400"/>
            <w:shd w:fill="FFFFFF" w:color="auto" w:val="clear"/>
            <w:tcMar>
              <w:top w:type="dxa" w:w="60"/>
              <w:left w:type="dxa" w:w="90"/>
              <w:bottom w:type="dxa" w:w="60"/>
              <w:right w:type="dxa" w:w="90"/>
            </w:tcMar>
          </w:tcPr>
          <w:p>
            <w:pPr>
              <w:spacing w:after="0" w:line="250"/>
              <w:jc w:val="left"/>
            </w:pPr>
            <w:r>
              <w:t xml:space="preserve">Produits, catégories, unités, attributs et variantes</w:t>
            </w:r>
          </w:p>
        </w:tc>
      </w:tr>
      <w:tr>
        <w:tc>
          <w:tcPr>
            <w:tcW w:type="dxa" w:w="2600"/>
            <w:shd w:fill="F2F2F2" w:color="auto" w:val="clear"/>
            <w:tcMar>
              <w:top w:type="dxa" w:w="60"/>
              <w:left w:type="dxa" w:w="90"/>
              <w:bottom w:type="dxa" w:w="60"/>
              <w:right w:type="dxa" w:w="90"/>
            </w:tcMar>
          </w:tcPr>
          <w:p>
            <w:pPr>
              <w:spacing w:after="0" w:line="250"/>
              <w:jc w:val="left"/>
            </w:pPr>
            <w:r>
              <w:t xml:space="preserve">stock</w:t>
            </w:r>
          </w:p>
        </w:tc>
        <w:tc>
          <w:tcPr>
            <w:tcW w:type="dxa" w:w="6400"/>
            <w:shd w:fill="F2F2F2" w:color="auto" w:val="clear"/>
            <w:tcMar>
              <w:top w:type="dxa" w:w="60"/>
              <w:left w:type="dxa" w:w="90"/>
              <w:bottom w:type="dxa" w:w="60"/>
              <w:right w:type="dxa" w:w="90"/>
            </w:tcMar>
          </w:tcPr>
          <w:p>
            <w:pPr>
              <w:spacing w:after="0" w:line="250"/>
              <w:jc w:val="left"/>
            </w:pPr>
            <w:r>
              <w:t xml:space="preserve">Dépôts, niveaux de stock, mouvements, transferts, inventaires, alertes</w:t>
            </w:r>
          </w:p>
        </w:tc>
      </w:tr>
      <w:tr>
        <w:tc>
          <w:tcPr>
            <w:tcW w:type="dxa" w:w="2600"/>
            <w:shd w:fill="FFFFFF" w:color="auto" w:val="clear"/>
            <w:tcMar>
              <w:top w:type="dxa" w:w="60"/>
              <w:left w:type="dxa" w:w="90"/>
              <w:bottom w:type="dxa" w:w="60"/>
              <w:right w:type="dxa" w:w="90"/>
            </w:tcMar>
          </w:tcPr>
          <w:p>
            <w:pPr>
              <w:spacing w:after="0" w:line="250"/>
              <w:jc w:val="left"/>
            </w:pPr>
            <w:r>
              <w:t xml:space="preserve">ventes</w:t>
            </w:r>
          </w:p>
        </w:tc>
        <w:tc>
          <w:tcPr>
            <w:tcW w:type="dxa" w:w="6400"/>
            <w:shd w:fill="FFFFFF" w:color="auto" w:val="clear"/>
            <w:tcMar>
              <w:top w:type="dxa" w:w="60"/>
              <w:left w:type="dxa" w:w="90"/>
              <w:bottom w:type="dxa" w:w="60"/>
              <w:right w:type="dxa" w:w="90"/>
            </w:tcMar>
          </w:tcPr>
          <w:p>
            <w:pPr>
              <w:spacing w:after="0" w:line="250"/>
              <w:jc w:val="left"/>
            </w:pPr>
            <w:r>
              <w:t xml:space="preserve">Ventes, lignes de vente, paiements (caisse)</w:t>
            </w:r>
          </w:p>
        </w:tc>
      </w:tr>
      <w:tr>
        <w:tc>
          <w:tcPr>
            <w:tcW w:type="dxa" w:w="2600"/>
            <w:shd w:fill="F2F2F2" w:color="auto" w:val="clear"/>
            <w:tcMar>
              <w:top w:type="dxa" w:w="60"/>
              <w:left w:type="dxa" w:w="90"/>
              <w:bottom w:type="dxa" w:w="60"/>
              <w:right w:type="dxa" w:w="90"/>
            </w:tcMar>
          </w:tcPr>
          <w:p>
            <w:pPr>
              <w:spacing w:after="0" w:line="250"/>
              <w:jc w:val="left"/>
            </w:pPr>
            <w:r>
              <w:t xml:space="preserve">achats</w:t>
            </w:r>
          </w:p>
        </w:tc>
        <w:tc>
          <w:tcPr>
            <w:tcW w:type="dxa" w:w="6400"/>
            <w:shd w:fill="F2F2F2" w:color="auto" w:val="clear"/>
            <w:tcMar>
              <w:top w:type="dxa" w:w="60"/>
              <w:left w:type="dxa" w:w="90"/>
              <w:bottom w:type="dxa" w:w="60"/>
              <w:right w:type="dxa" w:w="90"/>
            </w:tcMar>
          </w:tcPr>
          <w:p>
            <w:pPr>
              <w:spacing w:after="0" w:line="250"/>
              <w:jc w:val="left"/>
            </w:pPr>
            <w:r>
              <w:t xml:space="preserve">Commandes fournisseurs et réceptions de marchandise</w:t>
            </w:r>
          </w:p>
        </w:tc>
      </w:tr>
      <w:tr>
        <w:tc>
          <w:tcPr>
            <w:tcW w:type="dxa" w:w="2600"/>
            <w:shd w:fill="FFFFFF" w:color="auto" w:val="clear"/>
            <w:tcMar>
              <w:top w:type="dxa" w:w="60"/>
              <w:left w:type="dxa" w:w="90"/>
              <w:bottom w:type="dxa" w:w="60"/>
              <w:right w:type="dxa" w:w="90"/>
            </w:tcMar>
          </w:tcPr>
          <w:p>
            <w:pPr>
              <w:spacing w:after="0" w:line="250"/>
              <w:jc w:val="left"/>
            </w:pPr>
            <w:r>
              <w:t xml:space="preserve">clients</w:t>
            </w:r>
          </w:p>
        </w:tc>
        <w:tc>
          <w:tcPr>
            <w:tcW w:type="dxa" w:w="6400"/>
            <w:shd w:fill="FFFFFF" w:color="auto" w:val="clear"/>
            <w:tcMar>
              <w:top w:type="dxa" w:w="60"/>
              <w:left w:type="dxa" w:w="90"/>
              <w:bottom w:type="dxa" w:w="60"/>
              <w:right w:type="dxa" w:w="90"/>
            </w:tcMar>
          </w:tcPr>
          <w:p>
            <w:pPr>
              <w:spacing w:after="0" w:line="250"/>
              <w:jc w:val="left"/>
            </w:pPr>
            <w:r>
              <w:t xml:space="preserve">Fiches clients et carnet de crédit</w:t>
            </w:r>
          </w:p>
        </w:tc>
      </w:tr>
      <w:tr>
        <w:tc>
          <w:tcPr>
            <w:tcW w:type="dxa" w:w="2600"/>
            <w:shd w:fill="F2F2F2" w:color="auto" w:val="clear"/>
            <w:tcMar>
              <w:top w:type="dxa" w:w="60"/>
              <w:left w:type="dxa" w:w="90"/>
              <w:bottom w:type="dxa" w:w="60"/>
              <w:right w:type="dxa" w:w="90"/>
            </w:tcMar>
          </w:tcPr>
          <w:p>
            <w:pPr>
              <w:spacing w:after="0" w:line="250"/>
              <w:jc w:val="left"/>
            </w:pPr>
            <w:r>
              <w:t xml:space="preserve">fournisseurs</w:t>
            </w:r>
          </w:p>
        </w:tc>
        <w:tc>
          <w:tcPr>
            <w:tcW w:type="dxa" w:w="6400"/>
            <w:shd w:fill="F2F2F2" w:color="auto" w:val="clear"/>
            <w:tcMar>
              <w:top w:type="dxa" w:w="60"/>
              <w:left w:type="dxa" w:w="90"/>
              <w:bottom w:type="dxa" w:w="60"/>
              <w:right w:type="dxa" w:w="90"/>
            </w:tcMar>
          </w:tcPr>
          <w:p>
            <w:pPr>
              <w:spacing w:after="0" w:line="250"/>
              <w:jc w:val="left"/>
            </w:pPr>
            <w:r>
              <w:t xml:space="preserve">Fiches fournisseurs et dettes fournisseurs</w:t>
            </w:r>
          </w:p>
        </w:tc>
      </w:tr>
      <w:tr>
        <w:tc>
          <w:tcPr>
            <w:tcW w:type="dxa" w:w="2600"/>
            <w:shd w:fill="FFFFFF" w:color="auto" w:val="clear"/>
            <w:tcMar>
              <w:top w:type="dxa" w:w="60"/>
              <w:left w:type="dxa" w:w="90"/>
              <w:bottom w:type="dxa" w:w="60"/>
              <w:right w:type="dxa" w:w="90"/>
            </w:tcMar>
          </w:tcPr>
          <w:p>
            <w:pPr>
              <w:spacing w:after="0" w:line="250"/>
              <w:jc w:val="left"/>
            </w:pPr>
            <w:r>
              <w:t xml:space="preserve">configuration</w:t>
            </w:r>
          </w:p>
        </w:tc>
        <w:tc>
          <w:tcPr>
            <w:tcW w:type="dxa" w:w="6400"/>
            <w:shd w:fill="FFFFFF" w:color="auto" w:val="clear"/>
            <w:tcMar>
              <w:top w:type="dxa" w:w="60"/>
              <w:left w:type="dxa" w:w="90"/>
              <w:bottom w:type="dxa" w:w="60"/>
              <w:right w:type="dxa" w:w="90"/>
            </w:tcMar>
          </w:tcPr>
          <w:p>
            <w:pPr>
              <w:spacing w:after="0" w:line="250"/>
              <w:jc w:val="left"/>
            </w:pPr>
            <w:r>
              <w:t xml:space="preserve">Réglages dynamiques par boutique (devise, TVA, format ticket)</w:t>
            </w:r>
          </w:p>
        </w:tc>
      </w:tr>
      <w:tr>
        <w:tc>
          <w:tcPr>
            <w:tcW w:type="dxa" w:w="2600"/>
            <w:shd w:fill="F2F2F2" w:color="auto" w:val="clear"/>
            <w:tcMar>
              <w:top w:type="dxa" w:w="60"/>
              <w:left w:type="dxa" w:w="90"/>
              <w:bottom w:type="dxa" w:w="60"/>
              <w:right w:type="dxa" w:w="90"/>
            </w:tcMar>
          </w:tcPr>
          <w:p>
            <w:pPr>
              <w:spacing w:after="0" w:line="250"/>
              <w:jc w:val="left"/>
            </w:pPr>
            <w:r>
              <w:t xml:space="preserve">synchronisation</w:t>
            </w:r>
          </w:p>
        </w:tc>
        <w:tc>
          <w:tcPr>
            <w:tcW w:type="dxa" w:w="6400"/>
            <w:shd w:fill="F2F2F2" w:color="auto" w:val="clear"/>
            <w:tcMar>
              <w:top w:type="dxa" w:w="60"/>
              <w:left w:type="dxa" w:w="90"/>
              <w:bottom w:type="dxa" w:w="60"/>
              <w:right w:type="dxa" w:w="90"/>
            </w:tcMar>
          </w:tcPr>
          <w:p>
            <w:pPr>
              <w:spacing w:after="0" w:line="250"/>
              <w:jc w:val="left"/>
            </w:pPr>
            <w:r>
              <w:t xml:space="preserve">Journal des échanges et résolution des conflits</w:t>
            </w:r>
          </w:p>
        </w:tc>
      </w:tr>
      <w:tr>
        <w:tc>
          <w:tcPr>
            <w:tcW w:type="dxa" w:w="2600"/>
            <w:shd w:fill="FFFFFF" w:color="auto" w:val="clear"/>
            <w:tcMar>
              <w:top w:type="dxa" w:w="60"/>
              <w:left w:type="dxa" w:w="90"/>
              <w:bottom w:type="dxa" w:w="60"/>
              <w:right w:type="dxa" w:w="90"/>
            </w:tcMar>
          </w:tcPr>
          <w:p>
            <w:pPr>
              <w:spacing w:after="0" w:line="250"/>
              <w:jc w:val="left"/>
            </w:pPr>
            <w:r>
              <w:t xml:space="preserve">paiements (phase 2)</w:t>
            </w:r>
          </w:p>
        </w:tc>
        <w:tc>
          <w:tcPr>
            <w:tcW w:type="dxa" w:w="6400"/>
            <w:shd w:fill="FFFFFF" w:color="auto" w:val="clear"/>
            <w:tcMar>
              <w:top w:type="dxa" w:w="60"/>
              <w:left w:type="dxa" w:w="90"/>
              <w:bottom w:type="dxa" w:w="60"/>
              <w:right w:type="dxa" w:w="90"/>
            </w:tcMar>
          </w:tcPr>
          <w:p>
            <w:pPr>
              <w:spacing w:after="0" w:line="250"/>
              <w:jc w:val="left"/>
            </w:pPr>
            <w:r>
              <w:t xml:space="preserve">Intégration mobile money (Wave, Orange Money, MTN)</w:t>
            </w:r>
          </w:p>
        </w:tc>
      </w:tr>
      <w:tr>
        <w:tc>
          <w:tcPr>
            <w:tcW w:type="dxa" w:w="2600"/>
            <w:shd w:fill="F2F2F2" w:color="auto" w:val="clear"/>
            <w:tcMar>
              <w:top w:type="dxa" w:w="60"/>
              <w:left w:type="dxa" w:w="90"/>
              <w:bottom w:type="dxa" w:w="60"/>
              <w:right w:type="dxa" w:w="90"/>
            </w:tcMar>
          </w:tcPr>
          <w:p>
            <w:pPr>
              <w:spacing w:after="0" w:line="250"/>
              <w:jc w:val="left"/>
            </w:pPr>
            <w:r>
              <w:t xml:space="preserve">notifications (phase 2)</w:t>
            </w:r>
          </w:p>
        </w:tc>
        <w:tc>
          <w:tcPr>
            <w:tcW w:type="dxa" w:w="6400"/>
            <w:shd w:fill="F2F2F2" w:color="auto" w:val="clear"/>
            <w:tcMar>
              <w:top w:type="dxa" w:w="60"/>
              <w:left w:type="dxa" w:w="90"/>
              <w:bottom w:type="dxa" w:w="60"/>
              <w:right w:type="dxa" w:w="90"/>
            </w:tcMar>
          </w:tcPr>
          <w:p>
            <w:pPr>
              <w:spacing w:after="0" w:line="250"/>
              <w:jc w:val="left"/>
            </w:pPr>
            <w:r>
              <w:t xml:space="preserve">Rappels crédit/rupture et ticket WhatsApp</w:t>
            </w:r>
          </w:p>
        </w:tc>
      </w:tr>
    </w:tbl>
    <w:p>
      <w:r>
        <w:br w:type="page"/>
      </w:r>
    </w:p>
    <w:p>
      <w:pPr>
        <w:pStyle w:val="Heading1"/>
        <w:spacing w:after="140" w:before="300"/>
      </w:pPr>
      <w:r>
        <w:rPr>
          <w:b/>
          <w:bCs/>
          <w:color w:val="1F4E79"/>
        </w:rPr>
        <w:t xml:space="preserve">5. Modèle de données</w:t>
      </w:r>
    </w:p>
    <w:p>
      <w:pPr>
        <w:spacing w:after="120" w:line="276"/>
        <w:jc w:val="both"/>
      </w:pPr>
      <w:r>
        <w:rPr>
          <w:b/>
          <w:bCs/>
        </w:rPr>
        <w:t xml:space="preserve">Convention clé. </w:t>
      </w:r>
      <w:r>
        <w:t xml:space="preserve">Chaque enregistrement possède un identifiant UUID (et non un simple numéro) pour éviter tout conflit lors de la synchronisation entre l'appli locale et le serveur. Tous les montants et quantités sont des décimaux à 2 décimales. Presque toutes les tables sont rattachées à une Boutique, ce qui isole les données de chaque commerçant.</w:t>
      </w:r>
    </w:p>
    <w:p>
      <w:pPr>
        <w:pStyle w:val="Heading2"/>
        <w:spacing w:after="100" w:before="200"/>
      </w:pPr>
      <w:r>
        <w:rPr>
          <w:b/>
          <w:bCs/>
          <w:color w:val="1F4E79"/>
        </w:rPr>
        <w:t xml:space="preserve">5.1 core</w:t>
      </w:r>
    </w:p>
    <w:p>
      <w:pPr>
        <w:spacing w:after="120" w:line="276"/>
        <w:jc w:val="both"/>
      </w:pPr>
      <w:r>
        <w:t xml:space="preserve">Classe abstraite héritée par toutes les tables.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ModeleBase</w:t>
            </w:r>
          </w:p>
        </w:tc>
        <w:tc>
          <w:tcPr>
            <w:tcW w:type="dxa" w:w="6800"/>
            <w:shd w:fill="FFFFFF" w:color="auto" w:val="clear"/>
            <w:tcMar>
              <w:top w:type="dxa" w:w="60"/>
              <w:left w:type="dxa" w:w="90"/>
              <w:bottom w:type="dxa" w:w="60"/>
              <w:right w:type="dxa" w:w="90"/>
            </w:tcMar>
          </w:tcPr>
          <w:p>
            <w:pPr>
              <w:spacing w:after="0" w:line="250"/>
              <w:jc w:val="left"/>
            </w:pPr>
            <w:r>
              <w:t xml:space="preserve">id (UUID, clé primaire), date_creation, date_modification, synchronise, date_synchronisation, supprime (soft delete)</w:t>
            </w:r>
          </w:p>
        </w:tc>
      </w:tr>
    </w:tbl>
    <w:p>
      <w:pPr>
        <w:spacing w:after="120"/>
      </w:pPr>
    </w:p>
    <w:p>
      <w:pPr>
        <w:pStyle w:val="Heading2"/>
        <w:spacing w:after="100" w:before="200"/>
      </w:pPr>
      <w:r>
        <w:rPr>
          <w:b/>
          <w:bCs/>
          <w:color w:val="1F4E79"/>
        </w:rPr>
        <w:t xml:space="preserve">5.2 comptes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Boutique</w:t>
            </w:r>
          </w:p>
        </w:tc>
        <w:tc>
          <w:tcPr>
            <w:tcW w:type="dxa" w:w="6800"/>
            <w:shd w:fill="FFFFFF" w:color="auto" w:val="clear"/>
            <w:tcMar>
              <w:top w:type="dxa" w:w="60"/>
              <w:left w:type="dxa" w:w="90"/>
              <w:bottom w:type="dxa" w:w="60"/>
              <w:right w:type="dxa" w:w="90"/>
            </w:tcMar>
          </w:tcPr>
          <w:p>
            <w:pPr>
              <w:spacing w:after="0" w:line="250"/>
              <w:jc w:val="left"/>
            </w:pPr>
            <w:r>
              <w:t xml:space="preserve">nom, adresse, telephone, email, logo, devise (FCFA), actif — entité centrale</w:t>
            </w:r>
          </w:p>
        </w:tc>
      </w:tr>
      <w:tr>
        <w:tc>
          <w:tcPr>
            <w:tcW w:type="dxa" w:w="2200"/>
            <w:shd w:fill="F2F2F2" w:color="auto" w:val="clear"/>
            <w:tcMar>
              <w:top w:type="dxa" w:w="60"/>
              <w:left w:type="dxa" w:w="90"/>
              <w:bottom w:type="dxa" w:w="60"/>
              <w:right w:type="dxa" w:w="90"/>
            </w:tcMar>
          </w:tcPr>
          <w:p>
            <w:pPr>
              <w:spacing w:after="0" w:line="250"/>
              <w:jc w:val="left"/>
            </w:pPr>
            <w:r>
              <w:t xml:space="preserve">Role</w:t>
            </w:r>
          </w:p>
        </w:tc>
        <w:tc>
          <w:tcPr>
            <w:tcW w:type="dxa" w:w="6800"/>
            <w:shd w:fill="F2F2F2" w:color="auto" w:val="clear"/>
            <w:tcMar>
              <w:top w:type="dxa" w:w="60"/>
              <w:left w:type="dxa" w:w="90"/>
              <w:bottom w:type="dxa" w:w="60"/>
              <w:right w:type="dxa" w:w="90"/>
            </w:tcMar>
          </w:tcPr>
          <w:p>
            <w:pPr>
              <w:spacing w:after="0" w:line="250"/>
              <w:jc w:val="left"/>
            </w:pPr>
            <w:r>
              <w:t xml:space="preserve">boutique (FK), nom, permissions (JSON)</w:t>
            </w:r>
          </w:p>
        </w:tc>
      </w:tr>
      <w:tr>
        <w:tc>
          <w:tcPr>
            <w:tcW w:type="dxa" w:w="2200"/>
            <w:shd w:fill="FFFFFF" w:color="auto" w:val="clear"/>
            <w:tcMar>
              <w:top w:type="dxa" w:w="60"/>
              <w:left w:type="dxa" w:w="90"/>
              <w:bottom w:type="dxa" w:w="60"/>
              <w:right w:type="dxa" w:w="90"/>
            </w:tcMar>
          </w:tcPr>
          <w:p>
            <w:pPr>
              <w:spacing w:after="0" w:line="250"/>
              <w:jc w:val="left"/>
            </w:pPr>
            <w:r>
              <w:t xml:space="preserve">Utilisateur</w:t>
            </w:r>
          </w:p>
        </w:tc>
        <w:tc>
          <w:tcPr>
            <w:tcW w:type="dxa" w:w="6800"/>
            <w:shd w:fill="FFFFFF" w:color="auto" w:val="clear"/>
            <w:tcMar>
              <w:top w:type="dxa" w:w="60"/>
              <w:left w:type="dxa" w:w="90"/>
              <w:bottom w:type="dxa" w:w="60"/>
              <w:right w:type="dxa" w:w="90"/>
            </w:tcMar>
          </w:tcPr>
          <w:p>
            <w:pPr>
              <w:spacing w:after="0" w:line="250"/>
              <w:jc w:val="left"/>
            </w:pPr>
            <w:r>
              <w:t xml:space="preserve">hérite de l'utilisateur Django ; boutique (FK), role (FK), telephone</w:t>
            </w:r>
          </w:p>
        </w:tc>
      </w:tr>
    </w:tbl>
    <w:p>
      <w:pPr>
        <w:spacing w:after="120"/>
      </w:pPr>
    </w:p>
    <w:p>
      <w:pPr>
        <w:pStyle w:val="Heading2"/>
        <w:spacing w:after="100" w:before="200"/>
      </w:pPr>
      <w:r>
        <w:rPr>
          <w:b/>
          <w:bCs/>
          <w:color w:val="1F4E79"/>
        </w:rPr>
        <w:t xml:space="preserve">5.3 catalogue</w:t>
      </w:r>
    </w:p>
    <w:p>
      <w:pPr>
        <w:spacing w:after="120" w:line="276"/>
        <w:jc w:val="both"/>
      </w:pPr>
      <w:r>
        <w:t xml:space="preserve">Le Produit est l'article général ; la Variante est l'article concret vendu et stocké (elle porte le prix et le code-barres). Un produit simple a une variante par défaut.</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Categorie</w:t>
            </w:r>
          </w:p>
        </w:tc>
        <w:tc>
          <w:tcPr>
            <w:tcW w:type="dxa" w:w="6800"/>
            <w:shd w:fill="FFFFFF" w:color="auto" w:val="clear"/>
            <w:tcMar>
              <w:top w:type="dxa" w:w="60"/>
              <w:left w:type="dxa" w:w="90"/>
              <w:bottom w:type="dxa" w:w="60"/>
              <w:right w:type="dxa" w:w="90"/>
            </w:tcMar>
          </w:tcPr>
          <w:p>
            <w:pPr>
              <w:spacing w:after="0" w:line="250"/>
              <w:jc w:val="left"/>
            </w:pPr>
            <w:r>
              <w:t xml:space="preserve">boutique (FK), nom, categorie_parent (FK vers elle-même → sous-catégories)</w:t>
            </w:r>
          </w:p>
        </w:tc>
      </w:tr>
      <w:tr>
        <w:tc>
          <w:tcPr>
            <w:tcW w:type="dxa" w:w="2200"/>
            <w:shd w:fill="F2F2F2" w:color="auto" w:val="clear"/>
            <w:tcMar>
              <w:top w:type="dxa" w:w="60"/>
              <w:left w:type="dxa" w:w="90"/>
              <w:bottom w:type="dxa" w:w="60"/>
              <w:right w:type="dxa" w:w="90"/>
            </w:tcMar>
          </w:tcPr>
          <w:p>
            <w:pPr>
              <w:spacing w:after="0" w:line="250"/>
              <w:jc w:val="left"/>
            </w:pPr>
            <w:r>
              <w:t xml:space="preserve">Unite</w:t>
            </w:r>
          </w:p>
        </w:tc>
        <w:tc>
          <w:tcPr>
            <w:tcW w:type="dxa" w:w="6800"/>
            <w:shd w:fill="F2F2F2" w:color="auto" w:val="clear"/>
            <w:tcMar>
              <w:top w:type="dxa" w:w="60"/>
              <w:left w:type="dxa" w:w="90"/>
              <w:bottom w:type="dxa" w:w="60"/>
              <w:right w:type="dxa" w:w="90"/>
            </w:tcMar>
          </w:tcPr>
          <w:p>
            <w:pPr>
              <w:spacing w:after="0" w:line="250"/>
              <w:jc w:val="left"/>
            </w:pPr>
            <w:r>
              <w:t xml:space="preserve">boutique (FK), nom, abreviation (pièce, kg, carton…)</w:t>
            </w:r>
          </w:p>
        </w:tc>
      </w:tr>
      <w:tr>
        <w:tc>
          <w:tcPr>
            <w:tcW w:type="dxa" w:w="2200"/>
            <w:shd w:fill="FFFFFF" w:color="auto" w:val="clear"/>
            <w:tcMar>
              <w:top w:type="dxa" w:w="60"/>
              <w:left w:type="dxa" w:w="90"/>
              <w:bottom w:type="dxa" w:w="60"/>
              <w:right w:type="dxa" w:w="90"/>
            </w:tcMar>
          </w:tcPr>
          <w:p>
            <w:pPr>
              <w:spacing w:after="0" w:line="250"/>
              <w:jc w:val="left"/>
            </w:pPr>
            <w:r>
              <w:t xml:space="preserve">Produit</w:t>
            </w:r>
          </w:p>
        </w:tc>
        <w:tc>
          <w:tcPr>
            <w:tcW w:type="dxa" w:w="6800"/>
            <w:shd w:fill="FFFFFF" w:color="auto" w:val="clear"/>
            <w:tcMar>
              <w:top w:type="dxa" w:w="60"/>
              <w:left w:type="dxa" w:w="90"/>
              <w:bottom w:type="dxa" w:w="60"/>
              <w:right w:type="dxa" w:w="90"/>
            </w:tcMar>
          </w:tcPr>
          <w:p>
            <w:pPr>
              <w:spacing w:after="0" w:line="250"/>
              <w:jc w:val="left"/>
            </w:pPr>
            <w:r>
              <w:t xml:space="preserve">boutique (FK), nom, categorie (FK), unite (FK), description, photo, actif</w:t>
            </w:r>
          </w:p>
        </w:tc>
      </w:tr>
      <w:tr>
        <w:tc>
          <w:tcPr>
            <w:tcW w:type="dxa" w:w="2200"/>
            <w:shd w:fill="F2F2F2" w:color="auto" w:val="clear"/>
            <w:tcMar>
              <w:top w:type="dxa" w:w="60"/>
              <w:left w:type="dxa" w:w="90"/>
              <w:bottom w:type="dxa" w:w="60"/>
              <w:right w:type="dxa" w:w="90"/>
            </w:tcMar>
          </w:tcPr>
          <w:p>
            <w:pPr>
              <w:spacing w:after="0" w:line="250"/>
              <w:jc w:val="left"/>
            </w:pPr>
            <w:r>
              <w:t xml:space="preserve">Attribut</w:t>
            </w:r>
          </w:p>
        </w:tc>
        <w:tc>
          <w:tcPr>
            <w:tcW w:type="dxa" w:w="6800"/>
            <w:shd w:fill="F2F2F2" w:color="auto" w:val="clear"/>
            <w:tcMar>
              <w:top w:type="dxa" w:w="60"/>
              <w:left w:type="dxa" w:w="90"/>
              <w:bottom w:type="dxa" w:w="60"/>
              <w:right w:type="dxa" w:w="90"/>
            </w:tcMar>
          </w:tcPr>
          <w:p>
            <w:pPr>
              <w:spacing w:after="0" w:line="250"/>
              <w:jc w:val="left"/>
            </w:pPr>
            <w:r>
              <w:t xml:space="preserve">boutique (FK), nom (Taille, Couleur…)</w:t>
            </w:r>
          </w:p>
        </w:tc>
      </w:tr>
      <w:tr>
        <w:tc>
          <w:tcPr>
            <w:tcW w:type="dxa" w:w="2200"/>
            <w:shd w:fill="FFFFFF" w:color="auto" w:val="clear"/>
            <w:tcMar>
              <w:top w:type="dxa" w:w="60"/>
              <w:left w:type="dxa" w:w="90"/>
              <w:bottom w:type="dxa" w:w="60"/>
              <w:right w:type="dxa" w:w="90"/>
            </w:tcMar>
          </w:tcPr>
          <w:p>
            <w:pPr>
              <w:spacing w:after="0" w:line="250"/>
              <w:jc w:val="left"/>
            </w:pPr>
            <w:r>
              <w:t xml:space="preserve">ValeurAttribut</w:t>
            </w:r>
          </w:p>
        </w:tc>
        <w:tc>
          <w:tcPr>
            <w:tcW w:type="dxa" w:w="6800"/>
            <w:shd w:fill="FFFFFF" w:color="auto" w:val="clear"/>
            <w:tcMar>
              <w:top w:type="dxa" w:w="60"/>
              <w:left w:type="dxa" w:w="90"/>
              <w:bottom w:type="dxa" w:w="60"/>
              <w:right w:type="dxa" w:w="90"/>
            </w:tcMar>
          </w:tcPr>
          <w:p>
            <w:pPr>
              <w:spacing w:after="0" w:line="250"/>
              <w:jc w:val="left"/>
            </w:pPr>
            <w:r>
              <w:t xml:space="preserve">attribut (FK), valeur (S, M, Rouge…)</w:t>
            </w:r>
          </w:p>
        </w:tc>
      </w:tr>
      <w:tr>
        <w:tc>
          <w:tcPr>
            <w:tcW w:type="dxa" w:w="2200"/>
            <w:shd w:fill="F2F2F2" w:color="auto" w:val="clear"/>
            <w:tcMar>
              <w:top w:type="dxa" w:w="60"/>
              <w:left w:type="dxa" w:w="90"/>
              <w:bottom w:type="dxa" w:w="60"/>
              <w:right w:type="dxa" w:w="90"/>
            </w:tcMar>
          </w:tcPr>
          <w:p>
            <w:pPr>
              <w:spacing w:after="0" w:line="250"/>
              <w:jc w:val="left"/>
            </w:pPr>
            <w:r>
              <w:t xml:space="preserve">Variante</w:t>
            </w:r>
          </w:p>
        </w:tc>
        <w:tc>
          <w:tcPr>
            <w:tcW w:type="dxa" w:w="6800"/>
            <w:shd w:fill="F2F2F2" w:color="auto" w:val="clear"/>
            <w:tcMar>
              <w:top w:type="dxa" w:w="60"/>
              <w:left w:type="dxa" w:w="90"/>
              <w:bottom w:type="dxa" w:w="60"/>
              <w:right w:type="dxa" w:w="90"/>
            </w:tcMar>
          </w:tcPr>
          <w:p>
            <w:pPr>
              <w:spacing w:after="0" w:line="250"/>
              <w:jc w:val="left"/>
            </w:pPr>
            <w:r>
              <w:t xml:space="preserve">produit (FK), reference (SKU), code_barres, prix_achat, prix_vente, seuil_alerte, photo, actif</w:t>
            </w:r>
          </w:p>
        </w:tc>
      </w:tr>
      <w:tr>
        <w:tc>
          <w:tcPr>
            <w:tcW w:type="dxa" w:w="2200"/>
            <w:shd w:fill="FFFFFF" w:color="auto" w:val="clear"/>
            <w:tcMar>
              <w:top w:type="dxa" w:w="60"/>
              <w:left w:type="dxa" w:w="90"/>
              <w:bottom w:type="dxa" w:w="60"/>
              <w:right w:type="dxa" w:w="90"/>
            </w:tcMar>
          </w:tcPr>
          <w:p>
            <w:pPr>
              <w:spacing w:after="0" w:line="250"/>
              <w:jc w:val="left"/>
            </w:pPr>
            <w:r>
              <w:t xml:space="preserve">VarianteValeur</w:t>
            </w:r>
          </w:p>
        </w:tc>
        <w:tc>
          <w:tcPr>
            <w:tcW w:type="dxa" w:w="6800"/>
            <w:shd w:fill="FFFFFF" w:color="auto" w:val="clear"/>
            <w:tcMar>
              <w:top w:type="dxa" w:w="60"/>
              <w:left w:type="dxa" w:w="90"/>
              <w:bottom w:type="dxa" w:w="60"/>
              <w:right w:type="dxa" w:w="90"/>
            </w:tcMar>
          </w:tcPr>
          <w:p>
            <w:pPr>
              <w:spacing w:after="0" w:line="250"/>
              <w:jc w:val="left"/>
            </w:pPr>
            <w:r>
              <w:t xml:space="preserve">variante (FK), valeur_attribut (FK) — combinaison (ex. Rouge + M)</w:t>
            </w:r>
          </w:p>
        </w:tc>
      </w:tr>
    </w:tbl>
    <w:p>
      <w:pPr>
        <w:spacing w:after="120"/>
      </w:pPr>
    </w:p>
    <w:p>
      <w:pPr>
        <w:pStyle w:val="Heading2"/>
        <w:spacing w:after="100" w:before="200"/>
      </w:pPr>
      <w:r>
        <w:rPr>
          <w:b/>
          <w:bCs/>
          <w:color w:val="1F4E79"/>
        </w:rPr>
        <w:t xml:space="preserve">5.4 stock</w:t>
      </w:r>
    </w:p>
    <w:p>
      <w:pPr>
        <w:spacing w:after="120" w:line="276"/>
        <w:jc w:val="both"/>
      </w:pPr>
      <w:r>
        <w:t xml:space="preserve">Le stock se compte par variante ET par dépôt (multi-dépôt).</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Depot</w:t>
            </w:r>
          </w:p>
        </w:tc>
        <w:tc>
          <w:tcPr>
            <w:tcW w:type="dxa" w:w="6800"/>
            <w:shd w:fill="FFFFFF" w:color="auto" w:val="clear"/>
            <w:tcMar>
              <w:top w:type="dxa" w:w="60"/>
              <w:left w:type="dxa" w:w="90"/>
              <w:bottom w:type="dxa" w:w="60"/>
              <w:right w:type="dxa" w:w="90"/>
            </w:tcMar>
          </w:tcPr>
          <w:p>
            <w:pPr>
              <w:spacing w:after="0" w:line="250"/>
              <w:jc w:val="left"/>
            </w:pPr>
            <w:r>
              <w:t xml:space="preserve">boutique (FK), nom, adresse</w:t>
            </w:r>
          </w:p>
        </w:tc>
      </w:tr>
      <w:tr>
        <w:tc>
          <w:tcPr>
            <w:tcW w:type="dxa" w:w="2200"/>
            <w:shd w:fill="F2F2F2" w:color="auto" w:val="clear"/>
            <w:tcMar>
              <w:top w:type="dxa" w:w="60"/>
              <w:left w:type="dxa" w:w="90"/>
              <w:bottom w:type="dxa" w:w="60"/>
              <w:right w:type="dxa" w:w="90"/>
            </w:tcMar>
          </w:tcPr>
          <w:p>
            <w:pPr>
              <w:spacing w:after="0" w:line="250"/>
              <w:jc w:val="left"/>
            </w:pPr>
            <w:r>
              <w:t xml:space="preserve">Stock</w:t>
            </w:r>
          </w:p>
        </w:tc>
        <w:tc>
          <w:tcPr>
            <w:tcW w:type="dxa" w:w="6800"/>
            <w:shd w:fill="F2F2F2" w:color="auto" w:val="clear"/>
            <w:tcMar>
              <w:top w:type="dxa" w:w="60"/>
              <w:left w:type="dxa" w:w="90"/>
              <w:bottom w:type="dxa" w:w="60"/>
              <w:right w:type="dxa" w:w="90"/>
            </w:tcMar>
          </w:tcPr>
          <w:p>
            <w:pPr>
              <w:spacing w:after="0" w:line="250"/>
              <w:jc w:val="left"/>
            </w:pPr>
            <w:r>
              <w:t xml:space="preserve">variante (FK), depot (FK), quantite (unique par variante+dépôt)</w:t>
            </w:r>
          </w:p>
        </w:tc>
      </w:tr>
      <w:tr>
        <w:tc>
          <w:tcPr>
            <w:tcW w:type="dxa" w:w="2200"/>
            <w:shd w:fill="FFFFFF" w:color="auto" w:val="clear"/>
            <w:tcMar>
              <w:top w:type="dxa" w:w="60"/>
              <w:left w:type="dxa" w:w="90"/>
              <w:bottom w:type="dxa" w:w="60"/>
              <w:right w:type="dxa" w:w="90"/>
            </w:tcMar>
          </w:tcPr>
          <w:p>
            <w:pPr>
              <w:spacing w:after="0" w:line="250"/>
              <w:jc w:val="left"/>
            </w:pPr>
            <w:r>
              <w:t xml:space="preserve">MouvementStock</w:t>
            </w:r>
          </w:p>
        </w:tc>
        <w:tc>
          <w:tcPr>
            <w:tcW w:type="dxa" w:w="6800"/>
            <w:shd w:fill="FFFFFF" w:color="auto" w:val="clear"/>
            <w:tcMar>
              <w:top w:type="dxa" w:w="60"/>
              <w:left w:type="dxa" w:w="90"/>
              <w:bottom w:type="dxa" w:w="60"/>
              <w:right w:type="dxa" w:w="90"/>
            </w:tcMar>
          </w:tcPr>
          <w:p>
            <w:pPr>
              <w:spacing w:after="0" w:line="250"/>
              <w:jc w:val="left"/>
            </w:pPr>
            <w:r>
              <w:t xml:space="preserve">variante (FK), depot (FK), type (entrée/sortie/ajustement), quantite, motif, référence, utilisateur (FK)</w:t>
            </w:r>
          </w:p>
        </w:tc>
      </w:tr>
      <w:tr>
        <w:tc>
          <w:tcPr>
            <w:tcW w:type="dxa" w:w="2200"/>
            <w:shd w:fill="F2F2F2" w:color="auto" w:val="clear"/>
            <w:tcMar>
              <w:top w:type="dxa" w:w="60"/>
              <w:left w:type="dxa" w:w="90"/>
              <w:bottom w:type="dxa" w:w="60"/>
              <w:right w:type="dxa" w:w="90"/>
            </w:tcMar>
          </w:tcPr>
          <w:p>
            <w:pPr>
              <w:spacing w:after="0" w:line="250"/>
              <w:jc w:val="left"/>
            </w:pPr>
            <w:r>
              <w:t xml:space="preserve">TransfertStock</w:t>
            </w:r>
          </w:p>
        </w:tc>
        <w:tc>
          <w:tcPr>
            <w:tcW w:type="dxa" w:w="6800"/>
            <w:shd w:fill="F2F2F2" w:color="auto" w:val="clear"/>
            <w:tcMar>
              <w:top w:type="dxa" w:w="60"/>
              <w:left w:type="dxa" w:w="90"/>
              <w:bottom w:type="dxa" w:w="60"/>
              <w:right w:type="dxa" w:w="90"/>
            </w:tcMar>
          </w:tcPr>
          <w:p>
            <w:pPr>
              <w:spacing w:after="0" w:line="250"/>
              <w:jc w:val="left"/>
            </w:pPr>
            <w:r>
              <w:t xml:space="preserve">variante (FK), depot_source (FK), depot_destination (FK), quantite, utilisateur (FK)</w:t>
            </w:r>
          </w:p>
        </w:tc>
      </w:tr>
      <w:tr>
        <w:tc>
          <w:tcPr>
            <w:tcW w:type="dxa" w:w="2200"/>
            <w:shd w:fill="FFFFFF" w:color="auto" w:val="clear"/>
            <w:tcMar>
              <w:top w:type="dxa" w:w="60"/>
              <w:left w:type="dxa" w:w="90"/>
              <w:bottom w:type="dxa" w:w="60"/>
              <w:right w:type="dxa" w:w="90"/>
            </w:tcMar>
          </w:tcPr>
          <w:p>
            <w:pPr>
              <w:spacing w:after="0" w:line="250"/>
              <w:jc w:val="left"/>
            </w:pPr>
            <w:r>
              <w:t xml:space="preserve">Inventaire</w:t>
            </w:r>
          </w:p>
        </w:tc>
        <w:tc>
          <w:tcPr>
            <w:tcW w:type="dxa" w:w="6800"/>
            <w:shd w:fill="FFFFFF" w:color="auto" w:val="clear"/>
            <w:tcMar>
              <w:top w:type="dxa" w:w="60"/>
              <w:left w:type="dxa" w:w="90"/>
              <w:bottom w:type="dxa" w:w="60"/>
              <w:right w:type="dxa" w:w="90"/>
            </w:tcMar>
          </w:tcPr>
          <w:p>
            <w:pPr>
              <w:spacing w:after="0" w:line="250"/>
              <w:jc w:val="left"/>
            </w:pPr>
            <w:r>
              <w:t xml:space="preserve">boutique (FK), depot (FK), statut, utilisateur (FK)</w:t>
            </w:r>
          </w:p>
        </w:tc>
      </w:tr>
      <w:tr>
        <w:tc>
          <w:tcPr>
            <w:tcW w:type="dxa" w:w="2200"/>
            <w:shd w:fill="F2F2F2" w:color="auto" w:val="clear"/>
            <w:tcMar>
              <w:top w:type="dxa" w:w="60"/>
              <w:left w:type="dxa" w:w="90"/>
              <w:bottom w:type="dxa" w:w="60"/>
              <w:right w:type="dxa" w:w="90"/>
            </w:tcMar>
          </w:tcPr>
          <w:p>
            <w:pPr>
              <w:spacing w:after="0" w:line="250"/>
              <w:jc w:val="left"/>
            </w:pPr>
            <w:r>
              <w:t xml:space="preserve">LigneInventaire</w:t>
            </w:r>
          </w:p>
        </w:tc>
        <w:tc>
          <w:tcPr>
            <w:tcW w:type="dxa" w:w="6800"/>
            <w:shd w:fill="F2F2F2" w:color="auto" w:val="clear"/>
            <w:tcMar>
              <w:top w:type="dxa" w:w="60"/>
              <w:left w:type="dxa" w:w="90"/>
              <w:bottom w:type="dxa" w:w="60"/>
              <w:right w:type="dxa" w:w="90"/>
            </w:tcMar>
          </w:tcPr>
          <w:p>
            <w:pPr>
              <w:spacing w:after="0" w:line="250"/>
              <w:jc w:val="left"/>
            </w:pPr>
            <w:r>
              <w:t xml:space="preserve">inventaire (FK), variante (FK), qte_theorique, qte_physique, ecart</w:t>
            </w:r>
          </w:p>
        </w:tc>
      </w:tr>
    </w:tbl>
    <w:p>
      <w:pPr>
        <w:spacing w:after="120"/>
      </w:pPr>
    </w:p>
    <w:p>
      <w:pPr>
        <w:pStyle w:val="Heading2"/>
        <w:spacing w:after="100" w:before="200"/>
      </w:pPr>
      <w:r>
        <w:rPr>
          <w:b/>
          <w:bCs/>
          <w:color w:val="1F4E79"/>
        </w:rPr>
        <w:t xml:space="preserve">5.5 ventes</w:t>
      </w:r>
    </w:p>
    <w:p>
      <w:pPr>
        <w:spacing w:after="120" w:line="276"/>
        <w:jc w:val="both"/>
      </w:pPr>
      <w:r>
        <w:t xml:space="preserve">Une vente prélève des variantes dans un dépôt et génère une sortie de stock.</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Vente</w:t>
            </w:r>
          </w:p>
        </w:tc>
        <w:tc>
          <w:tcPr>
            <w:tcW w:type="dxa" w:w="6800"/>
            <w:shd w:fill="FFFFFF" w:color="auto" w:val="clear"/>
            <w:tcMar>
              <w:top w:type="dxa" w:w="60"/>
              <w:left w:type="dxa" w:w="90"/>
              <w:bottom w:type="dxa" w:w="60"/>
              <w:right w:type="dxa" w:w="90"/>
            </w:tcMar>
          </w:tcPr>
          <w:p>
            <w:pPr>
              <w:spacing w:after="0" w:line="250"/>
              <w:jc w:val="left"/>
            </w:pPr>
            <w:r>
              <w:t xml:space="preserve">boutique (FK), depot (FK), client (FK), utilisateur (FK), numero, total_brut, remise, total_net, statut (payée/crédit/annulée)</w:t>
            </w:r>
          </w:p>
        </w:tc>
      </w:tr>
      <w:tr>
        <w:tc>
          <w:tcPr>
            <w:tcW w:type="dxa" w:w="2200"/>
            <w:shd w:fill="F2F2F2" w:color="auto" w:val="clear"/>
            <w:tcMar>
              <w:top w:type="dxa" w:w="60"/>
              <w:left w:type="dxa" w:w="90"/>
              <w:bottom w:type="dxa" w:w="60"/>
              <w:right w:type="dxa" w:w="90"/>
            </w:tcMar>
          </w:tcPr>
          <w:p>
            <w:pPr>
              <w:spacing w:after="0" w:line="250"/>
              <w:jc w:val="left"/>
            </w:pPr>
            <w:r>
              <w:t xml:space="preserve">LigneVente</w:t>
            </w:r>
          </w:p>
        </w:tc>
        <w:tc>
          <w:tcPr>
            <w:tcW w:type="dxa" w:w="6800"/>
            <w:shd w:fill="F2F2F2" w:color="auto" w:val="clear"/>
            <w:tcMar>
              <w:top w:type="dxa" w:w="60"/>
              <w:left w:type="dxa" w:w="90"/>
              <w:bottom w:type="dxa" w:w="60"/>
              <w:right w:type="dxa" w:w="90"/>
            </w:tcMar>
          </w:tcPr>
          <w:p>
            <w:pPr>
              <w:spacing w:after="0" w:line="250"/>
              <w:jc w:val="left"/>
            </w:pPr>
            <w:r>
              <w:t xml:space="preserve">vente (FK), variante (FK), quantite, prix_unitaire, cout_unitaire (coût figé), remise, sous_total</w:t>
            </w:r>
          </w:p>
        </w:tc>
      </w:tr>
      <w:tr>
        <w:tc>
          <w:tcPr>
            <w:tcW w:type="dxa" w:w="2200"/>
            <w:shd w:fill="FFFFFF" w:color="auto" w:val="clear"/>
            <w:tcMar>
              <w:top w:type="dxa" w:w="60"/>
              <w:left w:type="dxa" w:w="90"/>
              <w:bottom w:type="dxa" w:w="60"/>
              <w:right w:type="dxa" w:w="90"/>
            </w:tcMar>
          </w:tcPr>
          <w:p>
            <w:pPr>
              <w:spacing w:after="0" w:line="250"/>
              <w:jc w:val="left"/>
            </w:pPr>
            <w:r>
              <w:t xml:space="preserve">Paiement</w:t>
            </w:r>
          </w:p>
        </w:tc>
        <w:tc>
          <w:tcPr>
            <w:tcW w:type="dxa" w:w="6800"/>
            <w:shd w:fill="FFFFFF" w:color="auto" w:val="clear"/>
            <w:tcMar>
              <w:top w:type="dxa" w:w="60"/>
              <w:left w:type="dxa" w:w="90"/>
              <w:bottom w:type="dxa" w:w="60"/>
              <w:right w:type="dxa" w:w="90"/>
            </w:tcMar>
          </w:tcPr>
          <w:p>
            <w:pPr>
              <w:spacing w:after="0" w:line="250"/>
              <w:jc w:val="left"/>
            </w:pPr>
            <w:r>
              <w:t xml:space="preserve">vente (FK), mode (espèces/mobile money/carte/crédit), montant</w:t>
            </w:r>
          </w:p>
        </w:tc>
      </w:tr>
    </w:tbl>
    <w:p>
      <w:pPr>
        <w:spacing w:after="120"/>
      </w:pPr>
    </w:p>
    <w:p>
      <w:pPr>
        <w:pStyle w:val="Heading2"/>
        <w:spacing w:after="100" w:before="200"/>
      </w:pPr>
      <w:r>
        <w:rPr>
          <w:b/>
          <w:bCs/>
          <w:color w:val="1F4E79"/>
        </w:rPr>
        <w:t xml:space="preserve">5.6 achats</w:t>
      </w:r>
    </w:p>
    <w:p>
      <w:pPr>
        <w:spacing w:after="120" w:line="276"/>
        <w:jc w:val="both"/>
      </w:pPr>
      <w:r>
        <w:t xml:space="preserve">Une réception entre en stock dans un dépôt.</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CommandeAchat</w:t>
            </w:r>
          </w:p>
        </w:tc>
        <w:tc>
          <w:tcPr>
            <w:tcW w:type="dxa" w:w="6800"/>
            <w:shd w:fill="FFFFFF" w:color="auto" w:val="clear"/>
            <w:tcMar>
              <w:top w:type="dxa" w:w="60"/>
              <w:left w:type="dxa" w:w="90"/>
              <w:bottom w:type="dxa" w:w="60"/>
              <w:right w:type="dxa" w:w="90"/>
            </w:tcMar>
          </w:tcPr>
          <w:p>
            <w:pPr>
              <w:spacing w:after="0" w:line="250"/>
              <w:jc w:val="left"/>
            </w:pPr>
            <w:r>
              <w:t xml:space="preserve">boutique (FK), fournisseur (FK), utilisateur (FK), numero, statut, total</w:t>
            </w:r>
          </w:p>
        </w:tc>
      </w:tr>
      <w:tr>
        <w:tc>
          <w:tcPr>
            <w:tcW w:type="dxa" w:w="2200"/>
            <w:shd w:fill="F2F2F2" w:color="auto" w:val="clear"/>
            <w:tcMar>
              <w:top w:type="dxa" w:w="60"/>
              <w:left w:type="dxa" w:w="90"/>
              <w:bottom w:type="dxa" w:w="60"/>
              <w:right w:type="dxa" w:w="90"/>
            </w:tcMar>
          </w:tcPr>
          <w:p>
            <w:pPr>
              <w:spacing w:after="0" w:line="250"/>
              <w:jc w:val="left"/>
            </w:pPr>
            <w:r>
              <w:t xml:space="preserve">LigneAchat</w:t>
            </w:r>
          </w:p>
        </w:tc>
        <w:tc>
          <w:tcPr>
            <w:tcW w:type="dxa" w:w="6800"/>
            <w:shd w:fill="F2F2F2" w:color="auto" w:val="clear"/>
            <w:tcMar>
              <w:top w:type="dxa" w:w="60"/>
              <w:left w:type="dxa" w:w="90"/>
              <w:bottom w:type="dxa" w:w="60"/>
              <w:right w:type="dxa" w:w="90"/>
            </w:tcMar>
          </w:tcPr>
          <w:p>
            <w:pPr>
              <w:spacing w:after="0" w:line="250"/>
              <w:jc w:val="left"/>
            </w:pPr>
            <w:r>
              <w:t xml:space="preserve">commande (FK), variante (FK), quantite, prix_achat, sous_total</w:t>
            </w:r>
          </w:p>
        </w:tc>
      </w:tr>
      <w:tr>
        <w:tc>
          <w:tcPr>
            <w:tcW w:type="dxa" w:w="2200"/>
            <w:shd w:fill="FFFFFF" w:color="auto" w:val="clear"/>
            <w:tcMar>
              <w:top w:type="dxa" w:w="60"/>
              <w:left w:type="dxa" w:w="90"/>
              <w:bottom w:type="dxa" w:w="60"/>
              <w:right w:type="dxa" w:w="90"/>
            </w:tcMar>
          </w:tcPr>
          <w:p>
            <w:pPr>
              <w:spacing w:after="0" w:line="250"/>
              <w:jc w:val="left"/>
            </w:pPr>
            <w:r>
              <w:t xml:space="preserve">Reception</w:t>
            </w:r>
          </w:p>
        </w:tc>
        <w:tc>
          <w:tcPr>
            <w:tcW w:type="dxa" w:w="6800"/>
            <w:shd w:fill="FFFFFF" w:color="auto" w:val="clear"/>
            <w:tcMar>
              <w:top w:type="dxa" w:w="60"/>
              <w:left w:type="dxa" w:w="90"/>
              <w:bottom w:type="dxa" w:w="60"/>
              <w:right w:type="dxa" w:w="90"/>
            </w:tcMar>
          </w:tcPr>
          <w:p>
            <w:pPr>
              <w:spacing w:after="0" w:line="250"/>
              <w:jc w:val="left"/>
            </w:pPr>
            <w:r>
              <w:t xml:space="preserve">commande (FK), depot (FK), utilisateur (FK)</w:t>
            </w:r>
          </w:p>
        </w:tc>
      </w:tr>
    </w:tbl>
    <w:p>
      <w:pPr>
        <w:spacing w:after="120"/>
      </w:pPr>
    </w:p>
    <w:p>
      <w:pPr>
        <w:pStyle w:val="Heading2"/>
        <w:spacing w:after="100" w:before="200"/>
      </w:pPr>
      <w:r>
        <w:rPr>
          <w:b/>
          <w:bCs/>
          <w:color w:val="1F4E79"/>
        </w:rPr>
        <w:t xml:space="preserve">5.7 clients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Client</w:t>
            </w:r>
          </w:p>
        </w:tc>
        <w:tc>
          <w:tcPr>
            <w:tcW w:type="dxa" w:w="6800"/>
            <w:shd w:fill="FFFFFF" w:color="auto" w:val="clear"/>
            <w:tcMar>
              <w:top w:type="dxa" w:w="60"/>
              <w:left w:type="dxa" w:w="90"/>
              <w:bottom w:type="dxa" w:w="60"/>
              <w:right w:type="dxa" w:w="90"/>
            </w:tcMar>
          </w:tcPr>
          <w:p>
            <w:pPr>
              <w:spacing w:after="0" w:line="250"/>
              <w:jc w:val="left"/>
            </w:pPr>
            <w:r>
              <w:t xml:space="preserve">boutique (FK), nom, telephone, adresse</w:t>
            </w:r>
          </w:p>
        </w:tc>
      </w:tr>
      <w:tr>
        <w:tc>
          <w:tcPr>
            <w:tcW w:type="dxa" w:w="2200"/>
            <w:shd w:fill="F2F2F2" w:color="auto" w:val="clear"/>
            <w:tcMar>
              <w:top w:type="dxa" w:w="60"/>
              <w:left w:type="dxa" w:w="90"/>
              <w:bottom w:type="dxa" w:w="60"/>
              <w:right w:type="dxa" w:w="90"/>
            </w:tcMar>
          </w:tcPr>
          <w:p>
            <w:pPr>
              <w:spacing w:after="0" w:line="250"/>
              <w:jc w:val="left"/>
            </w:pPr>
            <w:r>
              <w:t xml:space="preserve">Credit</w:t>
            </w:r>
          </w:p>
        </w:tc>
        <w:tc>
          <w:tcPr>
            <w:tcW w:type="dxa" w:w="6800"/>
            <w:shd w:fill="F2F2F2" w:color="auto" w:val="clear"/>
            <w:tcMar>
              <w:top w:type="dxa" w:w="60"/>
              <w:left w:type="dxa" w:w="90"/>
              <w:bottom w:type="dxa" w:w="60"/>
              <w:right w:type="dxa" w:w="90"/>
            </w:tcMar>
          </w:tcPr>
          <w:p>
            <w:pPr>
              <w:spacing w:after="0" w:line="250"/>
              <w:jc w:val="left"/>
            </w:pPr>
            <w:r>
              <w:t xml:space="preserve">client (FK), vente (FK), montant, montant_paye, solde, echeance, statut — carnet de crédit</w:t>
            </w:r>
          </w:p>
        </w:tc>
      </w:tr>
      <w:tr>
        <w:tc>
          <w:tcPr>
            <w:tcW w:type="dxa" w:w="2200"/>
            <w:shd w:fill="FFFFFF" w:color="auto" w:val="clear"/>
            <w:tcMar>
              <w:top w:type="dxa" w:w="60"/>
              <w:left w:type="dxa" w:w="90"/>
              <w:bottom w:type="dxa" w:w="60"/>
              <w:right w:type="dxa" w:w="90"/>
            </w:tcMar>
          </w:tcPr>
          <w:p>
            <w:pPr>
              <w:spacing w:after="0" w:line="250"/>
              <w:jc w:val="left"/>
            </w:pPr>
            <w:r>
              <w:t xml:space="preserve">PaiementCredit</w:t>
            </w:r>
          </w:p>
        </w:tc>
        <w:tc>
          <w:tcPr>
            <w:tcW w:type="dxa" w:w="6800"/>
            <w:shd w:fill="FFFFFF" w:color="auto" w:val="clear"/>
            <w:tcMar>
              <w:top w:type="dxa" w:w="60"/>
              <w:left w:type="dxa" w:w="90"/>
              <w:bottom w:type="dxa" w:w="60"/>
              <w:right w:type="dxa" w:w="90"/>
            </w:tcMar>
          </w:tcPr>
          <w:p>
            <w:pPr>
              <w:spacing w:after="0" w:line="250"/>
              <w:jc w:val="left"/>
            </w:pPr>
            <w:r>
              <w:t xml:space="preserve">credit (FK), montant, mode — remboursements</w:t>
            </w:r>
          </w:p>
        </w:tc>
      </w:tr>
    </w:tbl>
    <w:p>
      <w:pPr>
        <w:spacing w:after="120"/>
      </w:pPr>
    </w:p>
    <w:p>
      <w:pPr>
        <w:pStyle w:val="Heading2"/>
        <w:spacing w:after="100" w:before="200"/>
      </w:pPr>
      <w:r>
        <w:rPr>
          <w:b/>
          <w:bCs/>
          <w:color w:val="1F4E79"/>
        </w:rPr>
        <w:t xml:space="preserve">5.8 fournisseurs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Fournisseur</w:t>
            </w:r>
          </w:p>
        </w:tc>
        <w:tc>
          <w:tcPr>
            <w:tcW w:type="dxa" w:w="6800"/>
            <w:shd w:fill="FFFFFF" w:color="auto" w:val="clear"/>
            <w:tcMar>
              <w:top w:type="dxa" w:w="60"/>
              <w:left w:type="dxa" w:w="90"/>
              <w:bottom w:type="dxa" w:w="60"/>
              <w:right w:type="dxa" w:w="90"/>
            </w:tcMar>
          </w:tcPr>
          <w:p>
            <w:pPr>
              <w:spacing w:after="0" w:line="250"/>
              <w:jc w:val="left"/>
            </w:pPr>
            <w:r>
              <w:t xml:space="preserve">boutique (FK), nom, telephone, adresse, contact</w:t>
            </w:r>
          </w:p>
        </w:tc>
      </w:tr>
      <w:tr>
        <w:tc>
          <w:tcPr>
            <w:tcW w:type="dxa" w:w="2200"/>
            <w:shd w:fill="F2F2F2" w:color="auto" w:val="clear"/>
            <w:tcMar>
              <w:top w:type="dxa" w:w="60"/>
              <w:left w:type="dxa" w:w="90"/>
              <w:bottom w:type="dxa" w:w="60"/>
              <w:right w:type="dxa" w:w="90"/>
            </w:tcMar>
          </w:tcPr>
          <w:p>
            <w:pPr>
              <w:spacing w:after="0" w:line="250"/>
              <w:jc w:val="left"/>
            </w:pPr>
            <w:r>
              <w:t xml:space="preserve">DetteFournisseur</w:t>
            </w:r>
          </w:p>
        </w:tc>
        <w:tc>
          <w:tcPr>
            <w:tcW w:type="dxa" w:w="6800"/>
            <w:shd w:fill="F2F2F2" w:color="auto" w:val="clear"/>
            <w:tcMar>
              <w:top w:type="dxa" w:w="60"/>
              <w:left w:type="dxa" w:w="90"/>
              <w:bottom w:type="dxa" w:w="60"/>
              <w:right w:type="dxa" w:w="90"/>
            </w:tcMar>
          </w:tcPr>
          <w:p>
            <w:pPr>
              <w:spacing w:after="0" w:line="250"/>
              <w:jc w:val="left"/>
            </w:pPr>
            <w:r>
              <w:t xml:space="preserve">fournisseur (FK), commande (FK), montant, montant_paye, solde, statut</w:t>
            </w:r>
          </w:p>
        </w:tc>
      </w:tr>
    </w:tbl>
    <w:p>
      <w:pPr>
        <w:spacing w:after="120"/>
      </w:pPr>
    </w:p>
    <w:p>
      <w:pPr>
        <w:pStyle w:val="Heading2"/>
        <w:spacing w:after="100" w:before="200"/>
      </w:pPr>
      <w:r>
        <w:rPr>
          <w:b/>
          <w:bCs/>
          <w:color w:val="1F4E79"/>
        </w:rPr>
        <w:t xml:space="preserve">5.9 configuration &amp; synchronisation</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6800"/>
      </w:tblGrid>
      <w:tr>
        <w:trPr>
          <w:tblHeader/>
        </w:trPr>
        <w:tc>
          <w:tcPr>
            <w:tcW w:type="dxa" w:w="2200"/>
            <w:shd w:fill="1F4E79" w:color="auto" w:val="clear"/>
            <w:tcMar>
              <w:top w:type="dxa" w:w="60"/>
              <w:left w:type="dxa" w:w="90"/>
              <w:bottom w:type="dxa" w:w="60"/>
              <w:right w:type="dxa" w:w="90"/>
            </w:tcMar>
          </w:tcPr>
          <w:p>
            <w:pPr>
              <w:spacing w:after="0" w:line="250"/>
              <w:jc w:val="left"/>
            </w:pPr>
            <w:r>
              <w:rPr>
                <w:b/>
                <w:bCs/>
                <w:color w:val="FFFFFF"/>
              </w:rPr>
              <w:t xml:space="preserve">Table</w:t>
            </w:r>
          </w:p>
        </w:tc>
        <w:tc>
          <w:tcPr>
            <w:tcW w:type="dxa" w:w="6800"/>
            <w:shd w:fill="1F4E79" w:color="auto" w:val="clear"/>
            <w:tcMar>
              <w:top w:type="dxa" w:w="60"/>
              <w:left w:type="dxa" w:w="90"/>
              <w:bottom w:type="dxa" w:w="60"/>
              <w:right w:type="dxa" w:w="90"/>
            </w:tcMar>
          </w:tcPr>
          <w:p>
            <w:pPr>
              <w:spacing w:after="0" w:line="250"/>
              <w:jc w:val="left"/>
            </w:pPr>
            <w:r>
              <w:rPr>
                <w:b/>
                <w:bCs/>
                <w:color w:val="FFFFFF"/>
              </w:rPr>
              <w:t xml:space="preserve">Champs principaux et relations</w:t>
            </w:r>
          </w:p>
        </w:tc>
      </w:tr>
      <w:tr>
        <w:tc>
          <w:tcPr>
            <w:tcW w:type="dxa" w:w="2200"/>
            <w:shd w:fill="FFFFFF" w:color="auto" w:val="clear"/>
            <w:tcMar>
              <w:top w:type="dxa" w:w="60"/>
              <w:left w:type="dxa" w:w="90"/>
              <w:bottom w:type="dxa" w:w="60"/>
              <w:right w:type="dxa" w:w="90"/>
            </w:tcMar>
          </w:tcPr>
          <w:p>
            <w:pPr>
              <w:spacing w:after="0" w:line="250"/>
              <w:jc w:val="left"/>
            </w:pPr>
            <w:r>
              <w:t xml:space="preserve">Parametre</w:t>
            </w:r>
          </w:p>
        </w:tc>
        <w:tc>
          <w:tcPr>
            <w:tcW w:type="dxa" w:w="6800"/>
            <w:shd w:fill="FFFFFF" w:color="auto" w:val="clear"/>
            <w:tcMar>
              <w:top w:type="dxa" w:w="60"/>
              <w:left w:type="dxa" w:w="90"/>
              <w:bottom w:type="dxa" w:w="60"/>
              <w:right w:type="dxa" w:w="90"/>
            </w:tcMar>
          </w:tcPr>
          <w:p>
            <w:pPr>
              <w:spacing w:after="0" w:line="250"/>
              <w:jc w:val="left"/>
            </w:pPr>
            <w:r>
              <w:t xml:space="preserve">boutique (FK), cle, valeur — réglages (devise, TVA, format ticket)</w:t>
            </w:r>
          </w:p>
        </w:tc>
      </w:tr>
      <w:tr>
        <w:tc>
          <w:tcPr>
            <w:tcW w:type="dxa" w:w="2200"/>
            <w:shd w:fill="F2F2F2" w:color="auto" w:val="clear"/>
            <w:tcMar>
              <w:top w:type="dxa" w:w="60"/>
              <w:left w:type="dxa" w:w="90"/>
              <w:bottom w:type="dxa" w:w="60"/>
              <w:right w:type="dxa" w:w="90"/>
            </w:tcMar>
          </w:tcPr>
          <w:p>
            <w:pPr>
              <w:spacing w:after="0" w:line="250"/>
              <w:jc w:val="left"/>
            </w:pPr>
            <w:r>
              <w:t xml:space="preserve">JournalSync</w:t>
            </w:r>
          </w:p>
        </w:tc>
        <w:tc>
          <w:tcPr>
            <w:tcW w:type="dxa" w:w="6800"/>
            <w:shd w:fill="F2F2F2" w:color="auto" w:val="clear"/>
            <w:tcMar>
              <w:top w:type="dxa" w:w="60"/>
              <w:left w:type="dxa" w:w="90"/>
              <w:bottom w:type="dxa" w:w="60"/>
              <w:right w:type="dxa" w:w="90"/>
            </w:tcMar>
          </w:tcPr>
          <w:p>
            <w:pPr>
              <w:spacing w:after="0" w:line="250"/>
              <w:jc w:val="left"/>
            </w:pPr>
            <w:r>
              <w:t xml:space="preserve">boutique (FK), appareil, table, enregistrement_id (UUID), action, statut, donnees (JSON)</w:t>
            </w:r>
          </w:p>
        </w:tc>
      </w:tr>
    </w:tbl>
    <w:p>
      <w:pPr>
        <w:spacing w:after="120"/>
      </w:pPr>
    </w:p>
    <w:p>
      <w:r>
        <w:br w:type="page"/>
      </w:r>
    </w:p>
    <w:p>
      <w:pPr>
        <w:pStyle w:val="Heading1"/>
        <w:spacing w:after="140" w:before="300"/>
      </w:pPr>
      <w:r>
        <w:rPr>
          <w:b/>
          <w:bCs/>
          <w:color w:val="1F4E79"/>
        </w:rPr>
        <w:t xml:space="preserve">6. Fonctionnalités par module</w:t>
      </w:r>
    </w:p>
    <w:p>
      <w:pPr>
        <w:pStyle w:val="Heading2"/>
        <w:spacing w:after="100" w:before="200"/>
      </w:pPr>
      <w:r>
        <w:rPr>
          <w:b/>
          <w:bCs/>
          <w:color w:val="1F4E79"/>
        </w:rPr>
        <w:t xml:space="preserve">6.1 Produits &amp; stock</w:t>
      </w:r>
    </w:p>
    <w:p>
      <w:pPr>
        <w:pStyle w:val="ListParagraph"/>
        <w:numPr>
          <w:ilvl w:val="0"/>
          <w:numId w:val="2"/>
        </w:numPr>
        <w:spacing w:after="70" w:line="270"/>
      </w:pPr>
      <w:r>
        <w:t xml:space="preserve">Ajouter, modifier, supprimer des produits, catégories et sous-catégories, unités de mesure</w:t>
      </w:r>
    </w:p>
    <w:p>
      <w:pPr>
        <w:pStyle w:val="ListParagraph"/>
        <w:numPr>
          <w:ilvl w:val="0"/>
          <w:numId w:val="2"/>
        </w:numPr>
        <w:spacing w:after="70" w:line="270"/>
      </w:pPr>
      <w:r>
        <w:t xml:space="preserve">Gestion des variantes (taille, couleur…) avec prix et code-barres par variante</w:t>
      </w:r>
    </w:p>
    <w:p>
      <w:pPr>
        <w:pStyle w:val="ListParagraph"/>
        <w:numPr>
          <w:ilvl w:val="0"/>
          <w:numId w:val="2"/>
        </w:numPr>
        <w:spacing w:after="70" w:line="270"/>
      </w:pPr>
      <w:r>
        <w:t xml:space="preserve">Prix d'achat et prix de vente, photo, référence (SKU)</w:t>
      </w:r>
    </w:p>
    <w:p>
      <w:pPr>
        <w:pStyle w:val="ListParagraph"/>
        <w:numPr>
          <w:ilvl w:val="0"/>
          <w:numId w:val="2"/>
        </w:numPr>
        <w:spacing w:after="70" w:line="270"/>
      </w:pPr>
      <w:r>
        <w:t xml:space="preserve">Stock par dépôt (multi-dépôt), transferts entre dépôts</w:t>
      </w:r>
    </w:p>
    <w:p>
      <w:pPr>
        <w:pStyle w:val="ListParagraph"/>
        <w:numPr>
          <w:ilvl w:val="0"/>
          <w:numId w:val="2"/>
        </w:numPr>
        <w:spacing w:after="70" w:line="270"/>
      </w:pPr>
      <w:r>
        <w:t xml:space="preserve">Seuil d'alerte de rupture, inventaire physique et correction des écarts</w:t>
      </w:r>
    </w:p>
    <w:p>
      <w:pPr>
        <w:pStyle w:val="Heading2"/>
        <w:spacing w:after="100" w:before="200"/>
      </w:pPr>
      <w:r>
        <w:rPr>
          <w:b/>
          <w:bCs/>
          <w:color w:val="1F4E79"/>
        </w:rPr>
        <w:t xml:space="preserve">6.2 Ventes &amp; caisse</w:t>
      </w:r>
    </w:p>
    <w:p>
      <w:pPr>
        <w:pStyle w:val="ListParagraph"/>
        <w:numPr>
          <w:ilvl w:val="0"/>
          <w:numId w:val="2"/>
        </w:numPr>
        <w:spacing w:after="70" w:line="270"/>
      </w:pPr>
      <w:r>
        <w:t xml:space="preserve">Écran de caisse rapide : recherche produit, scan code-barres, panier</w:t>
      </w:r>
    </w:p>
    <w:p>
      <w:pPr>
        <w:pStyle w:val="ListParagraph"/>
        <w:numPr>
          <w:ilvl w:val="0"/>
          <w:numId w:val="2"/>
        </w:numPr>
        <w:spacing w:after="70" w:line="270"/>
      </w:pPr>
      <w:r>
        <w:t xml:space="preserve">Quantités, remises, calcul automatique des totaux</w:t>
      </w:r>
    </w:p>
    <w:p>
      <w:pPr>
        <w:pStyle w:val="ListParagraph"/>
        <w:numPr>
          <w:ilvl w:val="0"/>
          <w:numId w:val="2"/>
        </w:numPr>
        <w:spacing w:after="70" w:line="270"/>
      </w:pPr>
      <w:r>
        <w:t xml:space="preserve">Déduction automatique du stock à chaque vente</w:t>
      </w:r>
    </w:p>
    <w:p>
      <w:pPr>
        <w:pStyle w:val="ListParagraph"/>
        <w:numPr>
          <w:ilvl w:val="0"/>
          <w:numId w:val="2"/>
        </w:numPr>
        <w:spacing w:after="70" w:line="270"/>
      </w:pPr>
      <w:r>
        <w:t xml:space="preserve">Paiements : espèces, mobile money, carte, crédit</w:t>
      </w:r>
    </w:p>
    <w:p>
      <w:pPr>
        <w:pStyle w:val="ListParagraph"/>
        <w:numPr>
          <w:ilvl w:val="0"/>
          <w:numId w:val="2"/>
        </w:numPr>
        <w:spacing w:after="70" w:line="270"/>
      </w:pPr>
      <w:r>
        <w:t xml:space="preserve">Ticket / reçu, retours et annulations, historique des ventes</w:t>
      </w:r>
    </w:p>
    <w:p>
      <w:pPr>
        <w:pStyle w:val="Heading2"/>
        <w:spacing w:after="100" w:before="200"/>
      </w:pPr>
      <w:r>
        <w:rPr>
          <w:b/>
          <w:bCs/>
          <w:color w:val="1F4E79"/>
        </w:rPr>
        <w:t xml:space="preserve">6.3 Achats &amp; fournisseurs</w:t>
      </w:r>
    </w:p>
    <w:p>
      <w:pPr>
        <w:pStyle w:val="ListParagraph"/>
        <w:numPr>
          <w:ilvl w:val="0"/>
          <w:numId w:val="2"/>
        </w:numPr>
        <w:spacing w:after="70" w:line="270"/>
      </w:pPr>
      <w:r>
        <w:t xml:space="preserve">Fiches fournisseurs et historique</w:t>
      </w:r>
    </w:p>
    <w:p>
      <w:pPr>
        <w:pStyle w:val="ListParagraph"/>
        <w:numPr>
          <w:ilvl w:val="0"/>
          <w:numId w:val="2"/>
        </w:numPr>
        <w:spacing w:after="70" w:line="270"/>
      </w:pPr>
      <w:r>
        <w:t xml:space="preserve">Commandes d'achat et réception de marchandise (entrée automatique en stock)</w:t>
      </w:r>
    </w:p>
    <w:p>
      <w:pPr>
        <w:pStyle w:val="ListParagraph"/>
        <w:numPr>
          <w:ilvl w:val="0"/>
          <w:numId w:val="2"/>
        </w:numPr>
        <w:spacing w:after="70" w:line="270"/>
      </w:pPr>
      <w:r>
        <w:t xml:space="preserve">Suivi des dettes fournisseurs</w:t>
      </w:r>
    </w:p>
    <w:p>
      <w:pPr>
        <w:pStyle w:val="Heading2"/>
        <w:spacing w:after="100" w:before="200"/>
      </w:pPr>
      <w:r>
        <w:rPr>
          <w:b/>
          <w:bCs/>
          <w:color w:val="1F4E79"/>
        </w:rPr>
        <w:t xml:space="preserve">6.4 Clients &amp; crédit</w:t>
      </w:r>
    </w:p>
    <w:p>
      <w:pPr>
        <w:pStyle w:val="ListParagraph"/>
        <w:numPr>
          <w:ilvl w:val="0"/>
          <w:numId w:val="2"/>
        </w:numPr>
        <w:spacing w:after="70" w:line="270"/>
      </w:pPr>
      <w:r>
        <w:t xml:space="preserve">Fiches clients et historique d'achats</w:t>
      </w:r>
    </w:p>
    <w:p>
      <w:pPr>
        <w:pStyle w:val="ListParagraph"/>
        <w:numPr>
          <w:ilvl w:val="0"/>
          <w:numId w:val="2"/>
        </w:numPr>
        <w:spacing w:after="70" w:line="270"/>
      </w:pPr>
      <w:r>
        <w:t xml:space="preserve">Carnet de crédit : suivi des ventes à crédit, soldes, échéances</w:t>
      </w:r>
    </w:p>
    <w:p>
      <w:pPr>
        <w:pStyle w:val="ListParagraph"/>
        <w:numPr>
          <w:ilvl w:val="0"/>
          <w:numId w:val="2"/>
        </w:numPr>
        <w:spacing w:after="70" w:line="270"/>
      </w:pPr>
      <w:r>
        <w:t xml:space="preserve">Enregistrement des remboursements</w:t>
      </w:r>
    </w:p>
    <w:p>
      <w:pPr>
        <w:pStyle w:val="Heading2"/>
        <w:spacing w:after="100" w:before="200"/>
      </w:pPr>
      <w:r>
        <w:rPr>
          <w:b/>
          <w:bCs/>
          <w:color w:val="1F4E79"/>
        </w:rPr>
        <w:t xml:space="preserve">6.5 Rapports &amp; statistiques</w:t>
      </w:r>
    </w:p>
    <w:p>
      <w:pPr>
        <w:pStyle w:val="ListParagraph"/>
        <w:numPr>
          <w:ilvl w:val="0"/>
          <w:numId w:val="2"/>
        </w:numPr>
        <w:spacing w:after="70" w:line="270"/>
      </w:pPr>
      <w:r>
        <w:t xml:space="preserve">Chiffre d'affaires (jour / semaine / mois)</w:t>
      </w:r>
    </w:p>
    <w:p>
      <w:pPr>
        <w:pStyle w:val="ListParagraph"/>
        <w:numPr>
          <w:ilvl w:val="0"/>
          <w:numId w:val="2"/>
        </w:numPr>
        <w:spacing w:after="70" w:line="270"/>
      </w:pPr>
      <w:r>
        <w:t xml:space="preserve">Bénéfice (prix de vente − coût), produits les plus et moins vendus</w:t>
      </w:r>
    </w:p>
    <w:p>
      <w:pPr>
        <w:pStyle w:val="ListParagraph"/>
        <w:numPr>
          <w:ilvl w:val="0"/>
          <w:numId w:val="2"/>
        </w:numPr>
        <w:spacing w:after="70" w:line="270"/>
      </w:pPr>
      <w:r>
        <w:t xml:space="preserve">Valeur totale du stock, alertes de rupture</w:t>
      </w:r>
    </w:p>
    <w:p>
      <w:pPr>
        <w:pStyle w:val="ListParagraph"/>
        <w:numPr>
          <w:ilvl w:val="0"/>
          <w:numId w:val="2"/>
        </w:numPr>
        <w:spacing w:after="70" w:line="270"/>
      </w:pPr>
      <w:r>
        <w:t xml:space="preserve">Ventes par vendeur, catégorie, mode de paiement ; export Excel / PDF ; graphiques</w:t>
      </w:r>
    </w:p>
    <w:p>
      <w:pPr>
        <w:pStyle w:val="Heading1"/>
        <w:spacing w:after="140" w:before="300"/>
      </w:pPr>
      <w:r>
        <w:rPr>
          <w:b/>
          <w:bCs/>
          <w:color w:val="1F4E79"/>
        </w:rPr>
        <w:t xml:space="preserve">7. Rôles et permissions</w:t>
      </w:r>
    </w:p>
    <w:p>
      <w:pPr>
        <w:spacing w:after="120" w:line="276"/>
        <w:jc w:val="both"/>
      </w:pPr>
      <w:r>
        <w:t xml:space="preserve">Trois rôles par défaut. Un utilisateur ne voit et ne modifie que les données de sa boutique.</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3600"/>
        <w:gridCol w:w="1800"/>
        <w:gridCol w:w="1800"/>
        <w:gridCol w:w="1800"/>
      </w:tblGrid>
      <w:tr>
        <w:trPr>
          <w:tblHeader/>
        </w:trPr>
        <w:tc>
          <w:tcPr>
            <w:tcW w:type="dxa" w:w="3600"/>
            <w:shd w:fill="1F4E79" w:color="auto" w:val="clear"/>
            <w:tcMar>
              <w:top w:type="dxa" w:w="60"/>
              <w:left w:type="dxa" w:w="90"/>
              <w:bottom w:type="dxa" w:w="60"/>
              <w:right w:type="dxa" w:w="90"/>
            </w:tcMar>
          </w:tcPr>
          <w:p>
            <w:pPr>
              <w:spacing w:after="0" w:line="250"/>
              <w:jc w:val="left"/>
            </w:pPr>
            <w:r>
              <w:rPr>
                <w:b/>
                <w:bCs/>
                <w:color w:val="FFFFFF"/>
              </w:rPr>
              <w:t xml:space="preserve">Action</w:t>
            </w:r>
          </w:p>
        </w:tc>
        <w:tc>
          <w:tcPr>
            <w:tcW w:type="dxa" w:w="1800"/>
            <w:shd w:fill="1F4E79" w:color="auto" w:val="clear"/>
            <w:tcMar>
              <w:top w:type="dxa" w:w="60"/>
              <w:left w:type="dxa" w:w="90"/>
              <w:bottom w:type="dxa" w:w="60"/>
              <w:right w:type="dxa" w:w="90"/>
            </w:tcMar>
          </w:tcPr>
          <w:p>
            <w:pPr>
              <w:spacing w:after="0" w:line="250"/>
              <w:jc w:val="left"/>
            </w:pPr>
            <w:r>
              <w:rPr>
                <w:b/>
                <w:bCs/>
                <w:color w:val="FFFFFF"/>
              </w:rPr>
              <w:t xml:space="preserve">Patron</w:t>
            </w:r>
          </w:p>
        </w:tc>
        <w:tc>
          <w:tcPr>
            <w:tcW w:type="dxa" w:w="1800"/>
            <w:shd w:fill="1F4E79" w:color="auto" w:val="clear"/>
            <w:tcMar>
              <w:top w:type="dxa" w:w="60"/>
              <w:left w:type="dxa" w:w="90"/>
              <w:bottom w:type="dxa" w:w="60"/>
              <w:right w:type="dxa" w:w="90"/>
            </w:tcMar>
          </w:tcPr>
          <w:p>
            <w:pPr>
              <w:spacing w:after="0" w:line="250"/>
              <w:jc w:val="left"/>
            </w:pPr>
            <w:r>
              <w:rPr>
                <w:b/>
                <w:bCs/>
                <w:color w:val="FFFFFF"/>
              </w:rPr>
              <w:t xml:space="preserve">Gérant</w:t>
            </w:r>
          </w:p>
        </w:tc>
        <w:tc>
          <w:tcPr>
            <w:tcW w:type="dxa" w:w="1800"/>
            <w:shd w:fill="1F4E79" w:color="auto" w:val="clear"/>
            <w:tcMar>
              <w:top w:type="dxa" w:w="60"/>
              <w:left w:type="dxa" w:w="90"/>
              <w:bottom w:type="dxa" w:w="60"/>
              <w:right w:type="dxa" w:w="90"/>
            </w:tcMar>
          </w:tcPr>
          <w:p>
            <w:pPr>
              <w:spacing w:after="0" w:line="250"/>
              <w:jc w:val="left"/>
            </w:pPr>
            <w:r>
              <w:rPr>
                <w:b/>
                <w:bCs/>
                <w:color w:val="FFFFFF"/>
              </w:rPr>
              <w:t xml:space="preserve">Caissier</w:t>
            </w:r>
          </w:p>
        </w:tc>
      </w:tr>
      <w:tr>
        <w:tc>
          <w:tcPr>
            <w:tcW w:type="dxa" w:w="3600"/>
            <w:shd w:fill="FFFFFF" w:color="auto" w:val="clear"/>
            <w:tcMar>
              <w:top w:type="dxa" w:w="60"/>
              <w:left w:type="dxa" w:w="90"/>
              <w:bottom w:type="dxa" w:w="60"/>
              <w:right w:type="dxa" w:w="90"/>
            </w:tcMar>
          </w:tcPr>
          <w:p>
            <w:pPr>
              <w:spacing w:after="0" w:line="250"/>
              <w:jc w:val="left"/>
            </w:pPr>
            <w:r>
              <w:t xml:space="preserve">Vendre / encaisser</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Oui</w:t>
            </w:r>
          </w:p>
        </w:tc>
      </w:tr>
      <w:tr>
        <w:tc>
          <w:tcPr>
            <w:tcW w:type="dxa" w:w="3600"/>
            <w:shd w:fill="F2F2F2" w:color="auto" w:val="clear"/>
            <w:tcMar>
              <w:top w:type="dxa" w:w="60"/>
              <w:left w:type="dxa" w:w="90"/>
              <w:bottom w:type="dxa" w:w="60"/>
              <w:right w:type="dxa" w:w="90"/>
            </w:tcMar>
          </w:tcPr>
          <w:p>
            <w:pPr>
              <w:spacing w:after="0" w:line="250"/>
              <w:jc w:val="left"/>
            </w:pPr>
            <w:r>
              <w:t xml:space="preserve">Consulter le stock</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Oui</w:t>
            </w:r>
          </w:p>
        </w:tc>
      </w:tr>
      <w:tr>
        <w:tc>
          <w:tcPr>
            <w:tcW w:type="dxa" w:w="3600"/>
            <w:shd w:fill="FFFFFF" w:color="auto" w:val="clear"/>
            <w:tcMar>
              <w:top w:type="dxa" w:w="60"/>
              <w:left w:type="dxa" w:w="90"/>
              <w:bottom w:type="dxa" w:w="60"/>
              <w:right w:type="dxa" w:w="90"/>
            </w:tcMar>
          </w:tcPr>
          <w:p>
            <w:pPr>
              <w:spacing w:after="0" w:line="250"/>
              <w:jc w:val="left"/>
            </w:pPr>
            <w:r>
              <w:t xml:space="preserve">Gérer les clients</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Oui</w:t>
            </w:r>
          </w:p>
        </w:tc>
      </w:tr>
      <w:tr>
        <w:tc>
          <w:tcPr>
            <w:tcW w:type="dxa" w:w="3600"/>
            <w:shd w:fill="F2F2F2" w:color="auto" w:val="clear"/>
            <w:tcMar>
              <w:top w:type="dxa" w:w="60"/>
              <w:left w:type="dxa" w:w="90"/>
              <w:bottom w:type="dxa" w:w="60"/>
              <w:right w:type="dxa" w:w="90"/>
            </w:tcMar>
          </w:tcPr>
          <w:p>
            <w:pPr>
              <w:spacing w:after="0" w:line="250"/>
              <w:jc w:val="left"/>
            </w:pPr>
            <w:r>
              <w:t xml:space="preserve">Gérer produits / stock / achats</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Non</w:t>
            </w:r>
          </w:p>
        </w:tc>
      </w:tr>
      <w:tr>
        <w:tc>
          <w:tcPr>
            <w:tcW w:type="dxa" w:w="3600"/>
            <w:shd w:fill="FFFFFF" w:color="auto" w:val="clear"/>
            <w:tcMar>
              <w:top w:type="dxa" w:w="60"/>
              <w:left w:type="dxa" w:w="90"/>
              <w:bottom w:type="dxa" w:w="60"/>
              <w:right w:type="dxa" w:w="90"/>
            </w:tcMar>
          </w:tcPr>
          <w:p>
            <w:pPr>
              <w:spacing w:after="0" w:line="250"/>
              <w:jc w:val="left"/>
            </w:pPr>
            <w:r>
              <w:t xml:space="preserve">Voir les bénéfices et prix d'achat</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Non</w:t>
            </w:r>
          </w:p>
        </w:tc>
      </w:tr>
      <w:tr>
        <w:tc>
          <w:tcPr>
            <w:tcW w:type="dxa" w:w="3600"/>
            <w:shd w:fill="F2F2F2" w:color="auto" w:val="clear"/>
            <w:tcMar>
              <w:top w:type="dxa" w:w="60"/>
              <w:left w:type="dxa" w:w="90"/>
              <w:bottom w:type="dxa" w:w="60"/>
              <w:right w:type="dxa" w:w="90"/>
            </w:tcMar>
          </w:tcPr>
          <w:p>
            <w:pPr>
              <w:spacing w:after="0" w:line="250"/>
              <w:jc w:val="left"/>
            </w:pPr>
            <w:r>
              <w:t xml:space="preserve">Modifier les prix</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Non</w:t>
            </w:r>
          </w:p>
        </w:tc>
      </w:tr>
      <w:tr>
        <w:tc>
          <w:tcPr>
            <w:tcW w:type="dxa" w:w="3600"/>
            <w:shd w:fill="FFFFFF" w:color="auto" w:val="clear"/>
            <w:tcMar>
              <w:top w:type="dxa" w:w="60"/>
              <w:left w:type="dxa" w:w="90"/>
              <w:bottom w:type="dxa" w:w="60"/>
              <w:right w:type="dxa" w:w="90"/>
            </w:tcMar>
          </w:tcPr>
          <w:p>
            <w:pPr>
              <w:spacing w:after="0" w:line="250"/>
              <w:jc w:val="left"/>
            </w:pPr>
            <w:r>
              <w:t xml:space="preserve">Annuler une vente</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Sur autorisation</w:t>
            </w:r>
          </w:p>
        </w:tc>
      </w:tr>
      <w:tr>
        <w:tc>
          <w:tcPr>
            <w:tcW w:type="dxa" w:w="3600"/>
            <w:shd w:fill="F2F2F2" w:color="auto" w:val="clear"/>
            <w:tcMar>
              <w:top w:type="dxa" w:w="60"/>
              <w:left w:type="dxa" w:w="90"/>
              <w:bottom w:type="dxa" w:w="60"/>
              <w:right w:type="dxa" w:w="90"/>
            </w:tcMar>
          </w:tcPr>
          <w:p>
            <w:pPr>
              <w:spacing w:after="0" w:line="250"/>
              <w:jc w:val="left"/>
            </w:pPr>
            <w:r>
              <w:t xml:space="preserve">Voir les rapports complets</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Oui</w:t>
            </w:r>
          </w:p>
        </w:tc>
        <w:tc>
          <w:tcPr>
            <w:tcW w:type="dxa" w:w="1800"/>
            <w:shd w:fill="F2F2F2" w:color="auto" w:val="clear"/>
            <w:tcMar>
              <w:top w:type="dxa" w:w="60"/>
              <w:left w:type="dxa" w:w="90"/>
              <w:bottom w:type="dxa" w:w="60"/>
              <w:right w:type="dxa" w:w="90"/>
            </w:tcMar>
          </w:tcPr>
          <w:p>
            <w:pPr>
              <w:spacing w:after="0" w:line="250"/>
              <w:jc w:val="left"/>
            </w:pPr>
            <w:r>
              <w:t xml:space="preserve">Non</w:t>
            </w:r>
          </w:p>
        </w:tc>
      </w:tr>
      <w:tr>
        <w:tc>
          <w:tcPr>
            <w:tcW w:type="dxa" w:w="3600"/>
            <w:shd w:fill="FFFFFF" w:color="auto" w:val="clear"/>
            <w:tcMar>
              <w:top w:type="dxa" w:w="60"/>
              <w:left w:type="dxa" w:w="90"/>
              <w:bottom w:type="dxa" w:w="60"/>
              <w:right w:type="dxa" w:w="90"/>
            </w:tcMar>
          </w:tcPr>
          <w:p>
            <w:pPr>
              <w:spacing w:after="0" w:line="250"/>
              <w:jc w:val="left"/>
            </w:pPr>
            <w:r>
              <w:t xml:space="preserve">Gérer les utilisateurs et réglages</w:t>
            </w:r>
          </w:p>
        </w:tc>
        <w:tc>
          <w:tcPr>
            <w:tcW w:type="dxa" w:w="1800"/>
            <w:shd w:fill="FFFFFF" w:color="auto" w:val="clear"/>
            <w:tcMar>
              <w:top w:type="dxa" w:w="60"/>
              <w:left w:type="dxa" w:w="90"/>
              <w:bottom w:type="dxa" w:w="60"/>
              <w:right w:type="dxa" w:w="90"/>
            </w:tcMar>
          </w:tcPr>
          <w:p>
            <w:pPr>
              <w:spacing w:after="0" w:line="250"/>
              <w:jc w:val="left"/>
            </w:pPr>
            <w:r>
              <w:t xml:space="preserve">Oui</w:t>
            </w:r>
          </w:p>
        </w:tc>
        <w:tc>
          <w:tcPr>
            <w:tcW w:type="dxa" w:w="1800"/>
            <w:shd w:fill="FFFFFF" w:color="auto" w:val="clear"/>
            <w:tcMar>
              <w:top w:type="dxa" w:w="60"/>
              <w:left w:type="dxa" w:w="90"/>
              <w:bottom w:type="dxa" w:w="60"/>
              <w:right w:type="dxa" w:w="90"/>
            </w:tcMar>
          </w:tcPr>
          <w:p>
            <w:pPr>
              <w:spacing w:after="0" w:line="250"/>
              <w:jc w:val="left"/>
            </w:pPr>
            <w:r>
              <w:t xml:space="preserve">Non</w:t>
            </w:r>
          </w:p>
        </w:tc>
        <w:tc>
          <w:tcPr>
            <w:tcW w:type="dxa" w:w="1800"/>
            <w:shd w:fill="FFFFFF" w:color="auto" w:val="clear"/>
            <w:tcMar>
              <w:top w:type="dxa" w:w="60"/>
              <w:left w:type="dxa" w:w="90"/>
              <w:bottom w:type="dxa" w:w="60"/>
              <w:right w:type="dxa" w:w="90"/>
            </w:tcMar>
          </w:tcPr>
          <w:p>
            <w:pPr>
              <w:spacing w:after="0" w:line="250"/>
              <w:jc w:val="left"/>
            </w:pPr>
            <w:r>
              <w:t xml:space="preserve">Non</w:t>
            </w:r>
          </w:p>
        </w:tc>
      </w:tr>
    </w:tbl>
    <w:p>
      <w:pPr>
        <w:pStyle w:val="Heading1"/>
        <w:spacing w:after="140" w:before="300"/>
      </w:pPr>
      <w:r>
        <w:rPr>
          <w:b/>
          <w:bCs/>
          <w:color w:val="1F4E79"/>
        </w:rPr>
        <w:t xml:space="preserve">8. Règles de gestion</w:t>
      </w:r>
    </w:p>
    <w:p>
      <w:pPr>
        <w:pStyle w:val="ListParagraph"/>
        <w:numPr>
          <w:ilvl w:val="0"/>
          <w:numId w:val="2"/>
        </w:numPr>
        <w:spacing w:after="70" w:line="270"/>
      </w:pPr>
      <w:r>
        <w:t xml:space="preserve">Numérotation automatique par boutique (ex. VTE-20260726-0001, CMD-20260726-0001).</w:t>
      </w:r>
    </w:p>
    <w:p>
      <w:pPr>
        <w:pStyle w:val="ListParagraph"/>
        <w:numPr>
          <w:ilvl w:val="0"/>
          <w:numId w:val="2"/>
        </w:numPr>
        <w:spacing w:after="70" w:line="270"/>
      </w:pPr>
      <w:r>
        <w:t xml:space="preserve">Devise FCFA sans décimales : les montants sont arrondis à l'unité.</w:t>
      </w:r>
    </w:p>
    <w:p>
      <w:pPr>
        <w:pStyle w:val="ListParagraph"/>
        <w:numPr>
          <w:ilvl w:val="0"/>
          <w:numId w:val="2"/>
        </w:numPr>
        <w:spacing w:after="70" w:line="270"/>
      </w:pPr>
      <w:r>
        <w:t xml:space="preserve">TVA optionnelle par boutique (désactivée par défaut, réglable à 18 % si nécessaire).</w:t>
      </w:r>
    </w:p>
    <w:p>
      <w:pPr>
        <w:pStyle w:val="ListParagraph"/>
        <w:numPr>
          <w:ilvl w:val="0"/>
          <w:numId w:val="2"/>
        </w:numPr>
        <w:spacing w:after="70" w:line="270"/>
      </w:pPr>
      <w:r>
        <w:t xml:space="preserve">Remises possibles en montant ou en pourcentage, sans jamais rendre le total négatif.</w:t>
      </w:r>
    </w:p>
    <w:p>
      <w:pPr>
        <w:pStyle w:val="ListParagraph"/>
        <w:numPr>
          <w:ilvl w:val="0"/>
          <w:numId w:val="2"/>
        </w:numPr>
        <w:spacing w:after="70" w:line="270"/>
      </w:pPr>
      <w:r>
        <w:t xml:space="preserve">Stock négatif interdit par défaut : la caisse bloque si le stock est insuffisant (option « vente à découvert » activable).</w:t>
      </w:r>
    </w:p>
    <w:p>
      <w:pPr>
        <w:pStyle w:val="ListParagraph"/>
        <w:numPr>
          <w:ilvl w:val="0"/>
          <w:numId w:val="2"/>
        </w:numPr>
        <w:spacing w:after="70" w:line="270"/>
      </w:pPr>
      <w:r>
        <w:t xml:space="preserve">Le bénéfice est calculé à partir du coût figé au moment de la vente (cout_unitaire), même si le prix d'achat change ensuite.</w:t>
      </w:r>
    </w:p>
    <w:p>
      <w:pPr>
        <w:pStyle w:val="ListParagraph"/>
        <w:numPr>
          <w:ilvl w:val="0"/>
          <w:numId w:val="2"/>
        </w:numPr>
        <w:spacing w:after="70" w:line="270"/>
      </w:pPr>
      <w:r>
        <w:t xml:space="preserve">Le niveau de stock est recalculé à partir des mouvements (jamais écrasé directement) pour garantir la fiabilité en multi-dépôt.</w:t>
      </w:r>
    </w:p>
    <w:p>
      <w:pPr>
        <w:pStyle w:val="Heading1"/>
        <w:spacing w:after="140" w:before="300"/>
      </w:pPr>
      <w:r>
        <w:rPr>
          <w:b/>
          <w:bCs/>
          <w:color w:val="1F4E79"/>
        </w:rPr>
        <w:t xml:space="preserve">9. API de synchronisation</w:t>
      </w:r>
    </w:p>
    <w:p>
      <w:pPr>
        <w:spacing w:after="120" w:line="276"/>
        <w:jc w:val="both"/>
      </w:pPr>
      <w:r>
        <w:rPr>
          <w:b/>
          <w:bCs/>
        </w:rPr>
        <w:t xml:space="preserve">Détection des changements. </w:t>
      </w:r>
      <w:r>
        <w:t xml:space="preserve">Chaque enregistrement local créé ou modifié est marqué synchronise = False. Au push, l'appli envoie ces enregistrements ; une fois confirmés, ils repassent à True. Au pull, l'appli demande tout ce qui a changé depuis sa dernière synchronisation grâce à date_modification.</w:t>
      </w:r>
    </w:p>
    <w:p>
      <w:pPr>
        <w:pStyle w:val="Heading2"/>
        <w:spacing w:after="100" w:before="200"/>
      </w:pPr>
      <w:r>
        <w:rPr>
          <w:b/>
          <w:bCs/>
          <w:color w:val="1F4E79"/>
        </w:rPr>
        <w:t xml:space="preserve">9.1 Points d'accès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5800"/>
      </w:tblGrid>
      <w:tr>
        <w:trPr>
          <w:tblHeader/>
        </w:trPr>
        <w:tc>
          <w:tcPr>
            <w:tcW w:type="dxa" w:w="3200"/>
            <w:shd w:fill="1F4E79" w:color="auto" w:val="clear"/>
            <w:tcMar>
              <w:top w:type="dxa" w:w="60"/>
              <w:left w:type="dxa" w:w="90"/>
              <w:bottom w:type="dxa" w:w="60"/>
              <w:right w:type="dxa" w:w="90"/>
            </w:tcMar>
          </w:tcPr>
          <w:p>
            <w:pPr>
              <w:spacing w:after="0" w:line="250"/>
              <w:jc w:val="left"/>
            </w:pPr>
            <w:r>
              <w:rPr>
                <w:b/>
                <w:bCs/>
                <w:color w:val="FFFFFF"/>
              </w:rPr>
              <w:t xml:space="preserve">Endpoint</w:t>
            </w:r>
          </w:p>
        </w:tc>
        <w:tc>
          <w:tcPr>
            <w:tcW w:type="dxa" w:w="5800"/>
            <w:shd w:fill="1F4E79" w:color="auto" w:val="clear"/>
            <w:tcMar>
              <w:top w:type="dxa" w:w="60"/>
              <w:left w:type="dxa" w:w="90"/>
              <w:bottom w:type="dxa" w:w="60"/>
              <w:right w:type="dxa" w:w="90"/>
            </w:tcMar>
          </w:tcPr>
          <w:p>
            <w:pPr>
              <w:spacing w:after="0" w:line="250"/>
              <w:jc w:val="left"/>
            </w:pPr>
            <w:r>
              <w:rPr>
                <w:b/>
                <w:bCs/>
                <w:color w:val="FFFFFF"/>
              </w:rPr>
              <w:t xml:space="preserve">Rôle</w:t>
            </w:r>
          </w:p>
        </w:tc>
      </w:tr>
      <w:tr>
        <w:tc>
          <w:tcPr>
            <w:tcW w:type="dxa" w:w="3200"/>
            <w:shd w:fill="FFFFFF" w:color="auto" w:val="clear"/>
            <w:tcMar>
              <w:top w:type="dxa" w:w="60"/>
              <w:left w:type="dxa" w:w="90"/>
              <w:bottom w:type="dxa" w:w="60"/>
              <w:right w:type="dxa" w:w="90"/>
            </w:tcMar>
          </w:tcPr>
          <w:p>
            <w:pPr>
              <w:spacing w:after="0" w:line="250"/>
              <w:jc w:val="left"/>
            </w:pPr>
            <w:r>
              <w:t xml:space="preserve">POST /api/auth/login</w:t>
            </w:r>
          </w:p>
        </w:tc>
        <w:tc>
          <w:tcPr>
            <w:tcW w:type="dxa" w:w="5800"/>
            <w:shd w:fill="FFFFFF" w:color="auto" w:val="clear"/>
            <w:tcMar>
              <w:top w:type="dxa" w:w="60"/>
              <w:left w:type="dxa" w:w="90"/>
              <w:bottom w:type="dxa" w:w="60"/>
              <w:right w:type="dxa" w:w="90"/>
            </w:tcMar>
          </w:tcPr>
          <w:p>
            <w:pPr>
              <w:spacing w:after="0" w:line="250"/>
              <w:jc w:val="left"/>
            </w:pPr>
            <w:r>
              <w:t xml:space="preserve">Authentification, renvoie un jeton JWT identifiant la boutique</w:t>
            </w:r>
          </w:p>
        </w:tc>
      </w:tr>
      <w:tr>
        <w:tc>
          <w:tcPr>
            <w:tcW w:type="dxa" w:w="3200"/>
            <w:shd w:fill="F2F2F2" w:color="auto" w:val="clear"/>
            <w:tcMar>
              <w:top w:type="dxa" w:w="60"/>
              <w:left w:type="dxa" w:w="90"/>
              <w:bottom w:type="dxa" w:w="60"/>
              <w:right w:type="dxa" w:w="90"/>
            </w:tcMar>
          </w:tcPr>
          <w:p>
            <w:pPr>
              <w:spacing w:after="0" w:line="250"/>
              <w:jc w:val="left"/>
            </w:pPr>
            <w:r>
              <w:t xml:space="preserve">POST /api/sync/push</w:t>
            </w:r>
          </w:p>
        </w:tc>
        <w:tc>
          <w:tcPr>
            <w:tcW w:type="dxa" w:w="5800"/>
            <w:shd w:fill="F2F2F2" w:color="auto" w:val="clear"/>
            <w:tcMar>
              <w:top w:type="dxa" w:w="60"/>
              <w:left w:type="dxa" w:w="90"/>
              <w:bottom w:type="dxa" w:w="60"/>
              <w:right w:type="dxa" w:w="90"/>
            </w:tcMar>
          </w:tcPr>
          <w:p>
            <w:pPr>
              <w:spacing w:after="0" w:line="250"/>
              <w:jc w:val="left"/>
            </w:pPr>
            <w:r>
              <w:t xml:space="preserve">L'appli envoie ses changements locaux (créations, modifications, suppressions)</w:t>
            </w:r>
          </w:p>
        </w:tc>
      </w:tr>
      <w:tr>
        <w:tc>
          <w:tcPr>
            <w:tcW w:type="dxa" w:w="3200"/>
            <w:shd w:fill="FFFFFF" w:color="auto" w:val="clear"/>
            <w:tcMar>
              <w:top w:type="dxa" w:w="60"/>
              <w:left w:type="dxa" w:w="90"/>
              <w:bottom w:type="dxa" w:w="60"/>
              <w:right w:type="dxa" w:w="90"/>
            </w:tcMar>
          </w:tcPr>
          <w:p>
            <w:pPr>
              <w:spacing w:after="0" w:line="250"/>
              <w:jc w:val="left"/>
            </w:pPr>
            <w:r>
              <w:t xml:space="preserve">GET /api/sync/pull?depuis=&lt;date&gt;</w:t>
            </w:r>
          </w:p>
        </w:tc>
        <w:tc>
          <w:tcPr>
            <w:tcW w:type="dxa" w:w="5800"/>
            <w:shd w:fill="FFFFFF" w:color="auto" w:val="clear"/>
            <w:tcMar>
              <w:top w:type="dxa" w:w="60"/>
              <w:left w:type="dxa" w:w="90"/>
              <w:bottom w:type="dxa" w:w="60"/>
              <w:right w:type="dxa" w:w="90"/>
            </w:tcMar>
          </w:tcPr>
          <w:p>
            <w:pPr>
              <w:spacing w:after="0" w:line="250"/>
              <w:jc w:val="left"/>
            </w:pPr>
            <w:r>
              <w:t xml:space="preserve">L'appli récupère les changements du serveur postérieurs à cette date</w:t>
            </w:r>
          </w:p>
        </w:tc>
      </w:tr>
    </w:tbl>
    <w:p>
      <w:pPr>
        <w:spacing w:after="100"/>
      </w:pPr>
    </w:p>
    <w:p>
      <w:pPr>
        <w:pStyle w:val="Heading2"/>
        <w:spacing w:after="100" w:before="200"/>
      </w:pPr>
      <w:r>
        <w:rPr>
          <w:b/>
          <w:bCs/>
          <w:color w:val="1F4E79"/>
        </w:rPr>
        <w:t xml:space="preserve">9.2 Ordre et intégrité</w:t>
      </w:r>
    </w:p>
    <w:p>
      <w:pPr>
        <w:spacing w:after="120" w:line="276"/>
        <w:jc w:val="both"/>
      </w:pPr>
      <w:r>
        <w:t xml:space="preserve">On envoie toujours le parent avant l'enfant : Boutique → Catégorie/Unité → Produit → Variante → Dépôt → Client/Fournisseur → Vente/Commande → lignes, paiements, mouvements.</w:t>
      </w:r>
    </w:p>
    <w:p>
      <w:pPr>
        <w:pStyle w:val="Heading2"/>
        <w:spacing w:after="100" w:before="200"/>
      </w:pPr>
      <w:r>
        <w:rPr>
          <w:b/>
          <w:bCs/>
          <w:color w:val="1F4E79"/>
        </w:rPr>
        <w:t xml:space="preserve">9.3 Résolution des conflits</w:t>
      </w:r>
    </w:p>
    <w:p>
      <w:pPr>
        <w:pStyle w:val="ListParagraph"/>
        <w:numPr>
          <w:ilvl w:val="0"/>
          <w:numId w:val="2"/>
        </w:numPr>
        <w:spacing w:after="70" w:line="270"/>
      </w:pPr>
      <w:r>
        <w:t xml:space="preserve">Conflit sur un enregistrement modifié des deux côtés : « le dernier qui écrit gagne » (comparaison des dates de modification).</w:t>
      </w:r>
    </w:p>
    <w:p>
      <w:pPr>
        <w:pStyle w:val="ListParagraph"/>
        <w:numPr>
          <w:ilvl w:val="0"/>
          <w:numId w:val="2"/>
        </w:numPr>
        <w:spacing w:after="70" w:line="270"/>
      </w:pPr>
      <w:r>
        <w:t xml:space="preserve">Cas particulier du stock : on synchronise les mouvements (jamais modifiés, seulement ajoutés) et on recalcule la quantité. Aucun conflit possible sur le stock.</w:t>
      </w:r>
    </w:p>
    <w:p>
      <w:pPr>
        <w:pStyle w:val="ListParagraph"/>
        <w:numPr>
          <w:ilvl w:val="0"/>
          <w:numId w:val="2"/>
        </w:numPr>
        <w:spacing w:after="70" w:line="270"/>
      </w:pPr>
      <w:r>
        <w:t xml:space="preserve">Suppressions propagées via le soft delete (champ supprime) plutôt que par un effacement immédiat.</w:t>
      </w:r>
    </w:p>
    <w:p>
      <w:pPr>
        <w:pStyle w:val="Heading2"/>
        <w:spacing w:after="100" w:before="200"/>
      </w:pPr>
      <w:r>
        <w:rPr>
          <w:b/>
          <w:bCs/>
          <w:color w:val="1F4E79"/>
        </w:rPr>
        <w:t xml:space="preserve">9.4 Sécurité</w:t>
      </w:r>
    </w:p>
    <w:p>
      <w:pPr>
        <w:spacing w:after="120" w:line="276"/>
        <w:jc w:val="both"/>
      </w:pPr>
      <w:r>
        <w:t xml:space="preserve">Toutes les communications passent en HTTPS. Le jeton JWT identifie la boutique à chaque requête, et le serveur vérifie systématiquement que les données appartiennent bien à la boutique de l'utilisateur.</w:t>
      </w:r>
    </w:p>
    <w:p>
      <w:r>
        <w:br w:type="page"/>
      </w:r>
    </w:p>
    <w:p>
      <w:pPr>
        <w:pStyle w:val="Heading1"/>
        <w:spacing w:after="140" w:before="300"/>
      </w:pPr>
      <w:r>
        <w:rPr>
          <w:b/>
          <w:bCs/>
          <w:color w:val="1F4E79"/>
        </w:rPr>
        <w:t xml:space="preserve">10. Écrans de l'application</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400"/>
      </w:tblGrid>
      <w:tr>
        <w:trPr>
          <w:tblHeader/>
        </w:trPr>
        <w:tc>
          <w:tcPr>
            <w:tcW w:type="dxa" w:w="2600"/>
            <w:shd w:fill="1F4E79" w:color="auto" w:val="clear"/>
            <w:tcMar>
              <w:top w:type="dxa" w:w="60"/>
              <w:left w:type="dxa" w:w="90"/>
              <w:bottom w:type="dxa" w:w="60"/>
              <w:right w:type="dxa" w:w="90"/>
            </w:tcMar>
          </w:tcPr>
          <w:p>
            <w:pPr>
              <w:spacing w:after="0" w:line="250"/>
              <w:jc w:val="left"/>
            </w:pPr>
            <w:r>
              <w:rPr>
                <w:b/>
                <w:bCs/>
                <w:color w:val="FFFFFF"/>
              </w:rPr>
              <w:t xml:space="preserve">Zone</w:t>
            </w:r>
          </w:p>
        </w:tc>
        <w:tc>
          <w:tcPr>
            <w:tcW w:type="dxa" w:w="6400"/>
            <w:shd w:fill="1F4E79" w:color="auto" w:val="clear"/>
            <w:tcMar>
              <w:top w:type="dxa" w:w="60"/>
              <w:left w:type="dxa" w:w="90"/>
              <w:bottom w:type="dxa" w:w="60"/>
              <w:right w:type="dxa" w:w="90"/>
            </w:tcMar>
          </w:tcPr>
          <w:p>
            <w:pPr>
              <w:spacing w:after="0" w:line="250"/>
              <w:jc w:val="left"/>
            </w:pPr>
            <w:r>
              <w:rPr>
                <w:b/>
                <w:bCs/>
                <w:color w:val="FFFFFF"/>
              </w:rPr>
              <w:t xml:space="preserve">Écrans</w:t>
            </w:r>
          </w:p>
        </w:tc>
      </w:tr>
      <w:tr>
        <w:tc>
          <w:tcPr>
            <w:tcW w:type="dxa" w:w="2600"/>
            <w:shd w:fill="FFFFFF" w:color="auto" w:val="clear"/>
            <w:tcMar>
              <w:top w:type="dxa" w:w="60"/>
              <w:left w:type="dxa" w:w="90"/>
              <w:bottom w:type="dxa" w:w="60"/>
              <w:right w:type="dxa" w:w="90"/>
            </w:tcMar>
          </w:tcPr>
          <w:p>
            <w:pPr>
              <w:spacing w:after="0" w:line="250"/>
              <w:jc w:val="left"/>
            </w:pPr>
            <w:r>
              <w:t xml:space="preserve">Connexion</w:t>
            </w:r>
          </w:p>
        </w:tc>
        <w:tc>
          <w:tcPr>
            <w:tcW w:type="dxa" w:w="6400"/>
            <w:shd w:fill="FFFFFF" w:color="auto" w:val="clear"/>
            <w:tcMar>
              <w:top w:type="dxa" w:w="60"/>
              <w:left w:type="dxa" w:w="90"/>
              <w:bottom w:type="dxa" w:w="60"/>
              <w:right w:type="dxa" w:w="90"/>
            </w:tcMar>
          </w:tcPr>
          <w:p>
            <w:pPr>
              <w:spacing w:after="0" w:line="250"/>
              <w:jc w:val="left"/>
            </w:pPr>
            <w:r>
              <w:t xml:space="preserve">Connexion ; inscription (création boutique + compte patron)</w:t>
            </w:r>
          </w:p>
        </w:tc>
      </w:tr>
      <w:tr>
        <w:tc>
          <w:tcPr>
            <w:tcW w:type="dxa" w:w="2600"/>
            <w:shd w:fill="F2F2F2" w:color="auto" w:val="clear"/>
            <w:tcMar>
              <w:top w:type="dxa" w:w="60"/>
              <w:left w:type="dxa" w:w="90"/>
              <w:bottom w:type="dxa" w:w="60"/>
              <w:right w:type="dxa" w:w="90"/>
            </w:tcMar>
          </w:tcPr>
          <w:p>
            <w:pPr>
              <w:spacing w:after="0" w:line="250"/>
              <w:jc w:val="left"/>
            </w:pPr>
            <w:r>
              <w:t xml:space="preserve">Tableau de bord</w:t>
            </w:r>
          </w:p>
        </w:tc>
        <w:tc>
          <w:tcPr>
            <w:tcW w:type="dxa" w:w="6400"/>
            <w:shd w:fill="F2F2F2" w:color="auto" w:val="clear"/>
            <w:tcMar>
              <w:top w:type="dxa" w:w="60"/>
              <w:left w:type="dxa" w:w="90"/>
              <w:bottom w:type="dxa" w:w="60"/>
              <w:right w:type="dxa" w:w="90"/>
            </w:tcMar>
          </w:tcPr>
          <w:p>
            <w:pPr>
              <w:spacing w:after="0" w:line="250"/>
              <w:jc w:val="left"/>
            </w:pPr>
            <w:r>
              <w:t xml:space="preserve">Ventes et CA du jour, alertes de rupture, crédits en attente, raccourcis</w:t>
            </w:r>
          </w:p>
        </w:tc>
      </w:tr>
      <w:tr>
        <w:tc>
          <w:tcPr>
            <w:tcW w:type="dxa" w:w="2600"/>
            <w:shd w:fill="FFFFFF" w:color="auto" w:val="clear"/>
            <w:tcMar>
              <w:top w:type="dxa" w:w="60"/>
              <w:left w:type="dxa" w:w="90"/>
              <w:bottom w:type="dxa" w:w="60"/>
              <w:right w:type="dxa" w:w="90"/>
            </w:tcMar>
          </w:tcPr>
          <w:p>
            <w:pPr>
              <w:spacing w:after="0" w:line="250"/>
              <w:jc w:val="left"/>
            </w:pPr>
            <w:r>
              <w:t xml:space="preserve">Caisse / Vente</w:t>
            </w:r>
          </w:p>
        </w:tc>
        <w:tc>
          <w:tcPr>
            <w:tcW w:type="dxa" w:w="6400"/>
            <w:shd w:fill="FFFFFF" w:color="auto" w:val="clear"/>
            <w:tcMar>
              <w:top w:type="dxa" w:w="60"/>
              <w:left w:type="dxa" w:w="90"/>
              <w:bottom w:type="dxa" w:w="60"/>
              <w:right w:type="dxa" w:w="90"/>
            </w:tcMar>
          </w:tcPr>
          <w:p>
            <w:pPr>
              <w:spacing w:after="0" w:line="250"/>
              <w:jc w:val="left"/>
            </w:pPr>
            <w:r>
              <w:t xml:space="preserve">Recherche produit et scan, panier, remise, choix dépôt/client, paiement, ticket</w:t>
            </w:r>
          </w:p>
        </w:tc>
      </w:tr>
      <w:tr>
        <w:tc>
          <w:tcPr>
            <w:tcW w:type="dxa" w:w="2600"/>
            <w:shd w:fill="F2F2F2" w:color="auto" w:val="clear"/>
            <w:tcMar>
              <w:top w:type="dxa" w:w="60"/>
              <w:left w:type="dxa" w:w="90"/>
              <w:bottom w:type="dxa" w:w="60"/>
              <w:right w:type="dxa" w:w="90"/>
            </w:tcMar>
          </w:tcPr>
          <w:p>
            <w:pPr>
              <w:spacing w:after="0" w:line="250"/>
              <w:jc w:val="left"/>
            </w:pPr>
            <w:r>
              <w:t xml:space="preserve">Produits</w:t>
            </w:r>
          </w:p>
        </w:tc>
        <w:tc>
          <w:tcPr>
            <w:tcW w:type="dxa" w:w="6400"/>
            <w:shd w:fill="F2F2F2" w:color="auto" w:val="clear"/>
            <w:tcMar>
              <w:top w:type="dxa" w:w="60"/>
              <w:left w:type="dxa" w:w="90"/>
              <w:bottom w:type="dxa" w:w="60"/>
              <w:right w:type="dxa" w:w="90"/>
            </w:tcMar>
          </w:tcPr>
          <w:p>
            <w:pPr>
              <w:spacing w:after="0" w:line="250"/>
              <w:jc w:val="left"/>
            </w:pPr>
            <w:r>
              <w:t xml:space="preserve">Liste, fiche produit et variantes, formulaire, réglages catalogue (catégories, unités, attributs)</w:t>
            </w:r>
          </w:p>
        </w:tc>
      </w:tr>
      <w:tr>
        <w:tc>
          <w:tcPr>
            <w:tcW w:type="dxa" w:w="2600"/>
            <w:shd w:fill="FFFFFF" w:color="auto" w:val="clear"/>
            <w:tcMar>
              <w:top w:type="dxa" w:w="60"/>
              <w:left w:type="dxa" w:w="90"/>
              <w:bottom w:type="dxa" w:w="60"/>
              <w:right w:type="dxa" w:w="90"/>
            </w:tcMar>
          </w:tcPr>
          <w:p>
            <w:pPr>
              <w:spacing w:after="0" w:line="250"/>
              <w:jc w:val="left"/>
            </w:pPr>
            <w:r>
              <w:t xml:space="preserve">Stock</w:t>
            </w:r>
          </w:p>
        </w:tc>
        <w:tc>
          <w:tcPr>
            <w:tcW w:type="dxa" w:w="6400"/>
            <w:shd w:fill="FFFFFF" w:color="auto" w:val="clear"/>
            <w:tcMar>
              <w:top w:type="dxa" w:w="60"/>
              <w:left w:type="dxa" w:w="90"/>
              <w:bottom w:type="dxa" w:w="60"/>
              <w:right w:type="dxa" w:w="90"/>
            </w:tcMar>
          </w:tcPr>
          <w:p>
            <w:pPr>
              <w:spacing w:after="0" w:line="250"/>
              <w:jc w:val="left"/>
            </w:pPr>
            <w:r>
              <w:t xml:space="preserve">Stock par dépôt, mouvements, transferts, inventaire, gestion des dépôts</w:t>
            </w:r>
          </w:p>
        </w:tc>
      </w:tr>
      <w:tr>
        <w:tc>
          <w:tcPr>
            <w:tcW w:type="dxa" w:w="2600"/>
            <w:shd w:fill="F2F2F2" w:color="auto" w:val="clear"/>
            <w:tcMar>
              <w:top w:type="dxa" w:w="60"/>
              <w:left w:type="dxa" w:w="90"/>
              <w:bottom w:type="dxa" w:w="60"/>
              <w:right w:type="dxa" w:w="90"/>
            </w:tcMar>
          </w:tcPr>
          <w:p>
            <w:pPr>
              <w:spacing w:after="0" w:line="250"/>
              <w:jc w:val="left"/>
            </w:pPr>
            <w:r>
              <w:t xml:space="preserve">Ventes</w:t>
            </w:r>
          </w:p>
        </w:tc>
        <w:tc>
          <w:tcPr>
            <w:tcW w:type="dxa" w:w="6400"/>
            <w:shd w:fill="F2F2F2" w:color="auto" w:val="clear"/>
            <w:tcMar>
              <w:top w:type="dxa" w:w="60"/>
              <w:left w:type="dxa" w:w="90"/>
              <w:bottom w:type="dxa" w:w="60"/>
              <w:right w:type="dxa" w:w="90"/>
            </w:tcMar>
          </w:tcPr>
          <w:p>
            <w:pPr>
              <w:spacing w:after="0" w:line="250"/>
              <w:jc w:val="left"/>
            </w:pPr>
            <w:r>
              <w:t xml:space="preserve">Historique, détail d'une vente, retour / annulation</w:t>
            </w:r>
          </w:p>
        </w:tc>
      </w:tr>
      <w:tr>
        <w:tc>
          <w:tcPr>
            <w:tcW w:type="dxa" w:w="2600"/>
            <w:shd w:fill="FFFFFF" w:color="auto" w:val="clear"/>
            <w:tcMar>
              <w:top w:type="dxa" w:w="60"/>
              <w:left w:type="dxa" w:w="90"/>
              <w:bottom w:type="dxa" w:w="60"/>
              <w:right w:type="dxa" w:w="90"/>
            </w:tcMar>
          </w:tcPr>
          <w:p>
            <w:pPr>
              <w:spacing w:after="0" w:line="250"/>
              <w:jc w:val="left"/>
            </w:pPr>
            <w:r>
              <w:t xml:space="preserve">Achats &amp; fournisseurs</w:t>
            </w:r>
          </w:p>
        </w:tc>
        <w:tc>
          <w:tcPr>
            <w:tcW w:type="dxa" w:w="6400"/>
            <w:shd w:fill="FFFFFF" w:color="auto" w:val="clear"/>
            <w:tcMar>
              <w:top w:type="dxa" w:w="60"/>
              <w:left w:type="dxa" w:w="90"/>
              <w:bottom w:type="dxa" w:w="60"/>
              <w:right w:type="dxa" w:w="90"/>
            </w:tcMar>
          </w:tcPr>
          <w:p>
            <w:pPr>
              <w:spacing w:after="0" w:line="250"/>
              <w:jc w:val="left"/>
            </w:pPr>
            <w:r>
              <w:t xml:space="preserve">Fournisseurs, commandes, réception, dettes</w:t>
            </w:r>
          </w:p>
        </w:tc>
      </w:tr>
      <w:tr>
        <w:tc>
          <w:tcPr>
            <w:tcW w:type="dxa" w:w="2600"/>
            <w:shd w:fill="F2F2F2" w:color="auto" w:val="clear"/>
            <w:tcMar>
              <w:top w:type="dxa" w:w="60"/>
              <w:left w:type="dxa" w:w="90"/>
              <w:bottom w:type="dxa" w:w="60"/>
              <w:right w:type="dxa" w:w="90"/>
            </w:tcMar>
          </w:tcPr>
          <w:p>
            <w:pPr>
              <w:spacing w:after="0" w:line="250"/>
              <w:jc w:val="left"/>
            </w:pPr>
            <w:r>
              <w:t xml:space="preserve">Clients &amp; crédit</w:t>
            </w:r>
          </w:p>
        </w:tc>
        <w:tc>
          <w:tcPr>
            <w:tcW w:type="dxa" w:w="6400"/>
            <w:shd w:fill="F2F2F2" w:color="auto" w:val="clear"/>
            <w:tcMar>
              <w:top w:type="dxa" w:w="60"/>
              <w:left w:type="dxa" w:w="90"/>
              <w:bottom w:type="dxa" w:w="60"/>
              <w:right w:type="dxa" w:w="90"/>
            </w:tcMar>
          </w:tcPr>
          <w:p>
            <w:pPr>
              <w:spacing w:after="0" w:line="250"/>
              <w:jc w:val="left"/>
            </w:pPr>
            <w:r>
              <w:t xml:space="preserve">Clients, carnet de crédit, remboursements</w:t>
            </w:r>
          </w:p>
        </w:tc>
      </w:tr>
      <w:tr>
        <w:tc>
          <w:tcPr>
            <w:tcW w:type="dxa" w:w="2600"/>
            <w:shd w:fill="FFFFFF" w:color="auto" w:val="clear"/>
            <w:tcMar>
              <w:top w:type="dxa" w:w="60"/>
              <w:left w:type="dxa" w:w="90"/>
              <w:bottom w:type="dxa" w:w="60"/>
              <w:right w:type="dxa" w:w="90"/>
            </w:tcMar>
          </w:tcPr>
          <w:p>
            <w:pPr>
              <w:spacing w:after="0" w:line="250"/>
              <w:jc w:val="left"/>
            </w:pPr>
            <w:r>
              <w:t xml:space="preserve">Rapports</w:t>
            </w:r>
          </w:p>
        </w:tc>
        <w:tc>
          <w:tcPr>
            <w:tcW w:type="dxa" w:w="6400"/>
            <w:shd w:fill="FFFFFF" w:color="auto" w:val="clear"/>
            <w:tcMar>
              <w:top w:type="dxa" w:w="60"/>
              <w:left w:type="dxa" w:w="90"/>
              <w:bottom w:type="dxa" w:w="60"/>
              <w:right w:type="dxa" w:w="90"/>
            </w:tcMar>
          </w:tcPr>
          <w:p>
            <w:pPr>
              <w:spacing w:after="0" w:line="250"/>
              <w:jc w:val="left"/>
            </w:pPr>
            <w:r>
              <w:t xml:space="preserve">CA, bénéfices, top produits, valeur du stock, exports, graphiques</w:t>
            </w:r>
          </w:p>
        </w:tc>
      </w:tr>
      <w:tr>
        <w:tc>
          <w:tcPr>
            <w:tcW w:type="dxa" w:w="2600"/>
            <w:shd w:fill="F2F2F2" w:color="auto" w:val="clear"/>
            <w:tcMar>
              <w:top w:type="dxa" w:w="60"/>
              <w:left w:type="dxa" w:w="90"/>
              <w:bottom w:type="dxa" w:w="60"/>
              <w:right w:type="dxa" w:w="90"/>
            </w:tcMar>
          </w:tcPr>
          <w:p>
            <w:pPr>
              <w:spacing w:after="0" w:line="250"/>
              <w:jc w:val="left"/>
            </w:pPr>
            <w:r>
              <w:t xml:space="preserve">Réglages</w:t>
            </w:r>
          </w:p>
        </w:tc>
        <w:tc>
          <w:tcPr>
            <w:tcW w:type="dxa" w:w="6400"/>
            <w:shd w:fill="F2F2F2" w:color="auto" w:val="clear"/>
            <w:tcMar>
              <w:top w:type="dxa" w:w="60"/>
              <w:left w:type="dxa" w:w="90"/>
              <w:bottom w:type="dxa" w:w="60"/>
              <w:right w:type="dxa" w:w="90"/>
            </w:tcMar>
          </w:tcPr>
          <w:p>
            <w:pPr>
              <w:spacing w:after="0" w:line="250"/>
              <w:jc w:val="left"/>
            </w:pPr>
            <w:r>
              <w:t xml:space="preserve">Profil boutique, utilisateurs et rôles, paramètres</w:t>
            </w:r>
          </w:p>
        </w:tc>
      </w:tr>
      <w:tr>
        <w:tc>
          <w:tcPr>
            <w:tcW w:type="dxa" w:w="2600"/>
            <w:shd w:fill="FFFFFF" w:color="auto" w:val="clear"/>
            <w:tcMar>
              <w:top w:type="dxa" w:w="60"/>
              <w:left w:type="dxa" w:w="90"/>
              <w:bottom w:type="dxa" w:w="60"/>
              <w:right w:type="dxa" w:w="90"/>
            </w:tcMar>
          </w:tcPr>
          <w:p>
            <w:pPr>
              <w:spacing w:after="0" w:line="250"/>
              <w:jc w:val="left"/>
            </w:pPr>
            <w:r>
              <w:t xml:space="preserve">Barre de synchro</w:t>
            </w:r>
          </w:p>
        </w:tc>
        <w:tc>
          <w:tcPr>
            <w:tcW w:type="dxa" w:w="6400"/>
            <w:shd w:fill="FFFFFF" w:color="auto" w:val="clear"/>
            <w:tcMar>
              <w:top w:type="dxa" w:w="60"/>
              <w:left w:type="dxa" w:w="90"/>
              <w:bottom w:type="dxa" w:w="60"/>
              <w:right w:type="dxa" w:w="90"/>
            </w:tcMar>
          </w:tcPr>
          <w:p>
            <w:pPr>
              <w:spacing w:after="0" w:line="250"/>
              <w:jc w:val="left"/>
            </w:pPr>
            <w:r>
              <w:t xml:space="preserve">Indicateur en ligne / hors-ligne, dernière synchro, bouton Synchroniser</w:t>
            </w:r>
          </w:p>
        </w:tc>
      </w:tr>
    </w:tbl>
    <w:p>
      <w:pPr>
        <w:spacing w:after="120" w:before="120"/>
        <w:jc w:val="both"/>
      </w:pPr>
      <w:r>
        <w:rPr>
          <w:b/>
          <w:bCs/>
        </w:rPr>
        <w:t xml:space="preserve">Priorité. </w:t>
      </w:r>
      <w:r>
        <w:t xml:space="preserve">L'écran de caisse est le plus utilisé : il doit être rapide et soigné en priorité.</w:t>
      </w:r>
    </w:p>
    <w:p>
      <w:pPr>
        <w:pStyle w:val="Heading1"/>
        <w:spacing w:after="140" w:before="300"/>
      </w:pPr>
      <w:r>
        <w:rPr>
          <w:b/>
          <w:bCs/>
          <w:color w:val="1F4E79"/>
        </w:rPr>
        <w:t xml:space="preserve">11. Plan de développement par étapes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600"/>
      </w:tblGrid>
      <w:tr>
        <w:trPr>
          <w:tblHeader/>
        </w:trPr>
        <w:tc>
          <w:tcPr>
            <w:tcW w:type="dxa" w:w="2400"/>
            <w:shd w:fill="1F4E79" w:color="auto" w:val="clear"/>
            <w:tcMar>
              <w:top w:type="dxa" w:w="60"/>
              <w:left w:type="dxa" w:w="90"/>
              <w:bottom w:type="dxa" w:w="60"/>
              <w:right w:type="dxa" w:w="90"/>
            </w:tcMar>
          </w:tcPr>
          <w:p>
            <w:pPr>
              <w:spacing w:after="0" w:line="250"/>
              <w:jc w:val="left"/>
            </w:pPr>
            <w:r>
              <w:rPr>
                <w:b/>
                <w:bCs/>
                <w:color w:val="FFFFFF"/>
              </w:rPr>
              <w:t xml:space="preserve">Étape</w:t>
            </w:r>
          </w:p>
        </w:tc>
        <w:tc>
          <w:tcPr>
            <w:tcW w:type="dxa" w:w="6600"/>
            <w:shd w:fill="1F4E79" w:color="auto" w:val="clear"/>
            <w:tcMar>
              <w:top w:type="dxa" w:w="60"/>
              <w:left w:type="dxa" w:w="90"/>
              <w:bottom w:type="dxa" w:w="60"/>
              <w:right w:type="dxa" w:w="90"/>
            </w:tcMar>
          </w:tcPr>
          <w:p>
            <w:pPr>
              <w:spacing w:after="0" w:line="250"/>
              <w:jc w:val="left"/>
            </w:pPr>
            <w:r>
              <w:rPr>
                <w:b/>
                <w:bCs/>
                <w:color w:val="FFFFFF"/>
              </w:rPr>
              <w:t xml:space="preserve">Contenu</w:t>
            </w:r>
          </w:p>
        </w:tc>
      </w:tr>
      <w:tr>
        <w:tc>
          <w:tcPr>
            <w:tcW w:type="dxa" w:w="2400"/>
            <w:shd w:fill="FFFFFF" w:color="auto" w:val="clear"/>
            <w:tcMar>
              <w:top w:type="dxa" w:w="60"/>
              <w:left w:type="dxa" w:w="90"/>
              <w:bottom w:type="dxa" w:w="60"/>
              <w:right w:type="dxa" w:w="90"/>
            </w:tcMar>
          </w:tcPr>
          <w:p>
            <w:pPr>
              <w:spacing w:after="0" w:line="250"/>
              <w:jc w:val="left"/>
            </w:pPr>
            <w:r>
              <w:t xml:space="preserve">0 — Mise en place</w:t>
            </w:r>
          </w:p>
        </w:tc>
        <w:tc>
          <w:tcPr>
            <w:tcW w:type="dxa" w:w="6600"/>
            <w:shd w:fill="FFFFFF" w:color="auto" w:val="clear"/>
            <w:tcMar>
              <w:top w:type="dxa" w:w="60"/>
              <w:left w:type="dxa" w:w="90"/>
              <w:bottom w:type="dxa" w:w="60"/>
              <w:right w:type="dxa" w:w="90"/>
            </w:tcMar>
          </w:tcPr>
          <w:p>
            <w:pPr>
              <w:spacing w:after="0" w:line="250"/>
              <w:jc w:val="left"/>
            </w:pPr>
            <w:r>
              <w:t xml:space="preserve">Projet Django, 10 apps, settings, dépendances, migrations, super-utilisateur, admin</w:t>
            </w:r>
          </w:p>
        </w:tc>
      </w:tr>
      <w:tr>
        <w:tc>
          <w:tcPr>
            <w:tcW w:type="dxa" w:w="2400"/>
            <w:shd w:fill="F2F2F2" w:color="auto" w:val="clear"/>
            <w:tcMar>
              <w:top w:type="dxa" w:w="60"/>
              <w:left w:type="dxa" w:w="90"/>
              <w:bottom w:type="dxa" w:w="60"/>
              <w:right w:type="dxa" w:w="90"/>
            </w:tcMar>
          </w:tcPr>
          <w:p>
            <w:pPr>
              <w:spacing w:after="0" w:line="250"/>
              <w:jc w:val="left"/>
            </w:pPr>
            <w:r>
              <w:t xml:space="preserve">1 — Comptes</w:t>
            </w:r>
          </w:p>
        </w:tc>
        <w:tc>
          <w:tcPr>
            <w:tcW w:type="dxa" w:w="6600"/>
            <w:shd w:fill="F2F2F2" w:color="auto" w:val="clear"/>
            <w:tcMar>
              <w:top w:type="dxa" w:w="60"/>
              <w:left w:type="dxa" w:w="90"/>
              <w:bottom w:type="dxa" w:w="60"/>
              <w:right w:type="dxa" w:w="90"/>
            </w:tcMar>
          </w:tcPr>
          <w:p>
            <w:pPr>
              <w:spacing w:after="0" w:line="250"/>
              <w:jc w:val="left"/>
            </w:pPr>
            <w:r>
              <w:t xml:space="preserve">Authentification, boutique, rôles, JWT, isolation multi-commerçant</w:t>
            </w:r>
          </w:p>
        </w:tc>
      </w:tr>
      <w:tr>
        <w:tc>
          <w:tcPr>
            <w:tcW w:type="dxa" w:w="2400"/>
            <w:shd w:fill="FFFFFF" w:color="auto" w:val="clear"/>
            <w:tcMar>
              <w:top w:type="dxa" w:w="60"/>
              <w:left w:type="dxa" w:w="90"/>
              <w:bottom w:type="dxa" w:w="60"/>
              <w:right w:type="dxa" w:w="90"/>
            </w:tcMar>
          </w:tcPr>
          <w:p>
            <w:pPr>
              <w:spacing w:after="0" w:line="250"/>
              <w:jc w:val="left"/>
            </w:pPr>
            <w:r>
              <w:t xml:space="preserve">2 — Catalogue</w:t>
            </w:r>
          </w:p>
        </w:tc>
        <w:tc>
          <w:tcPr>
            <w:tcW w:type="dxa" w:w="6600"/>
            <w:shd w:fill="FFFFFF" w:color="auto" w:val="clear"/>
            <w:tcMar>
              <w:top w:type="dxa" w:w="60"/>
              <w:left w:type="dxa" w:w="90"/>
              <w:bottom w:type="dxa" w:w="60"/>
              <w:right w:type="dxa" w:w="90"/>
            </w:tcMar>
          </w:tcPr>
          <w:p>
            <w:pPr>
              <w:spacing w:after="0" w:line="250"/>
              <w:jc w:val="left"/>
            </w:pPr>
            <w:r>
              <w:t xml:space="preserve">Produits, catégories, unités, attributs, variantes</w:t>
            </w:r>
          </w:p>
        </w:tc>
      </w:tr>
      <w:tr>
        <w:tc>
          <w:tcPr>
            <w:tcW w:type="dxa" w:w="2400"/>
            <w:shd w:fill="F2F2F2" w:color="auto" w:val="clear"/>
            <w:tcMar>
              <w:top w:type="dxa" w:w="60"/>
              <w:left w:type="dxa" w:w="90"/>
              <w:bottom w:type="dxa" w:w="60"/>
              <w:right w:type="dxa" w:w="90"/>
            </w:tcMar>
          </w:tcPr>
          <w:p>
            <w:pPr>
              <w:spacing w:after="0" w:line="250"/>
              <w:jc w:val="left"/>
            </w:pPr>
            <w:r>
              <w:t xml:space="preserve">3 — Stock</w:t>
            </w:r>
          </w:p>
        </w:tc>
        <w:tc>
          <w:tcPr>
            <w:tcW w:type="dxa" w:w="6600"/>
            <w:shd w:fill="F2F2F2" w:color="auto" w:val="clear"/>
            <w:tcMar>
              <w:top w:type="dxa" w:w="60"/>
              <w:left w:type="dxa" w:w="90"/>
              <w:bottom w:type="dxa" w:w="60"/>
              <w:right w:type="dxa" w:w="90"/>
            </w:tcMar>
          </w:tcPr>
          <w:p>
            <w:pPr>
              <w:spacing w:after="0" w:line="250"/>
              <w:jc w:val="left"/>
            </w:pPr>
            <w:r>
              <w:t xml:space="preserve">Dépôts, stock, mouvements, transferts, inventaire, alertes</w:t>
            </w:r>
          </w:p>
        </w:tc>
      </w:tr>
      <w:tr>
        <w:tc>
          <w:tcPr>
            <w:tcW w:type="dxa" w:w="2400"/>
            <w:shd w:fill="FFFFFF" w:color="auto" w:val="clear"/>
            <w:tcMar>
              <w:top w:type="dxa" w:w="60"/>
              <w:left w:type="dxa" w:w="90"/>
              <w:bottom w:type="dxa" w:w="60"/>
              <w:right w:type="dxa" w:w="90"/>
            </w:tcMar>
          </w:tcPr>
          <w:p>
            <w:pPr>
              <w:spacing w:after="0" w:line="250"/>
              <w:jc w:val="left"/>
            </w:pPr>
            <w:r>
              <w:t xml:space="preserve">4 — Ventes &amp; caisse</w:t>
            </w:r>
          </w:p>
        </w:tc>
        <w:tc>
          <w:tcPr>
            <w:tcW w:type="dxa" w:w="6600"/>
            <w:shd w:fill="FFFFFF" w:color="auto" w:val="clear"/>
            <w:tcMar>
              <w:top w:type="dxa" w:w="60"/>
              <w:left w:type="dxa" w:w="90"/>
              <w:bottom w:type="dxa" w:w="60"/>
              <w:right w:type="dxa" w:w="90"/>
            </w:tcMar>
          </w:tcPr>
          <w:p>
            <w:pPr>
              <w:spacing w:after="0" w:line="250"/>
              <w:jc w:val="left"/>
            </w:pPr>
            <w:r>
              <w:t xml:space="preserve">Vente, lignes, paiements, sortie de stock auto, crédit client</w:t>
            </w:r>
          </w:p>
        </w:tc>
      </w:tr>
      <w:tr>
        <w:tc>
          <w:tcPr>
            <w:tcW w:type="dxa" w:w="2400"/>
            <w:shd w:fill="F2F2F2" w:color="auto" w:val="clear"/>
            <w:tcMar>
              <w:top w:type="dxa" w:w="60"/>
              <w:left w:type="dxa" w:w="90"/>
              <w:bottom w:type="dxa" w:w="60"/>
              <w:right w:type="dxa" w:w="90"/>
            </w:tcMar>
          </w:tcPr>
          <w:p>
            <w:pPr>
              <w:spacing w:after="0" w:line="250"/>
              <w:jc w:val="left"/>
            </w:pPr>
            <w:r>
              <w:t xml:space="preserve">5 — Achats</w:t>
            </w:r>
          </w:p>
        </w:tc>
        <w:tc>
          <w:tcPr>
            <w:tcW w:type="dxa" w:w="6600"/>
            <w:shd w:fill="F2F2F2" w:color="auto" w:val="clear"/>
            <w:tcMar>
              <w:top w:type="dxa" w:w="60"/>
              <w:left w:type="dxa" w:w="90"/>
              <w:bottom w:type="dxa" w:w="60"/>
              <w:right w:type="dxa" w:w="90"/>
            </w:tcMar>
          </w:tcPr>
          <w:p>
            <w:pPr>
              <w:spacing w:after="0" w:line="250"/>
              <w:jc w:val="left"/>
            </w:pPr>
            <w:r>
              <w:t xml:space="preserve">Commandes, réceptions → entrée de stock, dettes fournisseurs</w:t>
            </w:r>
          </w:p>
        </w:tc>
      </w:tr>
      <w:tr>
        <w:tc>
          <w:tcPr>
            <w:tcW w:type="dxa" w:w="2400"/>
            <w:shd w:fill="FFFFFF" w:color="auto" w:val="clear"/>
            <w:tcMar>
              <w:top w:type="dxa" w:w="60"/>
              <w:left w:type="dxa" w:w="90"/>
              <w:bottom w:type="dxa" w:w="60"/>
              <w:right w:type="dxa" w:w="90"/>
            </w:tcMar>
          </w:tcPr>
          <w:p>
            <w:pPr>
              <w:spacing w:after="0" w:line="250"/>
              <w:jc w:val="left"/>
            </w:pPr>
            <w:r>
              <w:t xml:space="preserve">6 — Clients &amp; crédit</w:t>
            </w:r>
          </w:p>
        </w:tc>
        <w:tc>
          <w:tcPr>
            <w:tcW w:type="dxa" w:w="6600"/>
            <w:shd w:fill="FFFFFF" w:color="auto" w:val="clear"/>
            <w:tcMar>
              <w:top w:type="dxa" w:w="60"/>
              <w:left w:type="dxa" w:w="90"/>
              <w:bottom w:type="dxa" w:w="60"/>
              <w:right w:type="dxa" w:w="90"/>
            </w:tcMar>
          </w:tcPr>
          <w:p>
            <w:pPr>
              <w:spacing w:after="0" w:line="250"/>
              <w:jc w:val="left"/>
            </w:pPr>
            <w:r>
              <w:t xml:space="preserve">Fiches clients, crédits, remboursements</w:t>
            </w:r>
          </w:p>
        </w:tc>
      </w:tr>
      <w:tr>
        <w:tc>
          <w:tcPr>
            <w:tcW w:type="dxa" w:w="2400"/>
            <w:shd w:fill="F2F2F2" w:color="auto" w:val="clear"/>
            <w:tcMar>
              <w:top w:type="dxa" w:w="60"/>
              <w:left w:type="dxa" w:w="90"/>
              <w:bottom w:type="dxa" w:w="60"/>
              <w:right w:type="dxa" w:w="90"/>
            </w:tcMar>
          </w:tcPr>
          <w:p>
            <w:pPr>
              <w:spacing w:after="0" w:line="250"/>
              <w:jc w:val="left"/>
            </w:pPr>
            <w:r>
              <w:t xml:space="preserve">7 — Rapports</w:t>
            </w:r>
          </w:p>
        </w:tc>
        <w:tc>
          <w:tcPr>
            <w:tcW w:type="dxa" w:w="6600"/>
            <w:shd w:fill="F2F2F2" w:color="auto" w:val="clear"/>
            <w:tcMar>
              <w:top w:type="dxa" w:w="60"/>
              <w:left w:type="dxa" w:w="90"/>
              <w:bottom w:type="dxa" w:w="60"/>
              <w:right w:type="dxa" w:w="90"/>
            </w:tcMar>
          </w:tcPr>
          <w:p>
            <w:pPr>
              <w:spacing w:after="0" w:line="250"/>
              <w:jc w:val="left"/>
            </w:pPr>
            <w:r>
              <w:t xml:space="preserve">CA, bénéfices, top produits, valeur du stock, exports</w:t>
            </w:r>
          </w:p>
        </w:tc>
      </w:tr>
      <w:tr>
        <w:tc>
          <w:tcPr>
            <w:tcW w:type="dxa" w:w="2400"/>
            <w:shd w:fill="FFFFFF" w:color="auto" w:val="clear"/>
            <w:tcMar>
              <w:top w:type="dxa" w:w="60"/>
              <w:left w:type="dxa" w:w="90"/>
              <w:bottom w:type="dxa" w:w="60"/>
              <w:right w:type="dxa" w:w="90"/>
            </w:tcMar>
          </w:tcPr>
          <w:p>
            <w:pPr>
              <w:spacing w:after="0" w:line="250"/>
              <w:jc w:val="left"/>
            </w:pPr>
            <w:r>
              <w:t xml:space="preserve">8 — API de synchro</w:t>
            </w:r>
          </w:p>
        </w:tc>
        <w:tc>
          <w:tcPr>
            <w:tcW w:type="dxa" w:w="6600"/>
            <w:shd w:fill="FFFFFF" w:color="auto" w:val="clear"/>
            <w:tcMar>
              <w:top w:type="dxa" w:w="60"/>
              <w:left w:type="dxa" w:w="90"/>
              <w:bottom w:type="dxa" w:w="60"/>
              <w:right w:type="dxa" w:w="90"/>
            </w:tcMar>
          </w:tcPr>
          <w:p>
            <w:pPr>
              <w:spacing w:after="0" w:line="250"/>
              <w:jc w:val="left"/>
            </w:pPr>
            <w:r>
              <w:t xml:space="preserve">Push/pull, journal, conflits, ordre des tables</w:t>
            </w:r>
          </w:p>
        </w:tc>
      </w:tr>
      <w:tr>
        <w:tc>
          <w:tcPr>
            <w:tcW w:type="dxa" w:w="2400"/>
            <w:shd w:fill="F2F2F2" w:color="auto" w:val="clear"/>
            <w:tcMar>
              <w:top w:type="dxa" w:w="60"/>
              <w:left w:type="dxa" w:w="90"/>
              <w:bottom w:type="dxa" w:w="60"/>
              <w:right w:type="dxa" w:w="90"/>
            </w:tcMar>
          </w:tcPr>
          <w:p>
            <w:pPr>
              <w:spacing w:after="0" w:line="250"/>
              <w:jc w:val="left"/>
            </w:pPr>
            <w:r>
              <w:t xml:space="preserve">9 — Client Electron</w:t>
            </w:r>
          </w:p>
        </w:tc>
        <w:tc>
          <w:tcPr>
            <w:tcW w:type="dxa" w:w="6600"/>
            <w:shd w:fill="F2F2F2" w:color="auto" w:val="clear"/>
            <w:tcMar>
              <w:top w:type="dxa" w:w="60"/>
              <w:left w:type="dxa" w:w="90"/>
              <w:bottom w:type="dxa" w:w="60"/>
              <w:right w:type="dxa" w:w="90"/>
            </w:tcMar>
          </w:tcPr>
          <w:p>
            <w:pPr>
              <w:spacing w:after="0" w:line="250"/>
              <w:jc w:val="left"/>
            </w:pPr>
            <w:r>
              <w:t xml:space="preserve">Interface React + base SQLite locale (écrans)</w:t>
            </w:r>
          </w:p>
        </w:tc>
      </w:tr>
      <w:tr>
        <w:tc>
          <w:tcPr>
            <w:tcW w:type="dxa" w:w="2400"/>
            <w:shd w:fill="FFFFFF" w:color="auto" w:val="clear"/>
            <w:tcMar>
              <w:top w:type="dxa" w:w="60"/>
              <w:left w:type="dxa" w:w="90"/>
              <w:bottom w:type="dxa" w:w="60"/>
              <w:right w:type="dxa" w:w="90"/>
            </w:tcMar>
          </w:tcPr>
          <w:p>
            <w:pPr>
              <w:spacing w:after="0" w:line="250"/>
              <w:jc w:val="left"/>
            </w:pPr>
            <w:r>
              <w:t xml:space="preserve">10 — Branchement synchro</w:t>
            </w:r>
          </w:p>
        </w:tc>
        <w:tc>
          <w:tcPr>
            <w:tcW w:type="dxa" w:w="6600"/>
            <w:shd w:fill="FFFFFF" w:color="auto" w:val="clear"/>
            <w:tcMar>
              <w:top w:type="dxa" w:w="60"/>
              <w:left w:type="dxa" w:w="90"/>
              <w:bottom w:type="dxa" w:w="60"/>
              <w:right w:type="dxa" w:w="90"/>
            </w:tcMar>
          </w:tcPr>
          <w:p>
            <w:pPr>
              <w:spacing w:after="0" w:line="250"/>
              <w:jc w:val="left"/>
            </w:pPr>
            <w:r>
              <w:t xml:space="preserve">Hors-ligne + échange des deltas avec le serveur</w:t>
            </w:r>
          </w:p>
        </w:tc>
      </w:tr>
      <w:tr>
        <w:tc>
          <w:tcPr>
            <w:tcW w:type="dxa" w:w="2400"/>
            <w:shd w:fill="F2F2F2" w:color="auto" w:val="clear"/>
            <w:tcMar>
              <w:top w:type="dxa" w:w="60"/>
              <w:left w:type="dxa" w:w="90"/>
              <w:bottom w:type="dxa" w:w="60"/>
              <w:right w:type="dxa" w:w="90"/>
            </w:tcMar>
          </w:tcPr>
          <w:p>
            <w:pPr>
              <w:spacing w:after="0" w:line="250"/>
              <w:jc w:val="left"/>
            </w:pPr>
            <w:r>
              <w:t xml:space="preserve">11 — Phase 2</w:t>
            </w:r>
          </w:p>
        </w:tc>
        <w:tc>
          <w:tcPr>
            <w:tcW w:type="dxa" w:w="6600"/>
            <w:shd w:fill="F2F2F2" w:color="auto" w:val="clear"/>
            <w:tcMar>
              <w:top w:type="dxa" w:w="60"/>
              <w:left w:type="dxa" w:w="90"/>
              <w:bottom w:type="dxa" w:w="60"/>
              <w:right w:type="dxa" w:w="90"/>
            </w:tcMar>
          </w:tcPr>
          <w:p>
            <w:pPr>
              <w:spacing w:after="0" w:line="250"/>
              <w:jc w:val="left"/>
            </w:pPr>
            <w:r>
              <w:t xml:space="preserve">Mobile money et notifications</w:t>
            </w:r>
          </w:p>
        </w:tc>
      </w:tr>
    </w:tbl>
    <w:p>
      <w:pPr>
        <w:spacing w:before="120"/>
        <w:jc w:val="both"/>
      </w:pPr>
      <w:r>
        <w:rPr>
          <w:b/>
          <w:bCs/>
        </w:rPr>
        <w:t xml:space="preserve">Méthode conseillée. </w:t>
      </w:r>
      <w:r>
        <w:t xml:space="preserve">Traiter une étape à la fois et la tester (migrations qui passent, admin correct, une vente qui décrémente bien le stock) avant de passer à la suivante.</w:t>
      </w:r>
    </w:p>
    <w:p>
      <w:pPr>
        <w:pStyle w:val="Heading1"/>
        <w:spacing w:after="140" w:before="300"/>
      </w:pPr>
      <w:r>
        <w:rPr>
          <w:b/>
          <w:bCs/>
          <w:color w:val="1F4E79"/>
        </w:rPr>
        <w:t xml:space="preserve">12. Prérequis techniques</w:t>
      </w:r>
    </w:p>
    <w:p>
      <w:pPr>
        <w:pStyle w:val="ListParagraph"/>
        <w:numPr>
          <w:ilvl w:val="0"/>
          <w:numId w:val="2"/>
        </w:numPr>
        <w:spacing w:after="70" w:line="270"/>
      </w:pPr>
      <w:r>
        <w:t xml:space="preserve">Backend : Python, Django, Django REST Framework, Pillow (images), PostgreSQL.</w:t>
      </w:r>
    </w:p>
    <w:p>
      <w:pPr>
        <w:pStyle w:val="ListParagraph"/>
        <w:numPr>
          <w:ilvl w:val="0"/>
          <w:numId w:val="2"/>
        </w:numPr>
        <w:spacing w:after="70" w:line="270"/>
      </w:pPr>
      <w:r>
        <w:t xml:space="preserve">Client : Node.js, Electron, React, SQLite.</w:t>
      </w:r>
    </w:p>
    <w:p>
      <w:pPr>
        <w:pStyle w:val="ListParagraph"/>
        <w:numPr>
          <w:ilvl w:val="0"/>
          <w:numId w:val="2"/>
        </w:numPr>
        <w:spacing w:after="70" w:line="270"/>
      </w:pPr>
      <w:r>
        <w:t xml:space="preserve">Générer les migrations app par app après l'étape 0.</w:t>
      </w:r>
    </w:p>
    <w:p>
      <w:pPr>
        <w:pStyle w:val="ListParagraph"/>
        <w:numPr>
          <w:ilvl w:val="0"/>
          <w:numId w:val="2"/>
        </w:numPr>
        <w:spacing w:after="70" w:line="270"/>
      </w:pPr>
      <w:r>
        <w:t xml:space="preserve">Le fichier CLAUDE.md fourni décrit précisément chaque modèle et les règles à respecter pour le développement assisté.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Cahier des charges — gestion_stock   |   </w:t>
    </w: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F4E79"/>
      <w:sz w:val="30"/>
      <w:szCs w:val="30"/>
    </w:rPr>
  </w:style>
  <w:style w:type="paragraph" w:styleId="Heading2">
    <w:name w:val="Heading 2"/>
    <w:basedOn w:val="Normal"/>
    <w:next w:val="Normal"/>
    <w:qFormat/>
    <w:pPr>
      <w:spacing w:after="90" w:before="180"/>
    </w:pPr>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stock</dc:title>
  <dc:creator>gestion_stock</dc:creator>
  <cp:lastModifiedBy>Un-named</cp:lastModifiedBy>
  <cp:revision>1</cp:revision>
  <dcterms:created xsi:type="dcterms:W3CDTF">2026-07-26T10:07:40.382Z</dcterms:created>
  <dcterms:modified xsi:type="dcterms:W3CDTF">2026-07-26T10:07:40.383Z</dcterms:modified>
</cp:coreProperties>
</file>

<file path=docProps/custom.xml><?xml version="1.0" encoding="utf-8"?>
<Properties xmlns="http://schemas.openxmlformats.org/officeDocument/2006/custom-properties" xmlns:vt="http://schemas.openxmlformats.org/officeDocument/2006/docPropsVTypes"/>
</file>