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B8" w:rsidRPr="00C83AC8" w:rsidRDefault="00C83AC8" w:rsidP="00E403B8">
      <w:pPr>
        <w:rPr>
          <w:sz w:val="40"/>
          <w:szCs w:val="40"/>
          <w:u w:val="single"/>
        </w:rPr>
      </w:pPr>
      <w:r w:rsidRPr="00C83AC8">
        <w:rPr>
          <w:sz w:val="40"/>
          <w:szCs w:val="40"/>
          <w:u w:val="single"/>
        </w:rPr>
        <w:t>Project Report</w:t>
      </w:r>
    </w:p>
    <w:p w:rsidR="00E403B8" w:rsidRDefault="00E403B8" w:rsidP="00E403B8"/>
    <w:p w:rsidR="001C6E55" w:rsidRDefault="00E403B8" w:rsidP="00E403B8">
      <w:pPr>
        <w:jc w:val="center"/>
      </w:pPr>
      <w:r>
        <w:rPr>
          <w:noProof/>
        </w:rPr>
        <w:drawing>
          <wp:inline distT="0" distB="0" distL="0" distR="0" wp14:anchorId="1DC7F5AB" wp14:editId="1B28562C">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3AC8" w:rsidRDefault="00C83AC8" w:rsidP="00E403B8">
      <w:pPr>
        <w:jc w:val="center"/>
      </w:pPr>
    </w:p>
    <w:p w:rsidR="00C83AC8" w:rsidRDefault="00C83AC8" w:rsidP="00E403B8">
      <w:pPr>
        <w:jc w:val="center"/>
      </w:pPr>
    </w:p>
    <w:p w:rsidR="00C83AC8" w:rsidRDefault="00C83AC8" w:rsidP="00E403B8">
      <w:pPr>
        <w:jc w:val="center"/>
      </w:pPr>
    </w:p>
    <w:p w:rsidR="005D098E" w:rsidRDefault="005D098E" w:rsidP="00E403B8">
      <w:pPr>
        <w:jc w:val="center"/>
      </w:pPr>
      <w:r>
        <w:rPr>
          <w:noProof/>
        </w:rPr>
        <w:drawing>
          <wp:inline distT="0" distB="0" distL="0" distR="0" wp14:anchorId="65896BF0" wp14:editId="63FEBDF6">
            <wp:extent cx="5486400" cy="32004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098E" w:rsidRDefault="005D098E" w:rsidP="00E403B8">
      <w:pPr>
        <w:jc w:val="center"/>
      </w:pPr>
    </w:p>
    <w:p w:rsidR="005D098E" w:rsidRDefault="005D098E" w:rsidP="00E403B8">
      <w:pPr>
        <w:jc w:val="center"/>
      </w:pPr>
    </w:p>
    <w:p w:rsidR="005D098E" w:rsidRDefault="005D098E" w:rsidP="00E403B8">
      <w:pPr>
        <w:jc w:val="center"/>
      </w:pPr>
    </w:p>
    <w:p w:rsidR="005D098E" w:rsidRDefault="005D098E" w:rsidP="00E403B8">
      <w:pPr>
        <w:jc w:val="center"/>
      </w:pPr>
      <w:r>
        <w:rPr>
          <w:noProof/>
        </w:rPr>
        <w:lastRenderedPageBreak/>
        <w:drawing>
          <wp:inline distT="0" distB="0" distL="0" distR="0" wp14:anchorId="2FFB5971" wp14:editId="58A30B28">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098E" w:rsidRDefault="005D098E" w:rsidP="00E403B8">
      <w:pPr>
        <w:jc w:val="center"/>
      </w:pPr>
    </w:p>
    <w:p w:rsidR="005D098E" w:rsidRDefault="005D098E" w:rsidP="00E403B8">
      <w:pPr>
        <w:jc w:val="center"/>
      </w:pPr>
      <w:r>
        <w:rPr>
          <w:noProof/>
        </w:rPr>
        <w:drawing>
          <wp:inline distT="0" distB="0" distL="0" distR="0" wp14:anchorId="3AE212A4" wp14:editId="0DF1F339">
            <wp:extent cx="5486400" cy="32004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098E" w:rsidRDefault="005D098E" w:rsidP="00E403B8">
      <w:pPr>
        <w:jc w:val="center"/>
      </w:pPr>
    </w:p>
    <w:p w:rsidR="005D098E" w:rsidRDefault="005D098E" w:rsidP="00E403B8">
      <w:pPr>
        <w:jc w:val="center"/>
      </w:pPr>
    </w:p>
    <w:p w:rsidR="005D098E" w:rsidRDefault="005D098E" w:rsidP="00E403B8">
      <w:pPr>
        <w:jc w:val="center"/>
      </w:pPr>
      <w:r>
        <w:rPr>
          <w:noProof/>
        </w:rPr>
        <w:drawing>
          <wp:inline distT="0" distB="0" distL="0" distR="0" wp14:anchorId="776BF44D" wp14:editId="0388190D">
            <wp:extent cx="5486400" cy="32004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3AC8" w:rsidRDefault="00C83AC8" w:rsidP="00E403B8">
      <w:pPr>
        <w:jc w:val="center"/>
      </w:pPr>
    </w:p>
    <w:p w:rsidR="00C83AC8" w:rsidRDefault="00C83AC8" w:rsidP="00E403B8">
      <w:pPr>
        <w:jc w:val="center"/>
      </w:pPr>
    </w:p>
    <w:p w:rsidR="00C83AC8" w:rsidRDefault="00C83AC8" w:rsidP="00E403B8">
      <w:pPr>
        <w:jc w:val="center"/>
      </w:pPr>
      <w:r>
        <w:rPr>
          <w:noProof/>
        </w:rPr>
        <w:drawing>
          <wp:inline distT="0" distB="0" distL="0" distR="0" wp14:anchorId="3BCC9F35" wp14:editId="3404796A">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3AC8" w:rsidRDefault="00C83AC8" w:rsidP="00E403B8">
      <w:pPr>
        <w:jc w:val="center"/>
      </w:pPr>
    </w:p>
    <w:p w:rsidR="00E9327E" w:rsidRDefault="00E9327E" w:rsidP="00C83AC8">
      <w:pPr>
        <w:rPr>
          <w:b/>
          <w:u w:val="single"/>
        </w:rPr>
      </w:pPr>
      <w:r>
        <w:rPr>
          <w:b/>
          <w:u w:val="single"/>
        </w:rPr>
        <w:t>Black shaded bars took the shortest time of all the data sets.</w:t>
      </w:r>
    </w:p>
    <w:p w:rsidR="00E9327E" w:rsidRDefault="00E9327E" w:rsidP="00C83AC8">
      <w:pPr>
        <w:rPr>
          <w:b/>
          <w:u w:val="single"/>
        </w:rPr>
      </w:pPr>
    </w:p>
    <w:p w:rsidR="00E9327E" w:rsidRDefault="00E9327E" w:rsidP="00C83AC8"/>
    <w:p w:rsidR="00E9327E" w:rsidRDefault="00E9327E" w:rsidP="00C83AC8"/>
    <w:p w:rsidR="00E9327E" w:rsidRDefault="00E9327E" w:rsidP="00C83AC8"/>
    <w:p w:rsidR="00E9327E" w:rsidRDefault="00E9327E" w:rsidP="00C83AC8"/>
    <w:p w:rsidR="00E9327E" w:rsidRPr="00E9327E" w:rsidRDefault="00E9327E" w:rsidP="00C83AC8">
      <w:r>
        <w:t>After running these census files multiple times, I concluded that insertion sort is only good for small size files only.  When testing large files with insertion sort, it took a while to sort the whole data.  For small files, insertion sort (</w:t>
      </w:r>
      <w:proofErr w:type="gramStart"/>
      <w:r>
        <w:t>O(</w:t>
      </w:r>
      <w:proofErr w:type="gramEnd"/>
      <w:r>
        <w:t>n^2)) can sort almost as fast or even a little faster than merg</w:t>
      </w:r>
      <w:r w:rsidR="002A0EAC">
        <w:t>e sort (O(nlgn)) and quick sort (</w:t>
      </w:r>
      <w:r w:rsidR="00525027">
        <w:t xml:space="preserve">O(nlgn)).  </w:t>
      </w:r>
      <w:r w:rsidR="002D35AD">
        <w:t>All in all, insertion sort is the slowest compared to merge sort and quick sort.  When sorting large data files, merge sort and quick sort are probably the better two algorithms for sorting.</w:t>
      </w:r>
      <w:bookmarkStart w:id="0" w:name="_GoBack"/>
      <w:bookmarkEnd w:id="0"/>
      <w:r w:rsidR="002D35AD">
        <w:t xml:space="preserve">  </w:t>
      </w:r>
    </w:p>
    <w:sectPr w:rsidR="00E9327E" w:rsidRPr="00E9327E" w:rsidSect="001C6E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90B"/>
    <w:rsid w:val="001C6E55"/>
    <w:rsid w:val="002A0EAC"/>
    <w:rsid w:val="002D35AD"/>
    <w:rsid w:val="00303544"/>
    <w:rsid w:val="00525027"/>
    <w:rsid w:val="005D098E"/>
    <w:rsid w:val="008E790B"/>
    <w:rsid w:val="00C83AC8"/>
    <w:rsid w:val="00E403B8"/>
    <w:rsid w:val="00E9327E"/>
    <w:rsid w:val="00EC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EF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9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0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E790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790B"/>
    <w:rPr>
      <w:rFonts w:ascii="Lucida Grande" w:hAnsi="Lucida Grande"/>
      <w:sz w:val="18"/>
      <w:szCs w:val="18"/>
    </w:rPr>
  </w:style>
  <w:style w:type="paragraph" w:styleId="Caption">
    <w:name w:val="caption"/>
    <w:basedOn w:val="Normal"/>
    <w:next w:val="Normal"/>
    <w:uiPriority w:val="35"/>
    <w:unhideWhenUsed/>
    <w:qFormat/>
    <w:rsid w:val="00C83AC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9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0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E790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790B"/>
    <w:rPr>
      <w:rFonts w:ascii="Lucida Grande" w:hAnsi="Lucida Grande"/>
      <w:sz w:val="18"/>
      <w:szCs w:val="18"/>
    </w:rPr>
  </w:style>
  <w:style w:type="paragraph" w:styleId="Caption">
    <w:name w:val="caption"/>
    <w:basedOn w:val="Normal"/>
    <w:next w:val="Normal"/>
    <w:uiPriority w:val="35"/>
    <w:unhideWhenUsed/>
    <w:qFormat/>
    <w:rsid w:val="00C83A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insertionSort_Pop</c:v>
                </c:pt>
              </c:strCache>
            </c:strRef>
          </c:tx>
          <c:invertIfNegative val="0"/>
          <c:dPt>
            <c:idx val="0"/>
            <c:invertIfNegative val="0"/>
            <c:bubble3D val="0"/>
            <c:spPr>
              <a:solidFill>
                <a:schemeClr val="accent1"/>
              </a:solidFill>
            </c:spPr>
          </c:dPt>
          <c:dPt>
            <c:idx val="2"/>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0.7901345</c:v>
                </c:pt>
                <c:pt idx="1">
                  <c:v>0.78715686</c:v>
                </c:pt>
                <c:pt idx="2">
                  <c:v>0.457570664</c:v>
                </c:pt>
                <c:pt idx="3">
                  <c:v>2.440854485</c:v>
                </c:pt>
                <c:pt idx="4">
                  <c:v>8.399260505</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077958168"/>
        <c:axId val="2077466120"/>
      </c:barChart>
      <c:catAx>
        <c:axId val="2077958168"/>
        <c:scaling>
          <c:orientation val="minMax"/>
        </c:scaling>
        <c:delete val="0"/>
        <c:axPos val="b"/>
        <c:numFmt formatCode="General" sourceLinked="1"/>
        <c:majorTickMark val="out"/>
        <c:minorTickMark val="none"/>
        <c:tickLblPos val="nextTo"/>
        <c:crossAx val="2077466120"/>
        <c:crosses val="autoZero"/>
        <c:auto val="1"/>
        <c:lblAlgn val="ctr"/>
        <c:lblOffset val="100"/>
        <c:noMultiLvlLbl val="0"/>
      </c:catAx>
      <c:valAx>
        <c:axId val="2077466120"/>
        <c:scaling>
          <c:orientation val="minMax"/>
        </c:scaling>
        <c:delete val="0"/>
        <c:axPos val="l"/>
        <c:majorGridlines/>
        <c:numFmt formatCode="General" sourceLinked="1"/>
        <c:majorTickMark val="out"/>
        <c:minorTickMark val="none"/>
        <c:tickLblPos val="nextTo"/>
        <c:crossAx val="2077958168"/>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insertionSort_City</c:v>
                </c:pt>
              </c:strCache>
            </c:strRef>
          </c:tx>
          <c:invertIfNegative val="0"/>
          <c:dPt>
            <c:idx val="0"/>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0.2208169</c:v>
                </c:pt>
                <c:pt idx="1">
                  <c:v>0.351587732</c:v>
                </c:pt>
                <c:pt idx="2">
                  <c:v>0.710750834</c:v>
                </c:pt>
                <c:pt idx="3">
                  <c:v>6.30794973</c:v>
                </c:pt>
                <c:pt idx="4">
                  <c:v>24.49262584</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116656312"/>
        <c:axId val="2116659288"/>
      </c:barChart>
      <c:catAx>
        <c:axId val="2116656312"/>
        <c:scaling>
          <c:orientation val="minMax"/>
        </c:scaling>
        <c:delete val="0"/>
        <c:axPos val="b"/>
        <c:numFmt formatCode="General" sourceLinked="1"/>
        <c:majorTickMark val="out"/>
        <c:minorTickMark val="none"/>
        <c:tickLblPos val="nextTo"/>
        <c:crossAx val="2116659288"/>
        <c:crosses val="autoZero"/>
        <c:auto val="1"/>
        <c:lblAlgn val="ctr"/>
        <c:lblOffset val="100"/>
        <c:noMultiLvlLbl val="0"/>
      </c:catAx>
      <c:valAx>
        <c:axId val="2116659288"/>
        <c:scaling>
          <c:orientation val="minMax"/>
        </c:scaling>
        <c:delete val="0"/>
        <c:axPos val="l"/>
        <c:majorGridlines/>
        <c:numFmt formatCode="General" sourceLinked="1"/>
        <c:majorTickMark val="out"/>
        <c:minorTickMark val="none"/>
        <c:tickLblPos val="nextTo"/>
        <c:crossAx val="2116656312"/>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mergeSort_Pop</c:v>
                </c:pt>
              </c:strCache>
            </c:strRef>
          </c:tx>
          <c:invertIfNegative val="0"/>
          <c:dPt>
            <c:idx val="1"/>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0.5768855</c:v>
                </c:pt>
                <c:pt idx="1">
                  <c:v>0.14643072</c:v>
                </c:pt>
                <c:pt idx="2">
                  <c:v>0.19755172</c:v>
                </c:pt>
                <c:pt idx="3">
                  <c:v>0.58293522</c:v>
                </c:pt>
                <c:pt idx="4">
                  <c:v>0.140289381</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113942792"/>
        <c:axId val="2114211368"/>
      </c:barChart>
      <c:catAx>
        <c:axId val="2113942792"/>
        <c:scaling>
          <c:orientation val="minMax"/>
        </c:scaling>
        <c:delete val="0"/>
        <c:axPos val="b"/>
        <c:numFmt formatCode="General" sourceLinked="1"/>
        <c:majorTickMark val="out"/>
        <c:minorTickMark val="none"/>
        <c:tickLblPos val="nextTo"/>
        <c:crossAx val="2114211368"/>
        <c:crosses val="autoZero"/>
        <c:auto val="1"/>
        <c:lblAlgn val="ctr"/>
        <c:lblOffset val="100"/>
        <c:noMultiLvlLbl val="0"/>
      </c:catAx>
      <c:valAx>
        <c:axId val="2114211368"/>
        <c:scaling>
          <c:orientation val="minMax"/>
        </c:scaling>
        <c:delete val="0"/>
        <c:axPos val="l"/>
        <c:majorGridlines/>
        <c:numFmt formatCode="General" sourceLinked="1"/>
        <c:majorTickMark val="out"/>
        <c:minorTickMark val="none"/>
        <c:tickLblPos val="nextTo"/>
        <c:crossAx val="2113942792"/>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mergeSort_City</c:v>
                </c:pt>
              </c:strCache>
            </c:strRef>
          </c:tx>
          <c:invertIfNegative val="0"/>
          <c:dPt>
            <c:idx val="1"/>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0.6465344</c:v>
                </c:pt>
                <c:pt idx="1">
                  <c:v>0.10640576</c:v>
                </c:pt>
                <c:pt idx="2">
                  <c:v>0.23176924</c:v>
                </c:pt>
                <c:pt idx="3">
                  <c:v>0.70802026</c:v>
                </c:pt>
                <c:pt idx="4">
                  <c:v>0.354525702</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115487544"/>
        <c:axId val="2115265560"/>
      </c:barChart>
      <c:catAx>
        <c:axId val="2115487544"/>
        <c:scaling>
          <c:orientation val="minMax"/>
        </c:scaling>
        <c:delete val="0"/>
        <c:axPos val="b"/>
        <c:numFmt formatCode="General" sourceLinked="1"/>
        <c:majorTickMark val="out"/>
        <c:minorTickMark val="none"/>
        <c:tickLblPos val="nextTo"/>
        <c:crossAx val="2115265560"/>
        <c:crosses val="autoZero"/>
        <c:auto val="1"/>
        <c:lblAlgn val="ctr"/>
        <c:lblOffset val="100"/>
        <c:noMultiLvlLbl val="0"/>
      </c:catAx>
      <c:valAx>
        <c:axId val="2115265560"/>
        <c:scaling>
          <c:orientation val="minMax"/>
        </c:scaling>
        <c:delete val="0"/>
        <c:axPos val="l"/>
        <c:majorGridlines/>
        <c:numFmt formatCode="General" sourceLinked="1"/>
        <c:majorTickMark val="out"/>
        <c:minorTickMark val="none"/>
        <c:tickLblPos val="nextTo"/>
        <c:crossAx val="2115487544"/>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quickSort_Pop</c:v>
                </c:pt>
              </c:strCache>
            </c:strRef>
          </c:tx>
          <c:invertIfNegative val="0"/>
          <c:dPt>
            <c:idx val="3"/>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0.670214</c:v>
                </c:pt>
                <c:pt idx="1">
                  <c:v>0.1196057</c:v>
                </c:pt>
                <c:pt idx="2">
                  <c:v>0.268597</c:v>
                </c:pt>
                <c:pt idx="3">
                  <c:v>0.10327929</c:v>
                </c:pt>
                <c:pt idx="4">
                  <c:v>0.49460814</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077996808"/>
        <c:axId val="2077992536"/>
      </c:barChart>
      <c:catAx>
        <c:axId val="2077996808"/>
        <c:scaling>
          <c:orientation val="minMax"/>
        </c:scaling>
        <c:delete val="0"/>
        <c:axPos val="b"/>
        <c:numFmt formatCode="General" sourceLinked="1"/>
        <c:majorTickMark val="out"/>
        <c:minorTickMark val="none"/>
        <c:tickLblPos val="nextTo"/>
        <c:crossAx val="2077992536"/>
        <c:crosses val="autoZero"/>
        <c:auto val="1"/>
        <c:lblAlgn val="ctr"/>
        <c:lblOffset val="100"/>
        <c:noMultiLvlLbl val="0"/>
      </c:catAx>
      <c:valAx>
        <c:axId val="2077992536"/>
        <c:scaling>
          <c:orientation val="minMax"/>
        </c:scaling>
        <c:delete val="0"/>
        <c:axPos val="l"/>
        <c:majorGridlines/>
        <c:numFmt formatCode="General" sourceLinked="1"/>
        <c:majorTickMark val="out"/>
        <c:minorTickMark val="none"/>
        <c:tickLblPos val="nextTo"/>
        <c:crossAx val="2077996808"/>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quickSort_City</c:v>
                </c:pt>
              </c:strCache>
            </c:strRef>
          </c:tx>
          <c:invertIfNegative val="0"/>
          <c:dPt>
            <c:idx val="4"/>
            <c:invertIfNegative val="0"/>
            <c:bubble3D val="0"/>
            <c:spPr>
              <a:solidFill>
                <a:schemeClr val="tx1"/>
              </a:solidFill>
            </c:spPr>
          </c:dPt>
          <c:cat>
            <c:numRef>
              <c:f>Sheet1!$A$2:$A$7</c:f>
              <c:numCache>
                <c:formatCode>General</c:formatCode>
                <c:ptCount val="6"/>
                <c:pt idx="0">
                  <c:v>1102.0</c:v>
                </c:pt>
                <c:pt idx="1">
                  <c:v>3920.0</c:v>
                </c:pt>
                <c:pt idx="2">
                  <c:v>7932.0</c:v>
                </c:pt>
                <c:pt idx="3">
                  <c:v>21236.0</c:v>
                </c:pt>
                <c:pt idx="4">
                  <c:v>41712.0</c:v>
                </c:pt>
              </c:numCache>
            </c:numRef>
          </c:cat>
          <c:val>
            <c:numRef>
              <c:f>Sheet1!$B$2:$B$7</c:f>
              <c:numCache>
                <c:formatCode>General</c:formatCode>
                <c:ptCount val="6"/>
                <c:pt idx="0">
                  <c:v>0.1717492</c:v>
                </c:pt>
                <c:pt idx="1">
                  <c:v>0.327137</c:v>
                </c:pt>
                <c:pt idx="2">
                  <c:v>0.6810279</c:v>
                </c:pt>
                <c:pt idx="3">
                  <c:v>0.24202191</c:v>
                </c:pt>
                <c:pt idx="4">
                  <c:v>0.107768729</c:v>
                </c:pt>
              </c:numCache>
            </c:numRef>
          </c:val>
        </c:ser>
        <c:ser>
          <c:idx val="1"/>
          <c:order val="1"/>
          <c:tx>
            <c:strRef>
              <c:f>Sheet1!$C$1</c:f>
              <c:strCache>
                <c:ptCount val="1"/>
                <c:pt idx="0">
                  <c:v>Column1</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Sheet1!$C$2:$C$7</c:f>
            </c:numRef>
          </c:val>
        </c:ser>
        <c:ser>
          <c:idx val="2"/>
          <c:order val="2"/>
          <c:tx>
            <c:strRef>
              <c:f>Sheet1!$D$1</c:f>
              <c:strCache>
                <c:ptCount val="1"/>
                <c:pt idx="0">
                  <c:v>Series 3</c:v>
                </c:pt>
              </c:strCache>
            </c:strRef>
          </c:tx>
          <c:invertIfNegative val="0"/>
          <c:cat>
            <c:numRef>
              <c:f>Sheet1!$A$2:$A$7</c:f>
              <c:numCache>
                <c:formatCode>General</c:formatCode>
                <c:ptCount val="6"/>
                <c:pt idx="0">
                  <c:v>1102.0</c:v>
                </c:pt>
                <c:pt idx="1">
                  <c:v>3920.0</c:v>
                </c:pt>
                <c:pt idx="2">
                  <c:v>7932.0</c:v>
                </c:pt>
                <c:pt idx="3">
                  <c:v>21236.0</c:v>
                </c:pt>
                <c:pt idx="4">
                  <c:v>41712.0</c:v>
                </c:pt>
              </c:numCache>
            </c:numRef>
          </c:cat>
          <c:val>
            <c:numRef>
              <c:f>Sheet1!$D$2:$D$7</c:f>
            </c:numRef>
          </c:val>
        </c:ser>
        <c:dLbls>
          <c:showLegendKey val="0"/>
          <c:showVal val="0"/>
          <c:showCatName val="0"/>
          <c:showSerName val="0"/>
          <c:showPercent val="0"/>
          <c:showBubbleSize val="0"/>
        </c:dLbls>
        <c:gapWidth val="150"/>
        <c:axId val="2115892088"/>
        <c:axId val="2116040280"/>
      </c:barChart>
      <c:catAx>
        <c:axId val="2115892088"/>
        <c:scaling>
          <c:orientation val="minMax"/>
        </c:scaling>
        <c:delete val="0"/>
        <c:axPos val="b"/>
        <c:numFmt formatCode="General" sourceLinked="1"/>
        <c:majorTickMark val="out"/>
        <c:minorTickMark val="none"/>
        <c:tickLblPos val="nextTo"/>
        <c:crossAx val="2116040280"/>
        <c:crosses val="autoZero"/>
        <c:auto val="1"/>
        <c:lblAlgn val="ctr"/>
        <c:lblOffset val="100"/>
        <c:noMultiLvlLbl val="0"/>
      </c:catAx>
      <c:valAx>
        <c:axId val="2116040280"/>
        <c:scaling>
          <c:orientation val="minMax"/>
        </c:scaling>
        <c:delete val="0"/>
        <c:axPos val="l"/>
        <c:majorGridlines/>
        <c:numFmt formatCode="General" sourceLinked="1"/>
        <c:majorTickMark val="out"/>
        <c:minorTickMark val="none"/>
        <c:tickLblPos val="nextTo"/>
        <c:crossAx val="2115892088"/>
        <c:crosses val="autoZero"/>
        <c:crossBetween val="between"/>
      </c:valAx>
    </c:plotArea>
    <c:legend>
      <c:legendPos val="r"/>
      <c:legendEntry>
        <c:idx val="5"/>
        <c:delete val="1"/>
      </c:legendEntry>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97</Words>
  <Characters>555</Characters>
  <Application>Microsoft Macintosh Word</Application>
  <DocSecurity>0</DocSecurity>
  <Lines>4</Lines>
  <Paragraphs>1</Paragraphs>
  <ScaleCrop>false</ScaleCrop>
  <Company/>
  <LinksUpToDate>false</LinksUpToDate>
  <CharactersWithSpaces>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Her</dc:creator>
  <cp:keywords/>
  <dc:description/>
  <cp:lastModifiedBy>Kong Her</cp:lastModifiedBy>
  <cp:revision>1</cp:revision>
  <dcterms:created xsi:type="dcterms:W3CDTF">2014-03-01T19:44:00Z</dcterms:created>
  <dcterms:modified xsi:type="dcterms:W3CDTF">2014-03-01T23:38:00Z</dcterms:modified>
</cp:coreProperties>
</file>