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center"/>
      </w:pPr>
      <w:r>
        <w:rPr>
          <w:rFonts w:ascii="Calibri" w:hAnsi="Calibri" w:eastAsia="Calibri"/>
          <w:b w:val="0"/>
          <w:color w:val="1AA6B7"/>
          <w:sz w:val="20"/>
        </w:rPr>
        <w:t>QUNHE / AHOLO SPATIAL INTELLIGENCE TRACK</w:t>
      </w:r>
    </w:p>
    <w:p>
      <w:pPr>
        <w:spacing w:before="0" w:after="200"/>
        <w:jc w:val="center"/>
      </w:pPr>
      <w:r>
        <w:rPr>
          <w:rFonts w:ascii="Calibri" w:hAnsi="Calibri" w:eastAsia="Calibri"/>
          <w:b/>
          <w:color w:val="16324F"/>
          <w:sz w:val="62"/>
        </w:rPr>
        <w:t>SpatialHome AI</w:t>
      </w:r>
    </w:p>
    <w:p>
      <w:pPr>
        <w:spacing w:before="0" w:after="240"/>
        <w:jc w:val="center"/>
      </w:pPr>
      <w:r>
        <w:rPr>
          <w:rFonts w:ascii="Calibri" w:hAnsi="Calibri" w:eastAsia="Calibri"/>
          <w:b/>
          <w:color w:val="2E74B5"/>
          <w:sz w:val="36"/>
        </w:rPr>
        <w:t>多模态真实 3D 场景生成与持续运行系统</w:t>
      </w:r>
    </w:p>
    <w:p>
      <w:pPr>
        <w:spacing w:before="0" w:after="560"/>
        <w:jc w:val="center"/>
      </w:pPr>
      <w:r>
        <w:rPr>
          <w:rFonts w:ascii="Calibri" w:hAnsi="Calibri" w:eastAsia="Calibri"/>
          <w:b w:val="0"/>
          <w:color w:val="5D6873"/>
          <w:sz w:val="23"/>
        </w:rPr>
        <w:t>通用产品定义 · 核心框架 · 协议设计 · 开发交接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AF3F5"/>
            <w:tcBorders>
              <w:start w:val="single" w:sz="16" w:color="1AA6B7"/>
              <w:top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24F"/>
                <w:sz w:val="21"/>
              </w:rPr>
              <w:t xml:space="preserve">核心定义  </w:t>
            </w:r>
            <w:r>
              <w:rPr>
                <w:rFonts w:ascii="Calibri" w:hAnsi="Calibri" w:eastAsia="Calibri"/>
                <w:color w:val="263238"/>
                <w:sz w:val="21"/>
              </w:rPr>
              <w:t>用户提供一段文字、一张图片或一段视频，系统生成结构化、可交互的真实 3D 场景；生成完成后，用户仍可持续定义其中的对象、属性、行为、触发器和变化。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项目字段</w:t>
            </w:r>
          </w:p>
        </w:tc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文档用途</w:t>
            </w:r>
          </w:p>
        </w:tc>
        <w:tc>
          <w:tcPr>
            <w:tcW w:type="dxa" w:w="72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提交给下一位 AI / 开发团队，读取后只搭建通用核心框架</w:t>
            </w:r>
          </w:p>
        </w:tc>
      </w:tr>
      <w:tr>
        <w:tc>
          <w:tcPr>
            <w:tcW w:type="dxa" w:w="216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产品本体</w:t>
            </w:r>
          </w:p>
        </w:tc>
        <w:tc>
          <w:tcPr>
            <w:tcW w:type="dxa" w:w="720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多模态 3D 场景生成管线 + 可持续运行的空间逻辑层</w:t>
            </w:r>
          </w:p>
        </w:tc>
      </w:tr>
      <w:tr>
        <w:tc>
          <w:tcPr>
            <w:tcW w:type="dxa" w:w="216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输入 / 输出</w:t>
            </w:r>
          </w:p>
        </w:tc>
        <w:tc>
          <w:tcPr>
            <w:tcW w:type="dxa" w:w="72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文字、图片、视频 → 真实 3D 场景、语义实体、可编程行为与版本历史</w:t>
            </w:r>
          </w:p>
        </w:tc>
      </w:tr>
      <w:tr>
        <w:tc>
          <w:tcPr>
            <w:tcW w:type="dxa" w:w="216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版本日期</w:t>
            </w:r>
          </w:p>
        </w:tc>
        <w:tc>
          <w:tcPr>
            <w:tcW w:type="dxa" w:w="720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v0.3 · 2026-08-27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4DE"/>
            <w:tcBorders>
              <w:start w:val="single" w:sz="16" w:color="1AA6B7"/>
              <w:top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24F"/>
                <w:sz w:val="21"/>
              </w:rPr>
              <w:t xml:space="preserve">本版修正  </w:t>
            </w:r>
            <w:r>
              <w:rPr>
                <w:rFonts w:ascii="Calibri" w:hAnsi="Calibri" w:eastAsia="Calibri"/>
                <w:color w:val="263238"/>
                <w:sz w:val="21"/>
              </w:rPr>
              <w:t>看房、房间、花瓶、装修风格、手势和控制面板都不是产品本体。看房只是一种商业应用案例；核心框架不得绑定任何单一场景、前端形式、3D 引擎或生成服务。</w:t>
            </w:r>
          </w:p>
        </w:tc>
      </w:tr>
    </w:tbl>
    <w:p>
      <w:pPr>
        <w:spacing w:after="0"/>
      </w:pPr>
    </w:p>
    <w:p>
      <w:pPr>
        <w:pStyle w:val="Heading1"/>
      </w:pPr>
      <w:r>
        <w:t>0. 先给结论：先搭通用框架，不做完整前端</w:t>
      </w:r>
    </w:p>
    <w:p>
      <w:pPr/>
      <w:r>
        <w:t>当前阶段的唯一目标，是建立一个与场景类型、用户界面、渲染器和生成服务解耦的核心框架。框架应证明三件事：多模态输入能够进入统一生成管线；生成结果能够被规范化为通用 Scene Manifest；用户后续定义的交互和变化能够作为受限命令与行为被运行时执行、记录和回滚。</w:t>
      </w:r>
    </w:p>
    <w:p>
      <w:pPr/>
      <w:r>
        <w:t>不应在需求尚未确定时实现客厅、看房控制面板、固定手势、装修 Variant 或完整页面。任何可视化 Demo 只能作为框架外部的测试夹具，不得反向决定核心数据结构。</w:t>
      </w:r>
    </w:p>
    <w:p>
      <w:pPr>
        <w:pStyle w:val="Heading1"/>
      </w:pPr>
      <w:r>
        <w:t>1. 项目定义</w:t>
      </w:r>
    </w:p>
    <w:p>
      <w:pPr>
        <w:pStyle w:val="Heading2"/>
      </w:pPr>
      <w:r>
        <w:t>1.1 一句话产品定义</w:t>
      </w:r>
    </w:p>
    <w:p>
      <w:pPr/>
      <w:r>
        <w:t>SpatialHome AI（暂定名）是一套从文字、图片和视频生成可交互真实 3D 场景，并让用户持续定义场景行为与变化的 AI 原生空间系统。</w:t>
      </w:r>
    </w:p>
    <w:p>
      <w:pPr>
        <w:pStyle w:val="Heading2"/>
      </w:pPr>
      <w:r>
        <w:t>1.2 两个连续但解耦的系统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4536"/>
        <w:gridCol w:w="2880"/>
      </w:tblGrid>
      <w:tr>
        <w:trPr>
          <w:tblHeader w:val="true"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稳定输出</w:t>
            </w:r>
          </w:p>
        </w:tc>
      </w:tr>
      <w:tr>
        <w:tc>
          <w:tcPr>
            <w:tcW w:type="dxa" w:w="194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场景生成系统</w:t>
            </w:r>
          </w:p>
        </w:tc>
        <w:tc>
          <w:tcPr>
            <w:tcW w:type="dxa" w:w="453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理解文字/图片/视频，调用一个或多个生成服务，产出几何、材质、空间和语义结果</w:t>
            </w:r>
          </w:p>
        </w:tc>
        <w:tc>
          <w:tcPr>
            <w:tcW w:type="dxa" w:w="288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ProviderResult + 标准化 Scene Manifest</w:t>
            </w:r>
          </w:p>
        </w:tc>
      </w:tr>
      <w:tr>
        <w:tc>
          <w:tcPr>
            <w:tcW w:type="dxa" w:w="194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空间运行系统</w:t>
            </w:r>
          </w:p>
        </w:tc>
        <w:tc>
          <w:tcPr>
            <w:tcW w:type="dxa" w:w="453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加载 Manifest，接受用户交互、AI 指令和外部事件，执行行为、约束、版本与回滚</w:t>
            </w:r>
          </w:p>
        </w:tc>
        <w:tc>
          <w:tcPr>
            <w:tcW w:type="dxa" w:w="288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确定性状态、变更记录和渲染器无关事件</w:t>
            </w:r>
          </w:p>
        </w:tc>
      </w:tr>
    </w:tbl>
    <w:p>
      <w:pPr>
        <w:spacing w:after="0"/>
      </w:pPr>
    </w:p>
    <w:p>
      <w:pPr>
        <w:pStyle w:val="Heading2"/>
      </w:pPr>
      <w:r>
        <w:t>1.3 核心原则</w:t>
      </w:r>
    </w:p>
    <w:p>
      <w:pPr>
        <w:pStyle w:val="ListBullet"/>
      </w:pPr>
      <w:r>
        <w:t>输入无关：文字、图片、视频都是第一等输入，可单独使用，也可组合使用。</w:t>
      </w:r>
    </w:p>
    <w:p>
      <w:pPr>
        <w:pStyle w:val="ListBullet"/>
      </w:pPr>
      <w:r>
        <w:t>场景无关：框架不假设结果是房间、建筑、展览、户外、工业现场或虚构世界。</w:t>
      </w:r>
    </w:p>
    <w:p>
      <w:pPr>
        <w:pStyle w:val="ListBullet"/>
      </w:pPr>
      <w:r>
        <w:t>服务无关：Aholo、Lux3D 或其他生成模型只通过 Provider Adapter 接入。</w:t>
      </w:r>
    </w:p>
    <w:p>
      <w:pPr>
        <w:pStyle w:val="ListBullet"/>
      </w:pPr>
      <w:r>
        <w:t>渲染器无关：Three.js、Unity、Unreal、原生应用或云渲染都属于外部 Renderer Adapter。</w:t>
      </w:r>
    </w:p>
    <w:p>
      <w:pPr>
        <w:pStyle w:val="ListBullet"/>
      </w:pPr>
      <w:r>
        <w:t>行为由数据定义：对象能力、触发器、行为和交互绑定写入 Manifest，不散落在 UI 组件中。</w:t>
      </w:r>
    </w:p>
    <w:p>
      <w:pPr>
        <w:pStyle w:val="ListBullet"/>
      </w:pPr>
      <w:r>
        <w:t>AI 管理意图，不执行任意代码：AI 只生成经过 Schema 和上下文验证的命令或行为定义。</w:t>
      </w:r>
    </w:p>
    <w:p>
      <w:pPr>
        <w:pStyle w:val="ListBullet"/>
      </w:pPr>
      <w:r>
        <w:t>所有变化可检查、可解释、可撤销：运行时以事务和 revision 管理状态。</w:t>
      </w:r>
    </w:p>
    <w:p>
      <w:pPr>
        <w:pStyle w:val="Heading1"/>
      </w:pPr>
      <w:r>
        <w:t>2. 用户价值与完整闭环</w:t>
      </w:r>
    </w:p>
    <w:p>
      <w:pPr>
        <w:pStyle w:val="ListNumber"/>
      </w:pPr>
      <w:r>
        <w:t>用户提交一段文字、一张参考图、一段扫描视频，或它们的组合。</w:t>
      </w:r>
    </w:p>
    <w:p>
      <w:pPr>
        <w:pStyle w:val="ListNumber"/>
      </w:pPr>
      <w:r>
        <w:t>Generation Pipeline 选择合适的 Provider，提交任务、轮询状态并缓存生成资产。</w:t>
      </w:r>
    </w:p>
    <w:p>
      <w:pPr>
        <w:pStyle w:val="ListNumber"/>
      </w:pPr>
      <w:r>
        <w:t>Normalizer 把不同服务的输出转换为统一 Scene Manifest，包括资产、实体、组件、环境与来源。</w:t>
      </w:r>
    </w:p>
    <w:p>
      <w:pPr>
        <w:pStyle w:val="ListNumber"/>
      </w:pPr>
      <w:r>
        <w:t>应用层根据产品需要展示、审核或编辑该场景；核心框架不规定界面。</w:t>
      </w:r>
    </w:p>
    <w:p>
      <w:pPr>
        <w:pStyle w:val="ListNumber"/>
      </w:pPr>
      <w:r>
        <w:t>用户继续定义“什么事件发生时，哪个对象以什么规则变化”，形成 Behavior 与 Interaction Binding。</w:t>
      </w:r>
    </w:p>
    <w:p>
      <w:pPr>
        <w:pStyle w:val="ListNumber"/>
      </w:pPr>
      <w:r>
        <w:t>Spatial Runtime 接收输入事件或 SceneCommand，验证后事务执行，并通知渲染器和持久化层。</w:t>
      </w:r>
    </w:p>
    <w:p>
      <w:pPr>
        <w:pStyle w:val="ListNumber"/>
      </w:pPr>
      <w:r>
        <w:t>每次变化产生 revision、事件记录和可回滚快照，场景因此成为持续运行的系统，而非一次性生成结果。</w:t>
      </w:r>
    </w:p>
    <w:p>
      <w:pPr>
        <w:pStyle w:val="Heading1"/>
      </w:pPr>
      <w:r>
        <w:t>3. 产品范围与边界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3888"/>
      </w:tblGrid>
      <w:tr>
        <w:trPr>
          <w:tblHeader w:val="true"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范围层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当前框架必须提供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当前明确不做</w:t>
            </w:r>
          </w:p>
        </w:tc>
      </w:tr>
      <w:tr>
        <w:tc>
          <w:tcPr>
            <w:tcW w:type="dxa" w:w="14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输入</w:t>
            </w:r>
          </w:p>
        </w:tc>
        <w:tc>
          <w:tcPr>
            <w:tcW w:type="dxa" w:w="403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Text / Image / Video 的统一请求协议与元数据</w:t>
            </w:r>
          </w:p>
        </w:tc>
        <w:tc>
          <w:tcPr>
            <w:tcW w:type="dxa" w:w="388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上传页面、素材库 UI、具体鉴权流程</w:t>
            </w:r>
          </w:p>
        </w:tc>
      </w:tr>
      <w:tr>
        <w:tc>
          <w:tcPr>
            <w:tcW w:type="dxa" w:w="144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生成</w:t>
            </w:r>
          </w:p>
        </w:tc>
        <w:tc>
          <w:tcPr>
            <w:tcW w:type="dxa" w:w="403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Provider 注册、能力匹配、进度事件、结果规范化</w:t>
            </w:r>
          </w:p>
        </w:tc>
        <w:tc>
          <w:tcPr>
            <w:tcW w:type="dxa" w:w="388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绑定唯一模型、现场等待某个供应商完成</w:t>
            </w:r>
          </w:p>
        </w:tc>
      </w:tr>
      <w:tr>
        <w:tc>
          <w:tcPr>
            <w:tcW w:type="dxa" w:w="14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场景</w:t>
            </w:r>
          </w:p>
        </w:tc>
        <w:tc>
          <w:tcPr>
            <w:tcW w:type="dxa" w:w="403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通用资产、实体、组件、环境、行为和交互绑定</w:t>
            </w:r>
          </w:p>
        </w:tc>
        <w:tc>
          <w:tcPr>
            <w:tcW w:type="dxa" w:w="388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房间专用 Slot、装修风格、固定物件类型</w:t>
            </w:r>
          </w:p>
        </w:tc>
      </w:tr>
      <w:tr>
        <w:tc>
          <w:tcPr>
            <w:tcW w:type="dxa" w:w="144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运行</w:t>
            </w:r>
          </w:p>
        </w:tc>
        <w:tc>
          <w:tcPr>
            <w:tcW w:type="dxa" w:w="403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命令白名单、事务、revision、undo/redo、事件订阅</w:t>
            </w:r>
          </w:p>
        </w:tc>
        <w:tc>
          <w:tcPr>
            <w:tcW w:type="dxa" w:w="388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完整编辑器、动画时间轴、多人协作 UI</w:t>
            </w:r>
          </w:p>
        </w:tc>
      </w:tr>
      <w:tr>
        <w:tc>
          <w:tcPr>
            <w:tcW w:type="dxa" w:w="14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扩展</w:t>
            </w:r>
          </w:p>
        </w:tc>
        <w:tc>
          <w:tcPr>
            <w:tcW w:type="dxa" w:w="403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Renderer / Persistence / Provider Adapter 契约</w:t>
            </w:r>
          </w:p>
        </w:tc>
        <w:tc>
          <w:tcPr>
            <w:tcW w:type="dxa" w:w="388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预先决定 React、Three.js、Unity 或部署平台</w:t>
            </w:r>
          </w:p>
        </w:tc>
      </w:tr>
    </w:tbl>
    <w:p>
      <w:pPr>
        <w:spacing w:after="0"/>
      </w:pPr>
    </w:p>
    <w:p>
      <w:pPr>
        <w:pStyle w:val="Heading1"/>
      </w:pPr>
      <w:r>
        <w:t>4. 多模态场景生成管线</w:t>
      </w:r>
    </w:p>
    <w:p>
      <w:pPr>
        <w:pStyle w:val="Heading2"/>
      </w:pPr>
      <w:r>
        <w:t>4.1 输入模型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3456"/>
        <w:gridCol w:w="4320"/>
      </w:tblGrid>
      <w:tr>
        <w:trPr>
          <w:tblHeader w:val="true"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典型信息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生成系统应提取</w:t>
            </w:r>
          </w:p>
        </w:tc>
      </w:tr>
      <w:tr>
        <w:tc>
          <w:tcPr>
            <w:tcW w:type="dxa" w:w="158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文字</w:t>
            </w:r>
          </w:p>
        </w:tc>
        <w:tc>
          <w:tcPr>
            <w:tcW w:type="dxa" w:w="345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空间描述、叙事、用途、风格、交互要求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场景规划、对象清单、关系、行为意图</w:t>
            </w:r>
          </w:p>
        </w:tc>
      </w:tr>
      <w:tr>
        <w:tc>
          <w:tcPr>
            <w:tcW w:type="dxa" w:w="158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图片</w:t>
            </w:r>
          </w:p>
        </w:tc>
        <w:tc>
          <w:tcPr>
            <w:tcW w:type="dxa" w:w="345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外观、构图、材质、单视角空间线索</w:t>
            </w:r>
          </w:p>
        </w:tc>
        <w:tc>
          <w:tcPr>
            <w:tcW w:type="dxa" w:w="432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视觉约束、资产参考、相机和布局假设</w:t>
            </w:r>
          </w:p>
        </w:tc>
      </w:tr>
      <w:tr>
        <w:tc>
          <w:tcPr>
            <w:tcW w:type="dxa" w:w="158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视频</w:t>
            </w:r>
          </w:p>
        </w:tc>
        <w:tc>
          <w:tcPr>
            <w:tcW w:type="dxa" w:w="345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多视角、运动、真实环境、时间变化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几何重建、轨迹、动态对象、时序线索</w:t>
            </w:r>
          </w:p>
        </w:tc>
      </w:tr>
      <w:tr>
        <w:tc>
          <w:tcPr>
            <w:tcW w:type="dxa" w:w="158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组合输入</w:t>
            </w:r>
          </w:p>
        </w:tc>
        <w:tc>
          <w:tcPr>
            <w:tcW w:type="dxa" w:w="345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例如视频重建 + 文字修改 + 图片风格参考</w:t>
            </w:r>
          </w:p>
        </w:tc>
        <w:tc>
          <w:tcPr>
            <w:tcW w:type="dxa" w:w="432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来源优先级、冲突处理、可追溯约束</w:t>
            </w:r>
          </w:p>
        </w:tc>
      </w:tr>
    </w:tbl>
    <w:p>
      <w:pPr>
        <w:spacing w:after="0"/>
      </w:pPr>
    </w:p>
    <w:p>
      <w:pPr>
        <w:pStyle w:val="Heading2"/>
      </w:pPr>
      <w:r>
        <w:t>4.2 Generation Pipeline</w:t>
      </w:r>
    </w:p>
    <w:p>
      <w:pPr>
        <w:pStyle w:val="ListNumber"/>
      </w:pPr>
      <w:r>
        <w:t>Validate：校验来源类型、URI、文本内容、质量档位与约束。</w:t>
      </w:r>
    </w:p>
    <w:p>
      <w:pPr>
        <w:pStyle w:val="ListNumber"/>
      </w:pPr>
      <w:r>
        <w:t>Resolve：按 providerId 或 supports(request) 选择生成服务。</w:t>
      </w:r>
    </w:p>
    <w:p>
      <w:pPr>
        <w:pStyle w:val="ListNumber"/>
      </w:pPr>
      <w:r>
        <w:t>Generate：提交异步或同步任务，并输出 accepted / generating / normalizing / complete 进度事件。</w:t>
      </w:r>
    </w:p>
    <w:p>
      <w:pPr>
        <w:pStyle w:val="ListNumber"/>
      </w:pPr>
      <w:r>
        <w:t>Normalize：把供应商输出、资产 URL 和元数据转换为 Scene Manifest。</w:t>
      </w:r>
    </w:p>
    <w:p>
      <w:pPr>
        <w:pStyle w:val="ListNumber"/>
      </w:pPr>
      <w:r>
        <w:t>Persist：缓存长期资产，保存来源、Provider、任务 ID 和版本证据。</w:t>
      </w:r>
    </w:p>
    <w:p>
      <w:pPr>
        <w:pStyle w:val="ListNumber"/>
      </w:pPr>
      <w:r>
        <w:t>Return：向应用层返回独立于供应商的场景对象。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AF3F5"/>
            <w:tcBorders>
              <w:start w:val="single" w:sz="16" w:color="1AA6B7"/>
              <w:top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24F"/>
                <w:sz w:val="21"/>
              </w:rPr>
              <w:t xml:space="preserve">关键边界  </w:t>
            </w:r>
            <w:r>
              <w:rPr>
                <w:rFonts w:ascii="Calibri" w:hAnsi="Calibri" w:eastAsia="Calibri"/>
                <w:color w:val="263238"/>
                <w:sz w:val="21"/>
              </w:rPr>
              <w:t>生成服务可以改变，但 GenerationRequest 与 Scene Manifest 必须稳定；临时下载 URL、供应商私有字段和 API Key 不得泄漏到核心场景协议。</w:t>
            </w:r>
          </w:p>
        </w:tc>
      </w:tr>
    </w:tbl>
    <w:p>
      <w:pPr>
        <w:spacing w:after="0"/>
      </w:pPr>
    </w:p>
    <w:p>
      <w:pPr>
        <w:pStyle w:val="Heading1"/>
      </w:pPr>
      <w:r>
        <w:t>5. 通用 Scene Manifest</w:t>
      </w:r>
    </w:p>
    <w:p>
      <w:pPr/>
      <w:r>
        <w:t>Scene Manifest 是生成系统与运行系统之间的稳定契约。它描述场景“是什么”，不描述页面“怎么画”。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4392"/>
        <w:gridCol w:w="2880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392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约束</w:t>
            </w:r>
          </w:p>
        </w:tc>
      </w:tr>
      <w:tr>
        <w:tc>
          <w:tcPr>
            <w:tcW w:type="dxa" w:w="208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schemaVersion / sceneId / revision</w:t>
            </w:r>
          </w:p>
        </w:tc>
        <w:tc>
          <w:tcPr>
            <w:tcW w:type="dxa" w:w="439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协议版本、场景身份、状态版本</w:t>
            </w:r>
          </w:p>
        </w:tc>
        <w:tc>
          <w:tcPr>
            <w:tcW w:type="dxa" w:w="288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必须稳定、可迁移、可并发检查</w:t>
            </w:r>
          </w:p>
        </w:tc>
      </w:tr>
      <w:tr>
        <w:tc>
          <w:tcPr>
            <w:tcW w:type="dxa" w:w="208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coordinateSystem</w:t>
            </w:r>
          </w:p>
        </w:tc>
        <w:tc>
          <w:tcPr>
            <w:tcW w:type="dxa" w:w="439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单位、上轴、左右手坐标系</w:t>
            </w:r>
          </w:p>
        </w:tc>
        <w:tc>
          <w:tcPr>
            <w:tcW w:type="dxa" w:w="288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Provider 与 Renderer 必须显式转换</w:t>
            </w:r>
          </w:p>
        </w:tc>
      </w:tr>
      <w:tr>
        <w:tc>
          <w:tcPr>
            <w:tcW w:type="dxa" w:w="208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sourceRefs</w:t>
            </w:r>
          </w:p>
        </w:tc>
        <w:tc>
          <w:tcPr>
            <w:tcW w:type="dxa" w:w="439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文字、图片、视频来源</w:t>
            </w:r>
          </w:p>
        </w:tc>
        <w:tc>
          <w:tcPr>
            <w:tcW w:type="dxa" w:w="288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支持追溯与再生成</w:t>
            </w:r>
          </w:p>
        </w:tc>
      </w:tr>
      <w:tr>
        <w:tc>
          <w:tcPr>
            <w:tcW w:type="dxa" w:w="208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assets</w:t>
            </w:r>
          </w:p>
        </w:tc>
        <w:tc>
          <w:tcPr>
            <w:tcW w:type="dxa" w:w="439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Splat、Mesh、Texture、Material、Audio、Video、Data</w:t>
            </w:r>
          </w:p>
        </w:tc>
        <w:tc>
          <w:tcPr>
            <w:tcW w:type="dxa" w:w="288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资产身份与 URI 独立于实体</w:t>
            </w:r>
          </w:p>
        </w:tc>
      </w:tr>
      <w:tr>
        <w:tc>
          <w:tcPr>
            <w:tcW w:type="dxa" w:w="208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entities</w:t>
            </w:r>
          </w:p>
        </w:tc>
        <w:tc>
          <w:tcPr>
            <w:tcW w:type="dxa" w:w="439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场景中的语义对象或空间节点</w:t>
            </w:r>
          </w:p>
        </w:tc>
        <w:tc>
          <w:tcPr>
            <w:tcW w:type="dxa" w:w="288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通过组件组合能力，不使用固定物件枚举</w:t>
            </w:r>
          </w:p>
        </w:tc>
      </w:tr>
      <w:tr>
        <w:tc>
          <w:tcPr>
            <w:tcW w:type="dxa" w:w="208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behaviors</w:t>
            </w:r>
          </w:p>
        </w:tc>
        <w:tc>
          <w:tcPr>
            <w:tcW w:type="dxa" w:w="439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可触发的行为定义与 Handler</w:t>
            </w:r>
          </w:p>
        </w:tc>
        <w:tc>
          <w:tcPr>
            <w:tcW w:type="dxa" w:w="288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只引用注册处理器，不存任意脚本</w:t>
            </w:r>
          </w:p>
        </w:tc>
      </w:tr>
      <w:tr>
        <w:tc>
          <w:tcPr>
            <w:tcW w:type="dxa" w:w="208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interactions</w:t>
            </w:r>
          </w:p>
        </w:tc>
        <w:tc>
          <w:tcPr>
            <w:tcW w:type="dxa" w:w="439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输入事件到 Behavior 的绑定</w:t>
            </w:r>
          </w:p>
        </w:tc>
        <w:tc>
          <w:tcPr>
            <w:tcW w:type="dxa" w:w="288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输入设备与具体 UI 解耦</w:t>
            </w:r>
          </w:p>
        </w:tc>
      </w:tr>
      <w:tr>
        <w:tc>
          <w:tcPr>
            <w:tcW w:type="dxa" w:w="208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environment / metadata</w:t>
            </w:r>
          </w:p>
        </w:tc>
        <w:tc>
          <w:tcPr>
            <w:tcW w:type="dxa" w:w="439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全局环境属性和扩展信息</w:t>
            </w:r>
          </w:p>
        </w:tc>
        <w:tc>
          <w:tcPr>
            <w:tcW w:type="dxa" w:w="288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保持可扩展、命名空间化</w:t>
            </w:r>
          </w:p>
        </w:tc>
      </w:tr>
    </w:tbl>
    <w:p>
      <w:pPr>
        <w:spacing w:after="0"/>
      </w:pPr>
    </w:p>
    <w:p>
      <w:pPr>
        <w:pStyle w:val="Heading2"/>
      </w:pPr>
      <w:r>
        <w:t>5.1 资产与实体分离</w:t>
      </w:r>
    </w:p>
    <w:p>
      <w:pPr/>
      <w:r>
        <w:t>资产是可复用的二进制或数据资源；实体是运行时中的语义身份。一个实体可以引用多个资产，同一资产也可以被多个实体实例化。3DGS、NeRF、Mesh、点云和视频平面都只是 Asset kind，不应成为产品结构的唯一中心。</w:t>
      </w:r>
    </w:p>
    <w:p>
      <w:pPr>
        <w:pStyle w:val="Heading2"/>
      </w:pPr>
      <w:r>
        <w:t>5.2 组件化能力</w:t>
      </w:r>
    </w:p>
    <w:p>
      <w:pPr/>
      <w:r>
        <w:t>实体通过 components 获得可选能力，例如物理、可选择性、媒体播放、状态、语义属性、动画参数或业务数据。核心框架只保存并转发组件数据；解释这些组件的是相应 Runtime Extension 或 Renderer Adapter。</w:t>
      </w:r>
    </w:p>
    <w:p>
      <w:pPr>
        <w:pStyle w:val="Heading1"/>
      </w:pPr>
      <w:r>
        <w:t>6. 交互、行为与持续变化</w:t>
      </w:r>
    </w:p>
    <w:p>
      <w:pPr>
        <w:pStyle w:val="Heading2"/>
      </w:pPr>
      <w:r>
        <w:t>6.1 统一输入事件</w:t>
      </w:r>
    </w:p>
    <w:p>
      <w:pPr/>
      <w:r>
        <w:t>鼠标、触控、手势、语音、键盘、传感器、时间、网络消息和 AI 指令都应先由应用层转换为统一事件。核心运行时只处理 inputType、eventType、payload 和上下文，不内置任何设备。</w:t>
      </w:r>
    </w:p>
    <w:p>
      <w:pPr>
        <w:pStyle w:val="Heading2"/>
      </w:pPr>
      <w:r>
        <w:t>6.2 Behavior 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4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trigger</w:t>
            </w:r>
          </w:p>
        </w:tc>
        <w:tc>
          <w:tcPr>
            <w:tcW w:type="dxa" w:w="69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事件类型和来源，例如 activate、time.elapsed、sensor.changed</w:t>
            </w:r>
          </w:p>
        </w:tc>
      </w:tr>
      <w:tr>
        <w:tc>
          <w:tcPr>
            <w:tcW w:type="dxa" w:w="244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handler</w:t>
            </w:r>
          </w:p>
        </w:tc>
        <w:tc>
          <w:tcPr>
            <w:tcW w:type="dxa" w:w="691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已注册的处理器名称，而不是可直接执行的 JavaScript</w:t>
            </w:r>
          </w:p>
        </w:tc>
      </w:tr>
      <w:tr>
        <w:tc>
          <w:tcPr>
            <w:tcW w:type="dxa" w:w="244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targetEntityIds</w:t>
            </w:r>
          </w:p>
        </w:tc>
        <w:tc>
          <w:tcPr>
            <w:tcW w:type="dxa" w:w="69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行为影响的一个或多个实体</w:t>
            </w:r>
          </w:p>
        </w:tc>
      </w:tr>
      <w:tr>
        <w:tc>
          <w:tcPr>
            <w:tcW w:type="dxa" w:w="244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config</w:t>
            </w:r>
          </w:p>
        </w:tc>
        <w:tc>
          <w:tcPr>
            <w:tcW w:type="dxa" w:w="691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处理器需要的参数、约束、阈值与业务规则</w:t>
            </w:r>
          </w:p>
        </w:tc>
      </w:tr>
      <w:tr>
        <w:tc>
          <w:tcPr>
            <w:tcW w:type="dxa" w:w="244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Interaction Binding</w:t>
            </w:r>
          </w:p>
        </w:tc>
        <w:tc>
          <w:tcPr>
            <w:tcW w:type="dxa" w:w="69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把某类输入事件映射到某个 Behavior</w:t>
            </w:r>
          </w:p>
        </w:tc>
      </w:tr>
    </w:tbl>
    <w:p>
      <w:pPr>
        <w:spacing w:after="0"/>
      </w:pPr>
    </w:p>
    <w:p>
      <w:pPr>
        <w:pStyle w:val="Heading2"/>
      </w:pPr>
      <w:r>
        <w:t>6.3 通用 SceneCommand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当前核心命令</w:t>
            </w:r>
          </w:p>
        </w:tc>
      </w:tr>
      <w:tr>
        <w:tc>
          <w:tcPr>
            <w:tcW w:type="dxa" w:w="244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实体</w:t>
            </w:r>
          </w:p>
        </w:tc>
        <w:tc>
          <w:tcPr>
            <w:tcW w:type="dxa" w:w="69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ADD_ENTITY、REMOVE_ENTITY、SET_TRANSFORM</w:t>
            </w:r>
          </w:p>
        </w:tc>
      </w:tr>
      <w:tr>
        <w:tc>
          <w:tcPr>
            <w:tcW w:type="dxa" w:w="244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组件</w:t>
            </w:r>
          </w:p>
        </w:tc>
        <w:tc>
          <w:tcPr>
            <w:tcW w:type="dxa" w:w="691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SET_COMPONENT、REMOVE_COMPONENT</w:t>
            </w:r>
          </w:p>
        </w:tc>
      </w:tr>
      <w:tr>
        <w:tc>
          <w:tcPr>
            <w:tcW w:type="dxa" w:w="244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资产</w:t>
            </w:r>
          </w:p>
        </w:tc>
        <w:tc>
          <w:tcPr>
            <w:tcW w:type="dxa" w:w="69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ATTACH_ASSET、DETACH_ASSET</w:t>
            </w:r>
          </w:p>
        </w:tc>
      </w:tr>
      <w:tr>
        <w:tc>
          <w:tcPr>
            <w:tcW w:type="dxa" w:w="244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行为</w:t>
            </w:r>
          </w:p>
        </w:tc>
        <w:tc>
          <w:tcPr>
            <w:tcW w:type="dxa" w:w="691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ADD_BEHAVIOR、REMOVE_BEHAVIOR、TRIGGER_BEHAVIOR</w:t>
            </w:r>
          </w:p>
        </w:tc>
      </w:tr>
      <w:tr>
        <w:tc>
          <w:tcPr>
            <w:tcW w:type="dxa" w:w="244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环境</w:t>
            </w:r>
          </w:p>
        </w:tc>
        <w:tc>
          <w:tcPr>
            <w:tcW w:type="dxa" w:w="69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SET_ENVIRONMENT_PROPERTY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AF3F5"/>
            <w:tcBorders>
              <w:start w:val="single" w:sz="16" w:color="1AA6B7"/>
              <w:top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24F"/>
                <w:sz w:val="21"/>
              </w:rPr>
              <w:t xml:space="preserve">扩展规则  </w:t>
            </w:r>
            <w:r>
              <w:rPr>
                <w:rFonts w:ascii="Calibri" w:hAnsi="Calibri" w:eastAsia="Calibri"/>
                <w:color w:val="263238"/>
                <w:sz w:val="21"/>
              </w:rPr>
              <w:t>新增命令类型必须先进入 Schema、验证器和测试；业务层不得绕过 Runtime 直接修改渲染对象或持久化状态。</w:t>
            </w:r>
          </w:p>
        </w:tc>
      </w:tr>
    </w:tbl>
    <w:p>
      <w:pPr>
        <w:spacing w:after="0"/>
      </w:pPr>
    </w:p>
    <w:p>
      <w:pPr>
        <w:pStyle w:val="Heading1"/>
      </w:pPr>
      <w:r>
        <w:t>7. AI 在系统中的职责</w:t>
      </w:r>
    </w:p>
    <w:p>
      <w:pPr>
        <w:pStyle w:val="ListBullet"/>
      </w:pPr>
      <w:r>
        <w:t>生成前：理解多模态输入，规划场景、对象、关系和生成任务。</w:t>
      </w:r>
    </w:p>
    <w:p>
      <w:pPr>
        <w:pStyle w:val="ListBullet"/>
      </w:pPr>
      <w:r>
        <w:t>生成后：补充或修正语义实体、组件、行为建议与交互绑定。</w:t>
      </w:r>
    </w:p>
    <w:p>
      <w:pPr>
        <w:pStyle w:val="ListBullet"/>
      </w:pPr>
      <w:r>
        <w:t>运行时：把自然语言意图编译为 CommandEnvelope，读取当前 revision 并引用真实实体。</w:t>
      </w:r>
    </w:p>
    <w:p>
      <w:pPr>
        <w:pStyle w:val="ListBullet"/>
      </w:pPr>
      <w:r>
        <w:t>失败时：解释冲突、缺失资源和不可满足约束，返回可选替代方案。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AF3F5"/>
            <w:tcBorders>
              <w:start w:val="single" w:sz="16" w:color="1AA6B7"/>
              <w:top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24F"/>
                <w:sz w:val="21"/>
              </w:rPr>
              <w:t xml:space="preserve">不可越过的边界  </w:t>
            </w:r>
            <w:r>
              <w:rPr>
                <w:rFonts w:ascii="Calibri" w:hAnsi="Calibri" w:eastAsia="Calibri"/>
                <w:color w:val="263238"/>
                <w:sz w:val="21"/>
              </w:rPr>
              <w:t>AI 不直接执行任意 JavaScript，不逐帧控制渲染器，也不绕过 Provider、Manifest、Command Schema 或 revision 检查。</w:t>
            </w:r>
          </w:p>
        </w:tc>
      </w:tr>
    </w:tbl>
    <w:p>
      <w:pPr>
        <w:spacing w:after="0"/>
      </w:pPr>
    </w:p>
    <w:p>
      <w:pPr>
        <w:pStyle w:val="Heading1"/>
      </w:pPr>
      <w:r>
        <w:t>8. 系统架构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  <w:tcBorders>
              <w:top w:val="single" w:sz="6" w:color="CBD5DA"/>
              <w:bottom w:val="single" w:sz="6" w:color="CBD5DA"/>
              <w:start w:val="single" w:sz="6" w:color="CBD5DA"/>
              <w:end w:val="single" w:sz="6" w:color="CBD5DA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6"/>
              </w:rPr>
              <w:t>Text / Image / Video</w:t>
              <w:br/>
              <w:t xml:space="preserve">        ↓</w:t>
              <w:br/>
              <w:t>GenerationRequest → GenerationPipeline → Provider Adapter(s)</w:t>
              <w:br/>
              <w:t xml:space="preserve">        ↓                                  ↓</w:t>
              <w:br/>
              <w:t>ProviderResult ───────────────→ Manifest Normalizer</w:t>
              <w:br/>
              <w:t xml:space="preserve">        ↓</w:t>
              <w:br/>
              <w:t>SceneManifest ← Persistence Adapter</w:t>
              <w:br/>
              <w:t xml:space="preserve">        ↓</w:t>
              <w:br/>
              <w:t>SpatialRuntime ← SceneCommand / Interaction Event / Behavior Trigger</w:t>
              <w:br/>
              <w:t xml:space="preserve">        ↓</w:t>
              <w:br/>
              <w:t>Change Events → Renderer Adapter / App Layer / Audit Log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2592"/>
      </w:tblGrid>
      <w:tr>
        <w:trPr>
          <w:tblHeader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核心职责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是否绑定实现</w:t>
            </w:r>
          </w:p>
        </w:tc>
      </w:tr>
      <w:tr>
        <w:tc>
          <w:tcPr>
            <w:tcW w:type="dxa" w:w="18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Input Contract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统一多模态来源和生成约束</w:t>
            </w:r>
          </w:p>
        </w:tc>
        <w:tc>
          <w:tcPr>
            <w:tcW w:type="dxa" w:w="259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否</w:t>
            </w:r>
          </w:p>
        </w:tc>
      </w:tr>
      <w:tr>
        <w:tc>
          <w:tcPr>
            <w:tcW w:type="dxa" w:w="180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Generation Pipeline</w:t>
            </w:r>
          </w:p>
        </w:tc>
        <w:tc>
          <w:tcPr>
            <w:tcW w:type="dxa" w:w="496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Provider 选择、任务执行、进度和规范化</w:t>
            </w:r>
          </w:p>
        </w:tc>
        <w:tc>
          <w:tcPr>
            <w:tcW w:type="dxa" w:w="259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否</w:t>
            </w:r>
          </w:p>
        </w:tc>
      </w:tr>
      <w:tr>
        <w:tc>
          <w:tcPr>
            <w:tcW w:type="dxa" w:w="18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Scene Model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资产、实体、组件、行为和环境</w:t>
            </w:r>
          </w:p>
        </w:tc>
        <w:tc>
          <w:tcPr>
            <w:tcW w:type="dxa" w:w="259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否</w:t>
            </w:r>
          </w:p>
        </w:tc>
      </w:tr>
      <w:tr>
        <w:tc>
          <w:tcPr>
            <w:tcW w:type="dxa" w:w="180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Spatial Runtime</w:t>
            </w:r>
          </w:p>
        </w:tc>
        <w:tc>
          <w:tcPr>
            <w:tcW w:type="dxa" w:w="496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命令事务、行为触发、revision、历史和事件</w:t>
            </w:r>
          </w:p>
        </w:tc>
        <w:tc>
          <w:tcPr>
            <w:tcW w:type="dxa" w:w="259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否</w:t>
            </w:r>
          </w:p>
        </w:tc>
      </w:tr>
      <w:tr>
        <w:tc>
          <w:tcPr>
            <w:tcW w:type="dxa" w:w="18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Adapters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生成服务、渲染器、持久化和外部事件桥接</w:t>
            </w:r>
          </w:p>
        </w:tc>
        <w:tc>
          <w:tcPr>
            <w:tcW w:type="dxa" w:w="259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由应用选择</w:t>
            </w:r>
          </w:p>
        </w:tc>
      </w:tr>
      <w:tr>
        <w:tc>
          <w:tcPr>
            <w:tcW w:type="dxa" w:w="180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Application</w:t>
            </w:r>
          </w:p>
        </w:tc>
        <w:tc>
          <w:tcPr>
            <w:tcW w:type="dxa" w:w="496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页面、编辑器、设备输入、业务流程</w:t>
            </w:r>
          </w:p>
        </w:tc>
        <w:tc>
          <w:tcPr>
            <w:tcW w:type="dxa" w:w="259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不属于当前核心框架</w:t>
            </w:r>
          </w:p>
        </w:tc>
      </w:tr>
    </w:tbl>
    <w:p>
      <w:pPr>
        <w:spacing w:after="0"/>
      </w:pPr>
    </w:p>
    <w:p>
      <w:pPr>
        <w:pStyle w:val="Heading1"/>
      </w:pPr>
      <w:r>
        <w:t>9. Provider 与渲染器接入策略</w:t>
      </w:r>
    </w:p>
    <w:p>
      <w:pPr>
        <w:pStyle w:val="Heading2"/>
      </w:pPr>
      <w:r>
        <w:t>9.1 Generation Provider</w:t>
      </w:r>
    </w:p>
    <w:p>
      <w:pPr/>
      <w:r>
        <w:t>每个 Provider 至少实现 id、supports(request) 和 generate(request, context)。它可以代表 Aholo、Lux3D、其他重建模型、文本生成世界模型或团队自建服务。Provider 可以返回同步结果，也可以在内部轮询异步任务；对核心管线只暴露统一进度与最终 Manifest。</w:t>
      </w:r>
    </w:p>
    <w:p>
      <w:pPr>
        <w:pStyle w:val="Heading2"/>
      </w:pPr>
      <w:r>
        <w:t>9.2 Aholo / Lux3D 的正确位置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3600"/>
        <w:gridCol w:w="3456"/>
      </w:tblGrid>
      <w:tr>
        <w:trPr>
          <w:tblHeader w:val="true"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可能用途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在架构中的位置</w:t>
            </w:r>
          </w:p>
        </w:tc>
      </w:tr>
      <w:tr>
        <w:tc>
          <w:tcPr>
            <w:tcW w:type="dxa" w:w="230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Aholo Reality / World</w:t>
            </w:r>
          </w:p>
        </w:tc>
        <w:tc>
          <w:tcPr>
            <w:tcW w:type="dxa" w:w="36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从视频或图片重建真实场景、输出 3DGS 等资产</w:t>
            </w:r>
          </w:p>
        </w:tc>
        <w:tc>
          <w:tcPr>
            <w:tcW w:type="dxa" w:w="345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Generation Provider Adapter</w:t>
            </w:r>
          </w:p>
        </w:tc>
      </w:tr>
      <w:tr>
        <w:tc>
          <w:tcPr>
            <w:tcW w:type="dxa" w:w="230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Lux3D</w:t>
            </w:r>
          </w:p>
        </w:tc>
        <w:tc>
          <w:tcPr>
            <w:tcW w:type="dxa" w:w="360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从图片或文字生成独立 3D 资产</w:t>
            </w:r>
          </w:p>
        </w:tc>
        <w:tc>
          <w:tcPr>
            <w:tcW w:type="dxa" w:w="345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资产级 Generation Provider Adapter</w:t>
            </w:r>
          </w:p>
        </w:tc>
      </w:tr>
      <w:tr>
        <w:tc>
          <w:tcPr>
            <w:tcW w:type="dxa" w:w="230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其他模型</w:t>
            </w:r>
          </w:p>
        </w:tc>
        <w:tc>
          <w:tcPr>
            <w:tcW w:type="dxa" w:w="360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文本生成场景、语义解析、材质或动画生成</w:t>
            </w:r>
          </w:p>
        </w:tc>
        <w:tc>
          <w:tcPr>
            <w:tcW w:type="dxa" w:w="345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并列 Provider 或 Pipeline 子任务</w:t>
            </w:r>
          </w:p>
        </w:tc>
      </w:tr>
    </w:tbl>
    <w:p>
      <w:pPr>
        <w:spacing w:after="0"/>
      </w:pPr>
    </w:p>
    <w:p>
      <w:pPr/>
      <w:r>
        <w:t>这些服务是能力来源，不是产品定义。更换、组合或移除任何一个 Provider，都不应导致 Scene Manifest、Runtime 或应用数据模型重写。</w:t>
      </w:r>
    </w:p>
    <w:p>
      <w:pPr>
        <w:pStyle w:val="Heading2"/>
      </w:pPr>
      <w:r>
        <w:t>9.3 Renderer Adapter</w:t>
      </w:r>
    </w:p>
    <w:p>
      <w:pPr/>
      <w:r>
        <w:t>Renderer Adapter 负责 initialize、loadManifest、applyChanges 和 dispose。它可以映射到 Web 3D、游戏引擎、XR、移动端或云渲染。核心框架不依赖 Three.js，也不包含相机、光标、控制面板或材质 UI。</w:t>
      </w:r>
    </w:p>
    <w:p>
      <w:pPr>
        <w:pStyle w:val="Heading1"/>
      </w:pPr>
      <w:r>
        <w:t>10. Spatial Runtime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7272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08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事务</w:t>
            </w:r>
          </w:p>
        </w:tc>
        <w:tc>
          <w:tcPr>
            <w:tcW w:type="dxa" w:w="727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一批命令全部验证通过后才提交；任一命令失败则场景不变</w:t>
            </w:r>
          </w:p>
        </w:tc>
      </w:tr>
      <w:tr>
        <w:tc>
          <w:tcPr>
            <w:tcW w:type="dxa" w:w="208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revision</w:t>
            </w:r>
          </w:p>
        </w:tc>
        <w:tc>
          <w:tcPr>
            <w:tcW w:type="dxa" w:w="727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每次提交生成新 revision；baseRevision 用于发现并发冲突</w:t>
            </w:r>
          </w:p>
        </w:tc>
      </w:tr>
      <w:tr>
        <w:tc>
          <w:tcPr>
            <w:tcW w:type="dxa" w:w="208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history</w:t>
            </w:r>
          </w:p>
        </w:tc>
        <w:tc>
          <w:tcPr>
            <w:tcW w:type="dxa" w:w="727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保存有限数量快照，支持 undo / redo</w:t>
            </w:r>
          </w:p>
        </w:tc>
      </w:tr>
      <w:tr>
        <w:tc>
          <w:tcPr>
            <w:tcW w:type="dxa" w:w="208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behavior</w:t>
            </w:r>
          </w:p>
        </w:tc>
        <w:tc>
          <w:tcPr>
            <w:tcW w:type="dxa" w:w="727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通过 BehaviorRegistry 执行已注册 Handler，返回受限命令</w:t>
            </w:r>
          </w:p>
        </w:tc>
      </w:tr>
      <w:tr>
        <w:tc>
          <w:tcPr>
            <w:tcW w:type="dxa" w:w="208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event</w:t>
            </w:r>
          </w:p>
        </w:tc>
        <w:tc>
          <w:tcPr>
            <w:tcW w:type="dxa" w:w="727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向渲染器、持久化、审计和应用层发布结构化变更</w:t>
            </w:r>
          </w:p>
        </w:tc>
      </w:tr>
      <w:tr>
        <w:tc>
          <w:tcPr>
            <w:tcW w:type="dxa" w:w="208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adapter failure</w:t>
            </w:r>
          </w:p>
        </w:tc>
        <w:tc>
          <w:tcPr>
            <w:tcW w:type="dxa" w:w="727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外部适配器失败必须可观测；生产实现需定义重试和一致性策略</w:t>
            </w:r>
          </w:p>
        </w:tc>
      </w:tr>
    </w:tbl>
    <w:p>
      <w:pPr>
        <w:spacing w:after="0"/>
      </w:pPr>
    </w:p>
    <w:p>
      <w:pPr>
        <w:pStyle w:val="Heading1"/>
      </w:pPr>
      <w:r>
        <w:t>11. 当前核心代码框架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  <w:tcBorders>
              <w:top w:val="single" w:sz="6" w:color="CBD5DA"/>
              <w:bottom w:val="single" w:sz="6" w:color="CBD5DA"/>
              <w:start w:val="single" w:sz="6" w:color="CBD5DA"/>
              <w:end w:val="single" w:sz="6" w:color="CBD5DA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6"/>
              </w:rPr>
              <w:t>src/</w:t>
              <w:br/>
              <w:t xml:space="preserve">  schema/</w:t>
              <w:br/>
              <w:t xml:space="preserve">    generation.schema.js</w:t>
              <w:br/>
              <w:t xml:space="preserve">    sceneManifest.schema.js</w:t>
              <w:br/>
              <w:t xml:space="preserve">    sceneCommand.schema.js</w:t>
              <w:br/>
              <w:t xml:space="preserve">  generation/</w:t>
              <w:br/>
              <w:t xml:space="preserve">    ProviderRegistry.js</w:t>
              <w:br/>
              <w:t xml:space="preserve">    GenerationPipeline.js</w:t>
              <w:br/>
              <w:t xml:space="preserve">  runtime/</w:t>
              <w:br/>
              <w:t xml:space="preserve">    SpatialRuntime.js</w:t>
              <w:br/>
              <w:t xml:space="preserve">  behavior/</w:t>
              <w:br/>
              <w:t xml:space="preserve">    BehaviorRegistry.js</w:t>
              <w:br/>
              <w:t xml:space="preserve">  adapters/</w:t>
              <w:br/>
              <w:t xml:space="preserve">    RendererAdapter.js</w:t>
              <w:br/>
              <w:t xml:space="preserve">    PersistenceAdapter.js</w:t>
              <w:br/>
              <w:t xml:space="preserve">  errors/</w:t>
              <w:br/>
              <w:t xml:space="preserve">    FrameworkError.js</w:t>
              <w:br/>
              <w:t xml:space="preserve">  index.js</w:t>
              <w:br/>
              <w:t>scripts/</w:t>
              <w:br/>
              <w:t xml:space="preserve">  check-framework.mjs</w:t>
            </w:r>
          </w:p>
        </w:tc>
      </w:tr>
    </w:tbl>
    <w:p>
      <w:pPr>
        <w:spacing w:after="0"/>
      </w:pPr>
    </w:p>
    <w:p>
      <w:pPr>
        <w:pStyle w:val="Heading2"/>
      </w:pPr>
      <w:r>
        <w:t>11.1 模块职责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rPr>
          <w:tblHeader w:val="true"/>
        </w:trPr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6624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73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schema</w:t>
            </w:r>
          </w:p>
        </w:tc>
        <w:tc>
          <w:tcPr>
            <w:tcW w:type="dxa" w:w="662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稳定协议、默认值、引用完整性和命令白名单</w:t>
            </w:r>
          </w:p>
        </w:tc>
      </w:tr>
      <w:tr>
        <w:tc>
          <w:tcPr>
            <w:tcW w:type="dxa" w:w="273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generation</w:t>
            </w:r>
          </w:p>
        </w:tc>
        <w:tc>
          <w:tcPr>
            <w:tcW w:type="dxa" w:w="662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Provider 注册、能力匹配、进度、规范化与持久化钩子</w:t>
            </w:r>
          </w:p>
        </w:tc>
      </w:tr>
      <w:tr>
        <w:tc>
          <w:tcPr>
            <w:tcW w:type="dxa" w:w="273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runtime</w:t>
            </w:r>
          </w:p>
        </w:tc>
        <w:tc>
          <w:tcPr>
            <w:tcW w:type="dxa" w:w="662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场景事务、行为展开、revision、事件和历史</w:t>
            </w:r>
          </w:p>
        </w:tc>
      </w:tr>
      <w:tr>
        <w:tc>
          <w:tcPr>
            <w:tcW w:type="dxa" w:w="273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behavior</w:t>
            </w:r>
          </w:p>
        </w:tc>
        <w:tc>
          <w:tcPr>
            <w:tcW w:type="dxa" w:w="662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用户定义行为的 Handler 注册与执行</w:t>
            </w:r>
          </w:p>
        </w:tc>
      </w:tr>
      <w:tr>
        <w:tc>
          <w:tcPr>
            <w:tcW w:type="dxa" w:w="273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adapters</w:t>
            </w:r>
          </w:p>
        </w:tc>
        <w:tc>
          <w:tcPr>
            <w:tcW w:type="dxa" w:w="662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渲染器和存储的最小抽象契约</w:t>
            </w:r>
          </w:p>
        </w:tc>
      </w:tr>
      <w:tr>
        <w:tc>
          <w:tcPr>
            <w:tcW w:type="dxa" w:w="273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application（未来）</w:t>
            </w:r>
          </w:p>
        </w:tc>
        <w:tc>
          <w:tcPr>
            <w:tcW w:type="dxa" w:w="662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UI、编辑器、设备输入、业务规则和部署；当前不存在</w:t>
            </w:r>
          </w:p>
        </w:tc>
      </w:tr>
    </w:tbl>
    <w:p>
      <w:pPr>
        <w:spacing w:after="0"/>
      </w:pPr>
    </w:p>
    <w:p>
      <w:pPr>
        <w:pStyle w:val="Heading1"/>
      </w:pPr>
      <w:r>
        <w:t>12. 协议示例</w:t>
      </w:r>
    </w:p>
    <w:p>
      <w:pPr>
        <w:pStyle w:val="Heading2"/>
      </w:pPr>
      <w:r>
        <w:t>12.1 GenerationRequest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  <w:tcBorders>
              <w:top w:val="single" w:sz="6" w:color="CBD5DA"/>
              <w:bottom w:val="single" w:sz="6" w:color="CBD5DA"/>
              <w:start w:val="single" w:sz="6" w:color="CBD5DA"/>
              <w:end w:val="single" w:sz="6" w:color="CBD5DA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6"/>
              </w:rPr>
              <w:t>{</w:t>
              <w:br/>
              <w:t xml:space="preserve">  "requestId": "request-001",</w:t>
              <w:br/>
              <w:t xml:space="preserve">  "sources": [</w:t>
              <w:br/>
              <w:t xml:space="preserve">    {"id": "prompt", "type": "text", "content": "生成一个可响应声音的真实场景"},</w:t>
              <w:br/>
              <w:t xml:space="preserve">    {"id": "reference", "type": "image", "uri": "storage://reference.png"},</w:t>
              <w:br/>
              <w:t xml:space="preserve">    {"id": "capture", "type": "video", "uri": "storage://capture.mp4"}</w:t>
              <w:br/>
              <w:t xml:space="preserve">  ],</w:t>
              <w:br/>
              <w:t xml:space="preserve">  "quality": "standard",</w:t>
              <w:br/>
              <w:t xml:space="preserve">  "requirements": {"interactive": true}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12.2 SceneManifest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  <w:tcBorders>
              <w:top w:val="single" w:sz="6" w:color="CBD5DA"/>
              <w:bottom w:val="single" w:sz="6" w:color="CBD5DA"/>
              <w:start w:val="single" w:sz="6" w:color="CBD5DA"/>
              <w:end w:val="single" w:sz="6" w:color="CBD5DA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6"/>
              </w:rPr>
              <w:t>{</w:t>
              <w:br/>
              <w:t xml:space="preserve">  "schemaVersion": "1.0",</w:t>
              <w:br/>
              <w:t xml:space="preserve">  "sceneId": "generated-scene-001",</w:t>
              <w:br/>
              <w:t xml:space="preserve">  "revision": 0,</w:t>
              <w:br/>
              <w:t xml:space="preserve">  "assets": [{"id": "asset-001", "kind": "mesh", "uri": "storage://asset.glb"}],</w:t>
              <w:br/>
              <w:t xml:space="preserve">  "entities": [{</w:t>
              <w:br/>
              <w:t xml:space="preserve">    "id": "entity-001",</w:t>
              <w:br/>
              <w:t xml:space="preserve">    "kind": "generated-object",</w:t>
              <w:br/>
              <w:t xml:space="preserve">    "assetRefs": ["asset-001"],</w:t>
              <w:br/>
              <w:t xml:space="preserve">    "components": {"semantic": {"label": "generated element"}},</w:t>
              <w:br/>
              <w:t xml:space="preserve">    "interactive": true</w:t>
              <w:br/>
              <w:t xml:space="preserve">  }],</w:t>
              <w:br/>
              <w:t xml:space="preserve">  "behaviors": [],</w:t>
              <w:br/>
              <w:t xml:space="preserve">  "interactions": [],</w:t>
              <w:br/>
              <w:t xml:space="preserve">  "environment": {}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12.3 CommandEnvelope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  <w:tcBorders>
              <w:top w:val="single" w:sz="6" w:color="CBD5DA"/>
              <w:bottom w:val="single" w:sz="6" w:color="CBD5DA"/>
              <w:start w:val="single" w:sz="6" w:color="CBD5DA"/>
              <w:end w:val="single" w:sz="6" w:color="CBD5DA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6"/>
              </w:rPr>
              <w:t>{</w:t>
              <w:br/>
              <w:t xml:space="preserve">  "commandId": "command-001",</w:t>
              <w:br/>
              <w:t xml:space="preserve">  "baseRevision": 0,</w:t>
              <w:br/>
              <w:t xml:space="preserve">  "commands": [{</w:t>
              <w:br/>
              <w:t xml:space="preserve">    "type": "SET_COMPONENT",</w:t>
              <w:br/>
              <w:t xml:space="preserve">    "entityId": "entity-001",</w:t>
              <w:br/>
              <w:t xml:space="preserve">    "component": "customState",</w:t>
              <w:br/>
              <w:t xml:space="preserve">    "value": {"active": true}</w:t>
              <w:br/>
              <w:t xml:space="preserve">  }],</w:t>
              <w:br/>
              <w:t xml:space="preserve">  "explanation": "更新实体的用户定义状态",</w:t>
              <w:br/>
              <w:t xml:space="preserve">  "requiresConfirmation":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13. 48 小时 / 首阶段交付范围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4896"/>
        <w:gridCol w:w="3312"/>
      </w:tblGrid>
      <w:tr>
        <w:trPr>
          <w:tblHeader w:val="true"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验收方式</w:t>
            </w:r>
          </w:p>
        </w:tc>
      </w:tr>
      <w:tr>
        <w:tc>
          <w:tcPr>
            <w:tcW w:type="dxa" w:w="115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P0</w:t>
            </w:r>
          </w:p>
        </w:tc>
        <w:tc>
          <w:tcPr>
            <w:tcW w:type="dxa" w:w="489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Text / Image / Video GenerationRequest Schema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三类输入均通过测试并可组合</w:t>
            </w:r>
          </w:p>
        </w:tc>
      </w:tr>
      <w:tr>
        <w:tc>
          <w:tcPr>
            <w:tcW w:type="dxa" w:w="115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P0</w:t>
            </w:r>
          </w:p>
        </w:tc>
        <w:tc>
          <w:tcPr>
            <w:tcW w:type="dxa" w:w="489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通用 Scene Manifest 与引用完整性校验</w:t>
            </w:r>
          </w:p>
        </w:tc>
        <w:tc>
          <w:tcPr>
            <w:tcW w:type="dxa" w:w="331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缺失资产、父实体、行为引用被拒绝</w:t>
            </w:r>
          </w:p>
        </w:tc>
      </w:tr>
      <w:tr>
        <w:tc>
          <w:tcPr>
            <w:tcW w:type="dxa" w:w="115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P0</w:t>
            </w:r>
          </w:p>
        </w:tc>
        <w:tc>
          <w:tcPr>
            <w:tcW w:type="dxa" w:w="489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SceneCommand 与 CommandEnvelope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命令仅修改通用实体、组件、资产、行为和环境</w:t>
            </w:r>
          </w:p>
        </w:tc>
      </w:tr>
      <w:tr>
        <w:tc>
          <w:tcPr>
            <w:tcW w:type="dxa" w:w="115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P0</w:t>
            </w:r>
          </w:p>
        </w:tc>
        <w:tc>
          <w:tcPr>
            <w:tcW w:type="dxa" w:w="489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Spatial Runtime</w:t>
            </w:r>
          </w:p>
        </w:tc>
        <w:tc>
          <w:tcPr>
            <w:tcW w:type="dxa" w:w="331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事务、revision、undo/redo、事件订阅可测试</w:t>
            </w:r>
          </w:p>
        </w:tc>
      </w:tr>
      <w:tr>
        <w:tc>
          <w:tcPr>
            <w:tcW w:type="dxa" w:w="115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P0</w:t>
            </w:r>
          </w:p>
        </w:tc>
        <w:tc>
          <w:tcPr>
            <w:tcW w:type="dxa" w:w="489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Provider / Behavior Registry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Fake Provider 与自定义 Behavior 可替换</w:t>
            </w:r>
          </w:p>
        </w:tc>
      </w:tr>
      <w:tr>
        <w:tc>
          <w:tcPr>
            <w:tcW w:type="dxa" w:w="115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P1</w:t>
            </w:r>
          </w:p>
        </w:tc>
        <w:tc>
          <w:tcPr>
            <w:tcW w:type="dxa" w:w="489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Renderer / Persistence Adapter 契约</w:t>
            </w:r>
          </w:p>
        </w:tc>
        <w:tc>
          <w:tcPr>
            <w:tcW w:type="dxa" w:w="331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不依赖具体引擎或数据库</w:t>
            </w:r>
          </w:p>
        </w:tc>
      </w:tr>
      <w:tr>
        <w:tc>
          <w:tcPr>
            <w:tcW w:type="dxa" w:w="115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不做</w:t>
            </w:r>
          </w:p>
        </w:tc>
        <w:tc>
          <w:tcPr>
            <w:tcW w:type="dxa" w:w="489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完整前端、示例客厅、行业专用交互、真实模型接入</w:t>
            </w:r>
          </w:p>
        </w:tc>
        <w:tc>
          <w:tcPr>
            <w:tcW w:type="dxa" w:w="331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待产品与技术选型明确后再进入应用层</w:t>
            </w:r>
          </w:p>
        </w:tc>
      </w:tr>
    </w:tbl>
    <w:p>
      <w:pPr>
        <w:spacing w:after="0"/>
      </w:pPr>
    </w:p>
    <w:p>
      <w:pPr>
        <w:pStyle w:val="Heading1"/>
      </w:pPr>
      <w:r>
        <w:t>14. 应用案例，而非产品边界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4320"/>
      </w:tblGrid>
      <w:tr>
        <w:trPr>
          <w:tblHeader w:val="true"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应用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输入示例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生成后的持续能力</w:t>
            </w:r>
          </w:p>
        </w:tc>
      </w:tr>
      <w:tr>
        <w:tc>
          <w:tcPr>
            <w:tcW w:type="dxa" w:w="165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商业看房</w:t>
            </w:r>
          </w:p>
        </w:tc>
        <w:tc>
          <w:tcPr>
            <w:tcW w:type="dxa" w:w="338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房源视频、户型图、装修描述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切换方案、查看对象、保存偏好、远程协作</w:t>
            </w:r>
          </w:p>
        </w:tc>
      </w:tr>
      <w:tr>
        <w:tc>
          <w:tcPr>
            <w:tcW w:type="dxa" w:w="165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展览与文旅</w:t>
            </w:r>
          </w:p>
        </w:tc>
        <w:tc>
          <w:tcPr>
            <w:tcW w:type="dxa" w:w="338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展厅图片、展品素材、策展文本</w:t>
            </w:r>
          </w:p>
        </w:tc>
        <w:tc>
          <w:tcPr>
            <w:tcW w:type="dxa" w:w="432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导览、热点、叙事路径、内容更新</w:t>
            </w:r>
          </w:p>
        </w:tc>
      </w:tr>
      <w:tr>
        <w:tc>
          <w:tcPr>
            <w:tcW w:type="dxa" w:w="165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培训与仿真</w:t>
            </w:r>
          </w:p>
        </w:tc>
        <w:tc>
          <w:tcPr>
            <w:tcW w:type="dxa" w:w="338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现场视频、SOP、设备资料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步骤触发、故障演练、考核与反馈</w:t>
            </w:r>
          </w:p>
        </w:tc>
      </w:tr>
      <w:tr>
        <w:tc>
          <w:tcPr>
            <w:tcW w:type="dxa" w:w="165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零售与品牌</w:t>
            </w:r>
          </w:p>
        </w:tc>
        <w:tc>
          <w:tcPr>
            <w:tcW w:type="dxa" w:w="338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门店扫描、商品图、活动脚本</w:t>
            </w:r>
          </w:p>
        </w:tc>
        <w:tc>
          <w:tcPr>
            <w:tcW w:type="dxa" w:w="432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陈列替换、商品交互、营销事件</w:t>
            </w:r>
          </w:p>
        </w:tc>
      </w:tr>
      <w:tr>
        <w:tc>
          <w:tcPr>
            <w:tcW w:type="dxa" w:w="165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影视与游戏预演</w:t>
            </w:r>
          </w:p>
        </w:tc>
        <w:tc>
          <w:tcPr>
            <w:tcW w:type="dxa" w:w="338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概念图、分镜、文字设定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镜头、角色行为、场景版本和协作</w:t>
            </w:r>
          </w:p>
        </w:tc>
      </w:tr>
      <w:tr>
        <w:tc>
          <w:tcPr>
            <w:tcW w:type="dxa" w:w="165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数字孪生</w:t>
            </w:r>
          </w:p>
        </w:tc>
        <w:tc>
          <w:tcPr>
            <w:tcW w:type="dxa" w:w="338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扫描数据、BIM、传感器视频</w:t>
            </w:r>
          </w:p>
        </w:tc>
        <w:tc>
          <w:tcPr>
            <w:tcW w:type="dxa" w:w="432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状态映射、告警、远程操作和历史回放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AF3F5"/>
            <w:tcBorders>
              <w:start w:val="single" w:sz="16" w:color="1AA6B7"/>
              <w:top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24F"/>
                <w:sz w:val="21"/>
              </w:rPr>
              <w:t xml:space="preserve">定位说明  </w:t>
            </w:r>
            <w:r>
              <w:rPr>
                <w:rFonts w:ascii="Calibri" w:hAnsi="Calibri" w:eastAsia="Calibri"/>
                <w:color w:val="263238"/>
                <w:sz w:val="21"/>
              </w:rPr>
              <w:t>看房可以作为首个商业验证，但它与其他案例处于同一应用层，不能把房间、装修或家居模型写进核心 Schema。</w:t>
            </w:r>
          </w:p>
        </w:tc>
      </w:tr>
    </w:tbl>
    <w:p>
      <w:pPr>
        <w:spacing w:after="0"/>
      </w:pPr>
    </w:p>
    <w:p>
      <w:pPr>
        <w:pStyle w:val="Heading1"/>
      </w:pPr>
      <w:r>
        <w:t>15. 后续路线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4464"/>
      </w:tblGrid>
      <w:tr>
        <w:trPr>
          <w:tblHeader w:val="true"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关键产物</w:t>
            </w:r>
          </w:p>
        </w:tc>
      </w:tr>
      <w:tr>
        <w:tc>
          <w:tcPr>
            <w:tcW w:type="dxa" w:w="14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Core</w:t>
            </w:r>
          </w:p>
        </w:tc>
        <w:tc>
          <w:tcPr>
            <w:tcW w:type="dxa" w:w="345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稳定通用协议与运行时</w:t>
            </w:r>
          </w:p>
        </w:tc>
        <w:tc>
          <w:tcPr>
            <w:tcW w:type="dxa" w:w="446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Schemas、Runtime、Registries、Adapters、Tests</w:t>
            </w:r>
          </w:p>
        </w:tc>
      </w:tr>
      <w:tr>
        <w:tc>
          <w:tcPr>
            <w:tcW w:type="dxa" w:w="144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Provider Pilot</w:t>
            </w:r>
          </w:p>
        </w:tc>
        <w:tc>
          <w:tcPr>
            <w:tcW w:type="dxa" w:w="345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接入一条真实生成链路</w:t>
            </w:r>
          </w:p>
        </w:tc>
        <w:tc>
          <w:tcPr>
            <w:tcW w:type="dxa" w:w="446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Provider Adapter、资产缓存、Manifest Normalizer</w:t>
            </w:r>
          </w:p>
        </w:tc>
      </w:tr>
      <w:tr>
        <w:tc>
          <w:tcPr>
            <w:tcW w:type="dxa" w:w="14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Renderer Pilot</w:t>
            </w:r>
          </w:p>
        </w:tc>
        <w:tc>
          <w:tcPr>
            <w:tcW w:type="dxa" w:w="345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选择一个渲染器验证变更映射</w:t>
            </w:r>
          </w:p>
        </w:tc>
        <w:tc>
          <w:tcPr>
            <w:tcW w:type="dxa" w:w="446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Renderer Adapter，不承诺最终 UI</w:t>
            </w:r>
          </w:p>
        </w:tc>
      </w:tr>
      <w:tr>
        <w:tc>
          <w:tcPr>
            <w:tcW w:type="dxa" w:w="144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Authoring</w:t>
            </w:r>
          </w:p>
        </w:tc>
        <w:tc>
          <w:tcPr>
            <w:tcW w:type="dxa" w:w="3456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允许用户定义行为与交互</w:t>
            </w:r>
          </w:p>
        </w:tc>
        <w:tc>
          <w:tcPr>
            <w:tcW w:type="dxa" w:w="4464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Behavior 模板、命令编译、校验与版本</w:t>
            </w:r>
          </w:p>
        </w:tc>
      </w:tr>
      <w:tr>
        <w:tc>
          <w:tcPr>
            <w:tcW w:type="dxa" w:w="14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Application</w:t>
            </w:r>
          </w:p>
        </w:tc>
        <w:tc>
          <w:tcPr>
            <w:tcW w:type="dxa" w:w="3456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选择一个业务案例验证市场</w:t>
            </w:r>
          </w:p>
        </w:tc>
        <w:tc>
          <w:tcPr>
            <w:tcW w:type="dxa" w:w="4464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独立应用层、页面、业务数据与指标</w:t>
            </w:r>
          </w:p>
        </w:tc>
      </w:tr>
    </w:tbl>
    <w:p>
      <w:pPr>
        <w:spacing w:after="0"/>
      </w:pPr>
    </w:p>
    <w:p>
      <w:pPr>
        <w:pStyle w:val="Heading1"/>
      </w:pPr>
      <w:r>
        <w:t>16. 风险与应对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592"/>
        <w:gridCol w:w="4320"/>
      </w:tblGrid>
      <w:tr>
        <w:trPr>
          <w:tblHeader w:val="true"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shd w:fill="16324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44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生成服务输出差异大</w:t>
            </w:r>
          </w:p>
        </w:tc>
        <w:tc>
          <w:tcPr>
            <w:tcW w:type="dxa" w:w="259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Manifest 难以稳定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Provider 私有字段隔离在 Normalizer；建立兼容性测试</w:t>
            </w:r>
          </w:p>
        </w:tc>
      </w:tr>
      <w:tr>
        <w:tc>
          <w:tcPr>
            <w:tcW w:type="dxa" w:w="244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真实场景与可交互实体不一致</w:t>
            </w:r>
          </w:p>
        </w:tc>
        <w:tc>
          <w:tcPr>
            <w:tcW w:type="dxa" w:w="259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无法可靠操作</w:t>
            </w:r>
          </w:p>
        </w:tc>
        <w:tc>
          <w:tcPr>
            <w:tcW w:type="dxa" w:w="432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允许多种资产表示并显式记录语义/代理/来源</w:t>
            </w:r>
          </w:p>
        </w:tc>
      </w:tr>
      <w:tr>
        <w:tc>
          <w:tcPr>
            <w:tcW w:type="dxa" w:w="244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行为定义变成任意脚本</w:t>
            </w:r>
          </w:p>
        </w:tc>
        <w:tc>
          <w:tcPr>
            <w:tcW w:type="dxa" w:w="259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安全与可复现性失控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只注册 Handler，只执行白名单命令</w:t>
            </w:r>
          </w:p>
        </w:tc>
      </w:tr>
      <w:tr>
        <w:tc>
          <w:tcPr>
            <w:tcW w:type="dxa" w:w="244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前端过早决定核心结构</w:t>
            </w:r>
          </w:p>
        </w:tc>
        <w:tc>
          <w:tcPr>
            <w:tcW w:type="dxa" w:w="259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框架被单一 Demo 锁死</w:t>
            </w:r>
          </w:p>
        </w:tc>
        <w:tc>
          <w:tcPr>
            <w:tcW w:type="dxa" w:w="432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核心包无 UI、无渲染依赖；应用层单独建设</w:t>
            </w:r>
          </w:p>
        </w:tc>
      </w:tr>
      <w:tr>
        <w:tc>
          <w:tcPr>
            <w:tcW w:type="dxa" w:w="244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Provider URL 与密钥泄漏</w:t>
            </w:r>
          </w:p>
        </w:tc>
        <w:tc>
          <w:tcPr>
            <w:tcW w:type="dxa" w:w="259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安全与资产失效</w:t>
            </w:r>
          </w:p>
        </w:tc>
        <w:tc>
          <w:tcPr>
            <w:tcW w:type="dxa" w:w="432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服务端适配器、受控存储、短期 URL 立即缓存</w:t>
            </w:r>
          </w:p>
        </w:tc>
      </w:tr>
      <w:tr>
        <w:tc>
          <w:tcPr>
            <w:tcW w:type="dxa" w:w="2448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并发修改覆盖</w:t>
            </w:r>
          </w:p>
        </w:tc>
        <w:tc>
          <w:tcPr>
            <w:tcW w:type="dxa" w:w="2592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用户变化丢失</w:t>
            </w:r>
          </w:p>
        </w:tc>
        <w:tc>
          <w:tcPr>
            <w:tcW w:type="dxa" w:w="4320"/>
            <w:shd w:fill="F7F9FA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63238"/>
                <w:sz w:val="18"/>
              </w:rPr>
              <w:t>baseRevision、冲突错误、后续引入合并策略</w:t>
            </w:r>
          </w:p>
        </w:tc>
      </w:tr>
    </w:tbl>
    <w:p>
      <w:pPr>
        <w:spacing w:after="0"/>
      </w:pPr>
    </w:p>
    <w:p>
      <w:pPr>
        <w:pStyle w:val="Heading1"/>
      </w:pPr>
      <w:r>
        <w:t>17. 给下一位 AI / 开发者的直接指令</w:t>
      </w:r>
    </w:p>
    <w:p>
      <w:pPr>
        <w:pStyle w:val="ListNumber"/>
      </w:pPr>
      <w:r>
        <w:t>先运行 pnpm test 与 pnpm check，确认纯核心框架基线。</w:t>
      </w:r>
    </w:p>
    <w:p>
      <w:pPr>
        <w:pStyle w:val="ListNumber"/>
      </w:pPr>
      <w:r>
        <w:t>不得新增 React 页面、控制面板、房间模型或固定交互来代替框架工作。</w:t>
      </w:r>
    </w:p>
    <w:p>
      <w:pPr>
        <w:pStyle w:val="ListNumber"/>
      </w:pPr>
      <w:r>
        <w:t>新增能力时先判断它属于核心协议、Provider、Renderer、Persistence、Behavior 还是未来 Application。</w:t>
      </w:r>
    </w:p>
    <w:p>
      <w:pPr>
        <w:pStyle w:val="ListNumber"/>
      </w:pPr>
      <w:r>
        <w:t>任何场景专用字段都应进入 namespaced component 或应用层，不进入基础 Entity 枚举。</w:t>
      </w:r>
    </w:p>
    <w:p>
      <w:pPr>
        <w:pStyle w:val="ListNumber"/>
      </w:pPr>
      <w:r>
        <w:t>先用 Fake Provider 验证 Text / Image / Video 契约，再选择一个真实生成服务实现 Adapter。</w:t>
      </w:r>
    </w:p>
    <w:p>
      <w:pPr>
        <w:pStyle w:val="ListNumber"/>
      </w:pPr>
      <w:r>
        <w:t>真实 Provider 结果必须经 Manifest Normalizer，不得把临时 URL 或供应商响应直接传给应用。</w:t>
      </w:r>
    </w:p>
    <w:p>
      <w:pPr>
        <w:pStyle w:val="ListNumber"/>
      </w:pPr>
      <w:r>
        <w:t>渲染验证应实现 Renderer Adapter，不修改 SpatialRuntime 以迎合某个引擎。</w:t>
      </w:r>
    </w:p>
    <w:p>
      <w:pPr>
        <w:pStyle w:val="ListNumber"/>
      </w:pPr>
      <w:r>
        <w:t>AI 输出只接受 CommandEnvelope；所有命令必须通过 Schema、引用完整性和 revision 校验。</w:t>
      </w:r>
    </w:p>
    <w:p>
      <w:pPr>
        <w:pStyle w:val="Heading1"/>
      </w:pPr>
      <w:r>
        <w:t>18. Definition of Done</w:t>
      </w:r>
    </w:p>
    <w:p>
      <w:pPr>
        <w:pStyle w:val="ListBullet"/>
      </w:pPr>
      <w:r>
        <w:t>核心包不依赖 React、Three.js、Zustand、具体摄像头或生成服务 SDK。</w:t>
      </w:r>
    </w:p>
    <w:p>
      <w:pPr>
        <w:pStyle w:val="ListBullet"/>
      </w:pPr>
      <w:r>
        <w:t>文字、图片、视频三类输入均能通过统一 GenerationPipeline 测试。</w:t>
      </w:r>
    </w:p>
    <w:p>
      <w:pPr>
        <w:pStyle w:val="ListBullet"/>
      </w:pPr>
      <w:r>
        <w:t>Scene Manifest 不包含房间、装修、花瓶、灯光预设等领域硬编码。</w:t>
      </w:r>
    </w:p>
    <w:p>
      <w:pPr>
        <w:pStyle w:val="ListBullet"/>
      </w:pPr>
      <w:r>
        <w:t>运行时能事务执行通用命令，并支持 revision、undo/redo 和事件订阅。</w:t>
      </w:r>
    </w:p>
    <w:p>
      <w:pPr>
        <w:pStyle w:val="ListBullet"/>
      </w:pPr>
      <w:r>
        <w:t>用户定义 Behavior 能通过已注册 Handler 产生受限命令。</w:t>
      </w:r>
    </w:p>
    <w:p>
      <w:pPr>
        <w:pStyle w:val="ListBullet"/>
      </w:pPr>
      <w:r>
        <w:t>Provider、Renderer 和 Persistence 都通过明确 Adapter 契约接入。</w:t>
      </w:r>
    </w:p>
    <w:p>
      <w:pPr>
        <w:pStyle w:val="ListBullet"/>
      </w:pPr>
      <w:r>
        <w:t>README 与提案明确说明：看房只是案例，UI 尚未决定且不在当前交付范围。</w:t>
      </w:r>
    </w:p>
    <w:p>
      <w:pPr>
        <w:pStyle w:val="Heading1"/>
      </w:pPr>
      <w:r>
        <w:t>19. 技术依据与来源</w:t>
      </w:r>
    </w:p>
    <w:p>
      <w:pPr/>
      <w:r>
        <w:t>Aholo Open API 参考：https://labs.aholo3d.cn/api-docs/api-reference</w:t>
      </w:r>
    </w:p>
    <w:p>
      <w:pPr/>
      <w:r>
        <w:t>Aholo World / 3DGS Reconstruction：https://labs.aholo3d.cn/api-docs/skills/aholo-3dgs-reconstruction</w:t>
      </w:r>
    </w:p>
    <w:p>
      <w:pPr/>
      <w:r>
        <w:t>Lux3D：https://labs.aholo3d.cn/api-docs/skills/lux3d</w:t>
      </w:r>
    </w:p>
    <w:p>
      <w:pPr/>
      <w:r>
        <w:t>OpenUSD 官方介绍：https://openusd.org/release/intro.html</w:t>
      </w:r>
    </w:p>
    <w:p>
      <w:pPr/>
      <w:r>
        <w:t>OpenUSD Physics Schema：https://openusd.org/release/api/usd_physics_page_front.html</w:t>
      </w:r>
    </w:p>
    <w:p>
      <w:pPr/>
      <w:r>
        <w:t>资料核对日期：2026-08-27。实际 API、资产格式、配额和授权以实施时官方规范为准。</w:t>
      </w:r>
    </w:p>
    <w:p>
      <w:pPr>
        <w:pStyle w:val="Heading1"/>
      </w:pPr>
      <w:r>
        <w:t>20. 最终判断</w:t>
      </w:r>
    </w:p>
    <w:p>
      <w:pPr/>
      <w:r>
        <w:t>项目的真正差异化不是生成某一种房间，而是把“多模态生成真实 3D 场景”和“场景生成后的持续运行”连接成稳定平台。当前最正确的工程动作，是先稳定输入协议、Scene Manifest、行为模型、命令事务和适配器边界；等这些内核被验证后，再选择生成服务、渲染器、前端形态和首个商业应用。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700"/>
      <w:gridCol w:w="2660"/>
    </w:tblGrid>
    <w:tr>
      <w:tc>
        <w:tcPr>
          <w:tcW w:type="dxa" w:w="670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 w:eastAsia="Microsoft YaHei"/>
              <w:color w:val="78838F"/>
              <w:sz w:val="17"/>
            </w:rPr>
            <w:t>内部提案 · v0.2 · 2026-08-27</w:t>
          </w:r>
        </w:p>
      </w:tc>
      <w:tc>
        <w:tcPr>
          <w:tcW w:type="dxa" w:w="266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color w:val="78838F"/>
              <w:sz w:val="17"/>
            </w:rPr>
            <w:t xml:space="preserve">第 </w:t>
          </w:r>
          <w:r>
            <w:rPr>
              <w:rFonts w:ascii="Calibri" w:hAnsi="Calibri" w:eastAsia="Microsoft YaHei"/>
              <w:color w:val="78838F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 w:eastAsia="Microsoft YaHei"/>
              <w:color w:val="78838F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D6873"/>
        <w:sz w:val="17"/>
      </w:rPr>
      <w:t>SPATIALHOME AI  ·  通用框架提案与开发交接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80"/>
        <w:spacing w:after="80" w:line="290" w:lineRule="auto"/>
      </w:p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80"/>
        <w:spacing w:after="80" w:line="290" w:lineRule="auto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80"/>
        <w:spacing w:after="80" w:line="29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80"/>
        <w:spacing w:after="80" w:line="29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Singularity-Ye/spatial-3d-configurator" TargetMode="External"/><Relationship Id="rId13" Type="http://schemas.openxmlformats.org/officeDocument/2006/relationships/hyperlink" Target="https://labs.aholo3d.cn/api-docs/api-reference" TargetMode="External"/><Relationship Id="rId14" Type="http://schemas.openxmlformats.org/officeDocument/2006/relationships/hyperlink" Target="https://labs.aholo3d.cn/api-docs/skills/aholo-3dgs-reconstruction" TargetMode="External"/><Relationship Id="rId15" Type="http://schemas.openxmlformats.org/officeDocument/2006/relationships/hyperlink" Target="https://labs.aholo3d.cn/api-docs/skills/lux3d" TargetMode="External"/><Relationship Id="rId16" Type="http://schemas.openxmlformats.org/officeDocument/2006/relationships/hyperlink" Target="https://studio.aholo3d.cn/resources/tutorials/3d-model-editing-crop-measure-annotate-3dgs" TargetMode="External"/><Relationship Id="rId17" Type="http://schemas.openxmlformats.org/officeDocument/2006/relationships/hyperlink" Target="https://studio.aholo3d.cn/resources/tutorials/how-to-create-3d-world-ai-spatial-gen" TargetMode="External"/><Relationship Id="rId18" Type="http://schemas.openxmlformats.org/officeDocument/2006/relationships/hyperlink" Target="https://github.com/sparkjsdev/spark" TargetMode="External"/><Relationship Id="rId19" Type="http://schemas.openxmlformats.org/officeDocument/2006/relationships/hyperlink" Target="https://openusd.org/release/intro.html" TargetMode="External"/><Relationship Id="rId20" Type="http://schemas.openxmlformats.org/officeDocument/2006/relationships/hyperlink" Target="https://openusd.org/release/api/usd_physics_page_fro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SpatialHome AI：多模态真实 3D 场景生成与持续运行系统</dc:title>
  <dc:subject>通用产品定义、核心框架、协议设计与开发交接</dc:subject>
  <dc:creator>Project Team</dc:creator>
  <cp:keywords>Aholo, Lux3D, 3DGS, MediaPipe, Three.js, Spatial Runtime, 商业看房</cp:keywords>
  <dc:description>v0.3 corrects the product scope: real-estate viewing is an application example, not the product itself.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