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2C8B" w:rsidRPr="00270DD5" w:rsidRDefault="000F3A41" w:rsidP="004C531E">
      <w:pPr>
        <w:pStyle w:val="RSCM01ReceivedAccepted"/>
      </w:pPr>
      <w:r w:rsidRPr="00270DD5">
        <mc:AlternateContent>
          <mc:Choice Requires="wps">
            <w:drawing>
              <wp:anchor distT="180340" distB="0" distL="114300" distR="114300" simplePos="0" relativeHeight="251662336" behindDoc="1" locked="1" layoutInCell="0" allowOverlap="0" wp14:anchorId="697AF1AC" wp14:editId="2C964467">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rsidR="00611B32" w:rsidRPr="00611B32" w:rsidRDefault="00611B32" w:rsidP="00611B32">
                            <w:pPr>
                              <w:pStyle w:val="RSCF02FootnotestoTitleAuthors"/>
                              <w:rPr>
                                <w:i/>
                              </w:rPr>
                            </w:pPr>
                            <w:r w:rsidRPr="00611B32">
                              <w:rPr>
                                <w:i/>
                              </w:rPr>
                              <w:t>a. Institute of Translational Medicine, Medical College, Yangzhou University, Yangzhou, 225001, PR China</w:t>
                            </w:r>
                          </w:p>
                          <w:p w:rsidR="00611B32" w:rsidRPr="00611B32" w:rsidRDefault="00611B32" w:rsidP="00611B32">
                            <w:pPr>
                              <w:pStyle w:val="RSCF02FootnotestoTitleAuthors"/>
                              <w:rPr>
                                <w:i/>
                              </w:rPr>
                            </w:pPr>
                            <w:r w:rsidRPr="00611B32">
                              <w:rPr>
                                <w:i/>
                              </w:rPr>
                              <w:t>b. Jiangsu Key laboratory of integrated traditional Chinese and Western Medicine for prevention and treatment of Senile Diseases, Yangzhou University, Yangzhou, 225001, PR China</w:t>
                            </w:r>
                          </w:p>
                          <w:p w:rsidR="00611B32" w:rsidRPr="00611B32" w:rsidRDefault="00611B32" w:rsidP="00611B32">
                            <w:pPr>
                              <w:pStyle w:val="RSCF02FootnotestoTitleAuthors"/>
                              <w:rPr>
                                <w:i/>
                              </w:rPr>
                            </w:pPr>
                            <w:r w:rsidRPr="00611B32">
                              <w:rPr>
                                <w:i/>
                              </w:rPr>
                              <w:t>c. Department of Pharmaceutics, Ernest Mario School of Pharmacy, Rutgers, The State University of New Jersey, 160 Frelinghuysen Road, Piscataway, NJ 08854, USA</w:t>
                            </w:r>
                          </w:p>
                          <w:p w:rsidR="00611B32" w:rsidRPr="00611B32" w:rsidRDefault="00611B32" w:rsidP="00611B32">
                            <w:pPr>
                              <w:pStyle w:val="RSCF02FootnotestoTitleAuthors"/>
                              <w:rPr>
                                <w:i/>
                              </w:rPr>
                            </w:pPr>
                            <w:r w:rsidRPr="00611B32">
                              <w:rPr>
                                <w:i/>
                              </w:rPr>
                              <w:t>d. Center for Phytochemical Epigenome Studies, Ernest Mario School of Pharmacy, The State University of New Jersey, Piscataway, NJ 08854, USA.</w:t>
                            </w:r>
                          </w:p>
                          <w:p w:rsidR="00611B32" w:rsidRDefault="00611B32" w:rsidP="00611B32">
                            <w:pPr>
                              <w:pStyle w:val="RSCF02FootnotestoTitleAuthors"/>
                              <w:rPr>
                                <w:i/>
                              </w:rPr>
                            </w:pPr>
                            <w:r w:rsidRPr="00611B32">
                              <w:rPr>
                                <w:i/>
                              </w:rPr>
                              <w:t>e. Graduate Program in Pharmaceutical Sciences, Ernest Mario School of Pharmacy, The State University of New Jersey, Piscataway, NJ 08854, USA.</w:t>
                            </w:r>
                          </w:p>
                          <w:p w:rsidR="00C405FD" w:rsidRDefault="00602105" w:rsidP="00602105">
                            <w:pPr>
                              <w:pStyle w:val="RSCF02FootnotestoTitleAuthors"/>
                            </w:pPr>
                            <w:r w:rsidRPr="00602105">
                              <w:t>#</w:t>
                            </w:r>
                            <w:r>
                              <w:t xml:space="preserve"> </w:t>
                            </w:r>
                            <w:r w:rsidRPr="00602105">
                              <w:t>Equal contribution</w:t>
                            </w:r>
                          </w:p>
                          <w:p w:rsidR="00602105" w:rsidRDefault="00602105" w:rsidP="00602105">
                            <w:pPr>
                              <w:pStyle w:val="RSCF02FootnotestoTitleAuthors"/>
                            </w:pPr>
                            <w:r w:rsidRPr="00602105">
                              <w:t xml:space="preserve">* </w:t>
                            </w:r>
                            <w:r>
                              <w:t>Corresponding author</w:t>
                            </w:r>
                          </w:p>
                          <w:p w:rsidR="006B2660" w:rsidRDefault="006B2660" w:rsidP="00602105">
                            <w:pPr>
                              <w:pStyle w:val="RSCF02FootnotestoTitleAuthors"/>
                            </w:pPr>
                            <w:r w:rsidRPr="006B2660">
                              <w:rPr>
                                <w:b/>
                              </w:rPr>
                              <w:t>Key Words</w:t>
                            </w:r>
                            <w:r w:rsidRPr="006B2660">
                              <w:t>: diabetic nephropathy, Tanshinone IIA, RNA-</w:t>
                            </w:r>
                            <w:proofErr w:type="spellStart"/>
                            <w:r w:rsidRPr="006B2660">
                              <w:t>seq</w:t>
                            </w:r>
                            <w:proofErr w:type="spellEnd"/>
                            <w:r w:rsidRPr="006B2660">
                              <w:t>, methyl-</w:t>
                            </w:r>
                            <w:proofErr w:type="spellStart"/>
                            <w:r w:rsidRPr="006B2660">
                              <w:t>seq</w:t>
                            </w:r>
                            <w:proofErr w:type="spellEnd"/>
                          </w:p>
                          <w:p w:rsidR="006B2660" w:rsidRPr="00241ACD" w:rsidRDefault="006B2660" w:rsidP="00602105">
                            <w:pPr>
                              <w:pStyle w:val="RSCF02FootnotestoTitleAuthors"/>
                            </w:pP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697AF1AC"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" o:allowincell="f" o:allowoverlap="f" stroked="f">
                <o:lock v:ext="edit" aspectratio="t"/>
                <v:textbox style="mso-fit-shape-to-text:t" inset="0,1mm,0,1mm">
                  <w:txbxContent>
                    <w:p w:rsidR="00611B32" w:rsidRPr="00611B32" w:rsidRDefault="00611B32" w:rsidP="00611B32">
                      <w:pPr>
                        <w:pStyle w:val="RSCF02FootnotestoTitleAuthors"/>
                        <w:rPr>
                          <w:i/>
                        </w:rPr>
                      </w:pPr>
                      <w:r w:rsidRPr="00611B32">
                        <w:rPr>
                          <w:i/>
                        </w:rPr>
                        <w:t>a. Institute of Translational Medicine, Medical College, Yangzhou University, Yangzhou, 225001, PR China</w:t>
                      </w:r>
                    </w:p>
                    <w:p w:rsidR="00611B32" w:rsidRPr="00611B32" w:rsidRDefault="00611B32" w:rsidP="00611B32">
                      <w:pPr>
                        <w:pStyle w:val="RSCF02FootnotestoTitleAuthors"/>
                        <w:rPr>
                          <w:i/>
                        </w:rPr>
                      </w:pPr>
                      <w:r w:rsidRPr="00611B32">
                        <w:rPr>
                          <w:i/>
                        </w:rPr>
                        <w:t>b. Jiangsu Key laboratory of integrated traditional Chinese and Western Medicine for prevention and treatment of Senile Diseases, Yangzhou University, Yangzhou, 225001, PR China</w:t>
                      </w:r>
                    </w:p>
                    <w:p w:rsidR="00611B32" w:rsidRPr="00611B32" w:rsidRDefault="00611B32" w:rsidP="00611B32">
                      <w:pPr>
                        <w:pStyle w:val="RSCF02FootnotestoTitleAuthors"/>
                        <w:rPr>
                          <w:i/>
                        </w:rPr>
                      </w:pPr>
                      <w:r w:rsidRPr="00611B32">
                        <w:rPr>
                          <w:i/>
                        </w:rPr>
                        <w:t>c. Department of Pharmaceutics, Ernest Mario School of Pharmacy, Rutgers, The State University of New Jersey, 160 Frelinghuysen Road, Piscataway, NJ 08854, USA</w:t>
                      </w:r>
                    </w:p>
                    <w:p w:rsidR="00611B32" w:rsidRPr="00611B32" w:rsidRDefault="00611B32" w:rsidP="00611B32">
                      <w:pPr>
                        <w:pStyle w:val="RSCF02FootnotestoTitleAuthors"/>
                        <w:rPr>
                          <w:i/>
                        </w:rPr>
                      </w:pPr>
                      <w:r w:rsidRPr="00611B32">
                        <w:rPr>
                          <w:i/>
                        </w:rPr>
                        <w:t>d. Center for Phytochemical Epigenome Studies, Ernest Mario School of Pharmacy, The State University of New Jersey, Piscataway, NJ 08854, USA.</w:t>
                      </w:r>
                    </w:p>
                    <w:p w:rsidR="00611B32" w:rsidRDefault="00611B32" w:rsidP="00611B32">
                      <w:pPr>
                        <w:pStyle w:val="RSCF02FootnotestoTitleAuthors"/>
                        <w:rPr>
                          <w:i/>
                        </w:rPr>
                      </w:pPr>
                      <w:r w:rsidRPr="00611B32">
                        <w:rPr>
                          <w:i/>
                        </w:rPr>
                        <w:t>e. Graduate Program in Pharmaceutical Sciences, Ernest Mario School of Pharmacy, The State University of New Jersey, Piscataway, NJ 08854, USA.</w:t>
                      </w:r>
                    </w:p>
                    <w:p w:rsidR="00C405FD" w:rsidRDefault="00602105" w:rsidP="00602105">
                      <w:pPr>
                        <w:pStyle w:val="RSCF02FootnotestoTitleAuthors"/>
                      </w:pPr>
                      <w:r w:rsidRPr="00602105">
                        <w:t>#</w:t>
                      </w:r>
                      <w:r>
                        <w:t xml:space="preserve"> </w:t>
                      </w:r>
                      <w:r w:rsidRPr="00602105">
                        <w:t>Equal contribution</w:t>
                      </w:r>
                    </w:p>
                    <w:p w:rsidR="00602105" w:rsidRDefault="00602105" w:rsidP="00602105">
                      <w:pPr>
                        <w:pStyle w:val="RSCF02FootnotestoTitleAuthors"/>
                      </w:pPr>
                      <w:r w:rsidRPr="00602105">
                        <w:t xml:space="preserve">* </w:t>
                      </w:r>
                      <w:r>
                        <w:t>Corresponding author</w:t>
                      </w:r>
                    </w:p>
                    <w:p w:rsidR="006B2660" w:rsidRDefault="006B2660" w:rsidP="00602105">
                      <w:pPr>
                        <w:pStyle w:val="RSCF02FootnotestoTitleAuthors"/>
                      </w:pPr>
                      <w:r w:rsidRPr="006B2660">
                        <w:rPr>
                          <w:b/>
                        </w:rPr>
                        <w:t>Key Words</w:t>
                      </w:r>
                      <w:r w:rsidRPr="006B2660">
                        <w:t>: diabetic nephropathy, Tanshinone IIA, RNA-</w:t>
                      </w:r>
                      <w:proofErr w:type="spellStart"/>
                      <w:r w:rsidRPr="006B2660">
                        <w:t>seq</w:t>
                      </w:r>
                      <w:proofErr w:type="spellEnd"/>
                      <w:r w:rsidRPr="006B2660">
                        <w:t>, methyl-</w:t>
                      </w:r>
                      <w:proofErr w:type="spellStart"/>
                      <w:r w:rsidRPr="006B2660">
                        <w:t>seq</w:t>
                      </w:r>
                      <w:proofErr w:type="spellEnd"/>
                    </w:p>
                    <w:p w:rsidR="006B2660" w:rsidRPr="00241ACD" w:rsidRDefault="006B2660" w:rsidP="00602105">
                      <w:pPr>
                        <w:pStyle w:val="RSCF02FootnotestoTitleAuthors"/>
                      </w:pPr>
                    </w:p>
                  </w:txbxContent>
                </v:textbox>
                <w10:wrap type="topAndBottom" anchory="margin"/>
                <w10:anchorlock/>
              </v:shape>
            </w:pict>
          </mc:Fallback>
        </mc:AlternateContent>
      </w:r>
      <w:r w:rsidR="00F62C8B" w:rsidRPr="00270DD5">
        <w:t xml:space="preserve">Received </w:t>
      </w:r>
      <w:r w:rsidR="008F4146">
        <w:t>4</w:t>
      </w:r>
      <w:r w:rsidR="00F62C8B" w:rsidRPr="00270DD5">
        <w:t xml:space="preserve">th </w:t>
      </w:r>
      <w:r w:rsidR="008F4146">
        <w:t>March</w:t>
      </w:r>
      <w:r w:rsidR="00F62C8B" w:rsidRPr="00270DD5">
        <w:t xml:space="preserve"> 20</w:t>
      </w:r>
      <w:r w:rsidR="008F4146">
        <w:t>19</w:t>
      </w:r>
      <w:r w:rsidR="00F62C8B" w:rsidRPr="00270DD5">
        <w:t>,</w:t>
      </w:r>
    </w:p>
    <w:p w:rsidR="00F62C8B" w:rsidRPr="00270DD5" w:rsidRDefault="00F62C8B" w:rsidP="004C531E">
      <w:pPr>
        <w:pStyle w:val="RSCM01ReceivedAccepted"/>
      </w:pPr>
      <w:r w:rsidRPr="00270DD5">
        <w:t>Accepted 00th January 20</w:t>
      </w:r>
      <w:r w:rsidR="00F15F90" w:rsidRPr="00270DD5">
        <w:t>xx</w:t>
      </w:r>
    </w:p>
    <w:p w:rsidR="00F62C8B" w:rsidRPr="00794787" w:rsidRDefault="00F62C8B" w:rsidP="004C531E">
      <w:pPr>
        <w:pStyle w:val="RSCM02DOI"/>
      </w:pPr>
      <w:r w:rsidRPr="00794787">
        <w:t>DOI: 10.1039/x0xx00000x</w:t>
      </w:r>
    </w:p>
    <w:p w:rsidR="00A9649E" w:rsidRPr="00794787" w:rsidRDefault="00A9649E" w:rsidP="004C531E">
      <w:pPr>
        <w:pStyle w:val="RSCM03Website"/>
      </w:pPr>
    </w:p>
    <w:p w:rsidR="004414A5" w:rsidRPr="00C32EDF" w:rsidRDefault="00F62C8B" w:rsidP="00C32EDF">
      <w:pPr>
        <w:pStyle w:val="RSCH01PaperTitle"/>
      </w:pPr>
      <w:r w:rsidRPr="004414A5">
        <w:br w:type="column"/>
      </w:r>
      <w:r w:rsidR="008710F9" w:rsidRPr="008710F9">
        <w:t>DNA methylome and transcriptome alterations in a high-glucose induced diabetic nephropathy cellular model and identification of novel targets for treatment by Tanshinone IIA</w:t>
      </w:r>
      <w:r w:rsidR="004414A5" w:rsidRPr="00C32EDF">
        <w:t xml:space="preserve"> </w:t>
      </w:r>
    </w:p>
    <w:p w:rsidR="002843F3" w:rsidRDefault="002843F3" w:rsidP="00FA2DA2">
      <w:pPr>
        <w:pStyle w:val="RSCB01ARTAbstract"/>
        <w:rPr>
          <w:rFonts w:cs="Times New Roman"/>
          <w:sz w:val="20"/>
        </w:rPr>
      </w:pPr>
      <w:r w:rsidRPr="002843F3">
        <w:rPr>
          <w:rFonts w:cs="Times New Roman"/>
          <w:sz w:val="20"/>
        </w:rPr>
        <w:t xml:space="preserve">Wenji Li </w:t>
      </w:r>
      <w:r w:rsidRPr="00602105">
        <w:rPr>
          <w:rFonts w:cs="Times New Roman"/>
          <w:sz w:val="20"/>
          <w:vertAlign w:val="superscript"/>
        </w:rPr>
        <w:t>#, a,b,c</w:t>
      </w:r>
      <w:r w:rsidRPr="002843F3">
        <w:rPr>
          <w:rFonts w:cs="Times New Roman"/>
          <w:sz w:val="20"/>
        </w:rPr>
        <w:t>, Davit Sargsyan</w:t>
      </w:r>
      <w:r w:rsidRPr="00602105">
        <w:rPr>
          <w:rFonts w:cs="Times New Roman"/>
          <w:sz w:val="20"/>
          <w:vertAlign w:val="superscript"/>
        </w:rPr>
        <w:t>#,c,d,e</w:t>
      </w:r>
      <w:r w:rsidRPr="002843F3">
        <w:rPr>
          <w:rFonts w:cs="Times New Roman"/>
          <w:sz w:val="20"/>
        </w:rPr>
        <w:t>, Renyi Wu</w:t>
      </w:r>
      <w:r w:rsidRPr="00602105">
        <w:rPr>
          <w:rFonts w:cs="Times New Roman"/>
          <w:sz w:val="20"/>
          <w:vertAlign w:val="superscript"/>
        </w:rPr>
        <w:t>c,d</w:t>
      </w:r>
      <w:r w:rsidRPr="002843F3">
        <w:rPr>
          <w:rFonts w:cs="Times New Roman"/>
          <w:sz w:val="20"/>
        </w:rPr>
        <w:t>, Shanyi Li</w:t>
      </w:r>
      <w:r w:rsidRPr="00602105">
        <w:rPr>
          <w:rFonts w:cs="Times New Roman"/>
          <w:sz w:val="20"/>
          <w:vertAlign w:val="superscript"/>
        </w:rPr>
        <w:t>c,d</w:t>
      </w:r>
      <w:r w:rsidRPr="002843F3">
        <w:rPr>
          <w:rFonts w:cs="Times New Roman"/>
          <w:sz w:val="20"/>
        </w:rPr>
        <w:t>, Lujing Wang</w:t>
      </w:r>
      <w:r w:rsidRPr="00602105">
        <w:rPr>
          <w:rFonts w:cs="Times New Roman"/>
          <w:sz w:val="20"/>
          <w:vertAlign w:val="superscript"/>
        </w:rPr>
        <w:t>c,d,e</w:t>
      </w:r>
      <w:r w:rsidRPr="002843F3">
        <w:rPr>
          <w:rFonts w:cs="Times New Roman"/>
          <w:sz w:val="20"/>
        </w:rPr>
        <w:t>, Ah-Ng Kong</w:t>
      </w:r>
      <w:r w:rsidRPr="00602105">
        <w:rPr>
          <w:rFonts w:cs="Times New Roman"/>
          <w:sz w:val="20"/>
          <w:vertAlign w:val="superscript"/>
        </w:rPr>
        <w:t>*c,d</w:t>
      </w:r>
    </w:p>
    <w:p w:rsidR="006B2660" w:rsidRDefault="00C97186" w:rsidP="00C97186">
      <w:pPr>
        <w:pStyle w:val="RSCB04AHeadingSection"/>
        <w:rPr>
          <w:b w:val="0"/>
          <w:noProof/>
          <w:sz w:val="16"/>
          <w:lang w:eastAsia="en-GB"/>
        </w:rPr>
      </w:pPr>
      <w:r w:rsidRPr="00C97186">
        <w:rPr>
          <w:b w:val="0"/>
          <w:noProof/>
          <w:sz w:val="16"/>
          <w:lang w:eastAsia="en-GB"/>
        </w:rPr>
        <w:t>Diabetic nephropathy (DN) is a diabetes complication which comes from overactivation of Renin-Angiotensin System, excessive proinflammatory factors, reactive oxygen species (ROS) overproduction, and epigenetic changes. Tanshinone IIA (TIIA), a diterpene quinone phytochemical has been shown to possess antioxidant, anti-inflammatory, epigenetic effects and protective effects against DN by inhibiting ROS induced by high glucose (HG). However, transcriptomic and epigenomic study of DN and the protective effect of TIIA are lacking.  In this study, next-generation sequencing (NGS) of RNA and DNA methylation profiles on the potential underlying mechanisms of a DN model of mouse kidney mesangial MES13 cells challenged with HG and treated with TIIA were conducted. Bioinformatics analysis coupled with Ingenuity Pathway Analysis (IPA) were performed. 1,780 genes in HG vs. LG and 1,416 genes in TIIA vs. HG comparisons were identified as being differentially expressed. Several pro-inflammatory pathways such as leukotriene biosynthesis and eicosanoid signaling pathways were activated by HG stimulation while TIIA treatment enhanced glutathione-mediated detoxification pathway to potentially overcome the excess oxidative stress and inflammation triggered by HG. Upon combining the results of RNA and DNA sequencing analyses, a short list of DN associated genes (Nmu, Fgl2, Glo, and Kcnip2) was identified suggesting that HG-induced alterations in the expression of these genes were effectively reversed by TIIA treatment. These findings provide novel insights into the understanding of how epigenetic/epigenomic modifications are potentially affecting the progression of DN and the preventive efficacy of TIIA in the protection/treatment against DN</w:t>
      </w:r>
      <w:r w:rsidR="006B2660">
        <w:rPr>
          <w:b w:val="0"/>
          <w:noProof/>
          <w:sz w:val="16"/>
          <w:lang w:eastAsia="en-GB"/>
        </w:rPr>
        <w:t>.</w:t>
      </w:r>
    </w:p>
    <w:p w:rsidR="003725EE" w:rsidRDefault="003725EE" w:rsidP="00C97186">
      <w:pPr>
        <w:pStyle w:val="RSCB04AHeadingSection"/>
        <w:rPr>
          <w:b w:val="0"/>
          <w:noProof/>
          <w:sz w:val="16"/>
          <w:lang w:eastAsia="en-GB"/>
        </w:rPr>
      </w:pPr>
    </w:p>
    <w:p w:rsidR="00C97186" w:rsidRDefault="00C97186" w:rsidP="00FA2DA2">
      <w:pPr>
        <w:pStyle w:val="RSCB06BHeadingSub-Section"/>
        <w:rPr>
          <w:sz w:val="24"/>
        </w:rPr>
      </w:pPr>
      <w:r w:rsidRPr="00C97186">
        <w:rPr>
          <w:sz w:val="24"/>
        </w:rPr>
        <w:t>1. Introduction</w:t>
      </w:r>
    </w:p>
    <w:p w:rsidR="00C97186" w:rsidRPr="00C97186" w:rsidRDefault="00C97186" w:rsidP="00C97186">
      <w:pPr>
        <w:pStyle w:val="RSCB06BHeadingSub-Section"/>
        <w:rPr>
          <w:rFonts w:cs="Times New Roman"/>
          <w:b w:val="0"/>
          <w:w w:val="108"/>
          <w:szCs w:val="18"/>
        </w:rPr>
      </w:pPr>
      <w:r w:rsidRPr="00C97186">
        <w:rPr>
          <w:rFonts w:cs="Times New Roman"/>
          <w:b w:val="0"/>
          <w:w w:val="108"/>
          <w:szCs w:val="18"/>
        </w:rPr>
        <w:t>Diabetic nephropathy (DN) manifested glomerular hyperfiltration and proteinuria in function, and renal hypertrophy, basement membrane thickening, extracellular matrix</w:t>
      </w:r>
      <w:r>
        <w:rPr>
          <w:rFonts w:cs="Times New Roman"/>
          <w:b w:val="0"/>
          <w:w w:val="108"/>
          <w:szCs w:val="18"/>
        </w:rPr>
        <w:t xml:space="preserve"> </w:t>
      </w:r>
      <w:r w:rsidRPr="00C97186">
        <w:rPr>
          <w:rFonts w:cs="Times New Roman"/>
          <w:b w:val="0"/>
          <w:w w:val="108"/>
          <w:szCs w:val="18"/>
        </w:rPr>
        <w:t xml:space="preserve">(ECM) accumulation, glomerulosclerosis, and interstitial fibrosis in histology, and finally developed into renal failure </w:t>
      </w:r>
      <w:r w:rsidRPr="00C97186">
        <w:rPr>
          <w:rFonts w:cs="Times New Roman"/>
          <w:b w:val="0"/>
          <w:w w:val="108"/>
          <w:szCs w:val="18"/>
          <w:vertAlign w:val="superscript"/>
        </w:rPr>
        <w:t>1</w:t>
      </w:r>
      <w:r w:rsidRPr="00C97186">
        <w:rPr>
          <w:rFonts w:cs="Times New Roman"/>
          <w:b w:val="0"/>
          <w:w w:val="108"/>
          <w:szCs w:val="18"/>
        </w:rPr>
        <w:t>. Pathological factors attributes to development of DN were acknowledged to be a complexation of overactivation of Renin-Angiotensin System, excessive proinflammatory factors, reactive oxygen species (ROS) overproduction, and epigenetic changes</w:t>
      </w:r>
      <w:r w:rsidRPr="00C97186">
        <w:rPr>
          <w:rFonts w:cs="Times New Roman"/>
          <w:b w:val="0"/>
          <w:w w:val="108"/>
          <w:szCs w:val="18"/>
          <w:vertAlign w:val="superscript"/>
        </w:rPr>
        <w:t>2-4</w:t>
      </w:r>
      <w:r w:rsidRPr="00C97186">
        <w:rPr>
          <w:rFonts w:cs="Times New Roman"/>
          <w:b w:val="0"/>
          <w:w w:val="108"/>
          <w:szCs w:val="18"/>
        </w:rPr>
        <w:t>.</w:t>
      </w:r>
    </w:p>
    <w:p w:rsidR="00C97186" w:rsidRPr="00C97186" w:rsidRDefault="00C97186" w:rsidP="00C97186">
      <w:pPr>
        <w:pStyle w:val="RSCB06BHeadingSub-Section"/>
        <w:rPr>
          <w:rFonts w:cs="Times New Roman"/>
          <w:b w:val="0"/>
          <w:w w:val="108"/>
          <w:szCs w:val="18"/>
        </w:rPr>
      </w:pPr>
      <w:r w:rsidRPr="00C97186">
        <w:rPr>
          <w:rFonts w:cs="Times New Roman"/>
          <w:b w:val="0"/>
          <w:w w:val="108"/>
          <w:szCs w:val="18"/>
        </w:rPr>
        <w:t xml:space="preserve">Among them, ROS overproduction played an important role in inducing apoptosis and kidney cell damage upon high glucose (HG) stimulations </w:t>
      </w:r>
      <w:r w:rsidRPr="006F4A87">
        <w:rPr>
          <w:rFonts w:cs="Times New Roman"/>
          <w:b w:val="0"/>
          <w:w w:val="108"/>
          <w:szCs w:val="18"/>
          <w:vertAlign w:val="superscript"/>
        </w:rPr>
        <w:t>5, 6</w:t>
      </w:r>
      <w:r w:rsidRPr="00C97186">
        <w:rPr>
          <w:rFonts w:cs="Times New Roman"/>
          <w:b w:val="0"/>
          <w:w w:val="108"/>
          <w:szCs w:val="18"/>
        </w:rPr>
        <w:t xml:space="preserve">. Multiple kidney cells were found to </w:t>
      </w:r>
      <w:r w:rsidRPr="00C97186">
        <w:rPr>
          <w:rFonts w:cs="Times New Roman"/>
          <w:b w:val="0"/>
          <w:w w:val="108"/>
          <w:szCs w:val="18"/>
        </w:rPr>
        <w:lastRenderedPageBreak/>
        <w:t>generate excessive ROS by stimulation of high glucose</w:t>
      </w:r>
      <w:r w:rsidRPr="006F4A87">
        <w:rPr>
          <w:rFonts w:cs="Times New Roman"/>
          <w:b w:val="0"/>
          <w:w w:val="108"/>
          <w:szCs w:val="18"/>
          <w:vertAlign w:val="superscript"/>
        </w:rPr>
        <w:t>7, 8</w:t>
      </w:r>
      <w:r w:rsidRPr="00C97186">
        <w:rPr>
          <w:rFonts w:cs="Times New Roman"/>
          <w:b w:val="0"/>
          <w:w w:val="108"/>
          <w:szCs w:val="18"/>
        </w:rPr>
        <w:t xml:space="preserve">. Overexpression of proinflammatory factors, such as transforming growth factor-β1 (TGF-β1), has proved to be highly associated with ECM accumulation and glomerulosclerosis </w:t>
      </w:r>
      <w:r w:rsidRPr="005615DD">
        <w:rPr>
          <w:rFonts w:cs="Times New Roman"/>
          <w:b w:val="0"/>
          <w:w w:val="108"/>
          <w:szCs w:val="18"/>
          <w:vertAlign w:val="superscript"/>
        </w:rPr>
        <w:t>9</w:t>
      </w:r>
      <w:r w:rsidRPr="00C97186">
        <w:rPr>
          <w:rFonts w:cs="Times New Roman"/>
          <w:b w:val="0"/>
          <w:w w:val="108"/>
          <w:szCs w:val="18"/>
        </w:rPr>
        <w:t xml:space="preserve">. Overactivation of TGF-β1 would induce excessive ROS, which will in turn enhance the level of TGF-β1 and worsen the condition of DN </w:t>
      </w:r>
      <w:r w:rsidRPr="00084527">
        <w:rPr>
          <w:rFonts w:cs="Times New Roman"/>
          <w:b w:val="0"/>
          <w:w w:val="108"/>
          <w:szCs w:val="18"/>
          <w:vertAlign w:val="superscript"/>
        </w:rPr>
        <w:t>10</w:t>
      </w:r>
      <w:r w:rsidRPr="00C97186">
        <w:rPr>
          <w:rFonts w:cs="Times New Roman"/>
          <w:b w:val="0"/>
          <w:w w:val="108"/>
          <w:szCs w:val="18"/>
        </w:rPr>
        <w:t>.</w:t>
      </w:r>
    </w:p>
    <w:p w:rsidR="00C97186" w:rsidRPr="00C97186" w:rsidRDefault="00C97186" w:rsidP="00C97186">
      <w:pPr>
        <w:pStyle w:val="RSCB06BHeadingSub-Section"/>
        <w:rPr>
          <w:rFonts w:cs="Times New Roman"/>
          <w:b w:val="0"/>
          <w:w w:val="108"/>
          <w:szCs w:val="18"/>
        </w:rPr>
      </w:pPr>
      <w:r w:rsidRPr="00C97186">
        <w:rPr>
          <w:rFonts w:cs="Times New Roman"/>
          <w:b w:val="0"/>
          <w:w w:val="108"/>
          <w:szCs w:val="18"/>
        </w:rPr>
        <w:t xml:space="preserve">Nuclear factor erythroid 2-related factor 2 (Nrf2), one of the most important cellular </w:t>
      </w:r>
      <w:proofErr w:type="spellStart"/>
      <w:r w:rsidRPr="00C97186">
        <w:rPr>
          <w:rFonts w:cs="Times New Roman"/>
          <w:b w:val="0"/>
          <w:w w:val="108"/>
          <w:szCs w:val="18"/>
        </w:rPr>
        <w:t>defense</w:t>
      </w:r>
      <w:proofErr w:type="spellEnd"/>
      <w:r w:rsidRPr="00C97186">
        <w:rPr>
          <w:rFonts w:cs="Times New Roman"/>
          <w:b w:val="0"/>
          <w:w w:val="108"/>
          <w:szCs w:val="18"/>
        </w:rPr>
        <w:t xml:space="preserve"> mechanisms with the ability to modulate many phase II detoxifying enzymes by binding to ARE (antioxidant response element) of those genes and maintain cellular redox homeostasis </w:t>
      </w:r>
      <w:r w:rsidRPr="004B7AD6">
        <w:rPr>
          <w:rFonts w:cs="Times New Roman"/>
          <w:b w:val="0"/>
          <w:w w:val="108"/>
          <w:szCs w:val="18"/>
          <w:vertAlign w:val="superscript"/>
        </w:rPr>
        <w:t>11</w:t>
      </w:r>
      <w:r w:rsidRPr="00C97186">
        <w:rPr>
          <w:rFonts w:cs="Times New Roman"/>
          <w:b w:val="0"/>
          <w:w w:val="108"/>
          <w:szCs w:val="18"/>
        </w:rPr>
        <w:t>, has shown to be vital in regulating the antioxidative stress response and is essential for the anti-inflammatory response in many clinical and preclinical studies</w:t>
      </w:r>
      <w:r w:rsidRPr="004B7AD6">
        <w:rPr>
          <w:rFonts w:cs="Times New Roman"/>
          <w:b w:val="0"/>
          <w:w w:val="108"/>
          <w:szCs w:val="18"/>
          <w:vertAlign w:val="superscript"/>
        </w:rPr>
        <w:t>12</w:t>
      </w:r>
      <w:r w:rsidRPr="00C97186">
        <w:rPr>
          <w:rFonts w:cs="Times New Roman"/>
          <w:b w:val="0"/>
          <w:w w:val="108"/>
          <w:szCs w:val="18"/>
        </w:rPr>
        <w:t xml:space="preserve">. Accumulating data suggest that many dietary phytochemicals can induce Nrf2-mediated antioxidant/anti-inflammatory </w:t>
      </w:r>
      <w:proofErr w:type="spellStart"/>
      <w:r w:rsidRPr="00C97186">
        <w:rPr>
          <w:rFonts w:cs="Times New Roman"/>
          <w:b w:val="0"/>
          <w:w w:val="108"/>
          <w:szCs w:val="18"/>
        </w:rPr>
        <w:t>signaling</w:t>
      </w:r>
      <w:proofErr w:type="spellEnd"/>
      <w:r w:rsidRPr="00C97186">
        <w:rPr>
          <w:rFonts w:cs="Times New Roman"/>
          <w:b w:val="0"/>
          <w:w w:val="108"/>
          <w:szCs w:val="18"/>
        </w:rPr>
        <w:t xml:space="preserve"> pathways</w:t>
      </w:r>
      <w:r w:rsidRPr="004B7AD6">
        <w:rPr>
          <w:rFonts w:cs="Times New Roman"/>
          <w:b w:val="0"/>
          <w:w w:val="108"/>
          <w:szCs w:val="18"/>
          <w:vertAlign w:val="superscript"/>
        </w:rPr>
        <w:t>13</w:t>
      </w:r>
      <w:r w:rsidRPr="00C97186">
        <w:rPr>
          <w:rFonts w:cs="Times New Roman"/>
          <w:b w:val="0"/>
          <w:w w:val="108"/>
          <w:szCs w:val="18"/>
        </w:rPr>
        <w:t>. Hence many of them are used for inhibiting DN</w:t>
      </w:r>
      <w:r w:rsidRPr="004B7AD6">
        <w:rPr>
          <w:rFonts w:cs="Times New Roman"/>
          <w:b w:val="0"/>
          <w:w w:val="108"/>
          <w:szCs w:val="18"/>
          <w:vertAlign w:val="superscript"/>
        </w:rPr>
        <w:t>14-16</w:t>
      </w:r>
      <w:r w:rsidRPr="00C97186">
        <w:rPr>
          <w:rFonts w:cs="Times New Roman"/>
          <w:b w:val="0"/>
          <w:w w:val="108"/>
          <w:szCs w:val="18"/>
        </w:rPr>
        <w:t>.</w:t>
      </w:r>
    </w:p>
    <w:p w:rsidR="00C97186" w:rsidRPr="00C97186" w:rsidRDefault="00C97186" w:rsidP="00C97186">
      <w:pPr>
        <w:pStyle w:val="RSCB06BHeadingSub-Section"/>
        <w:rPr>
          <w:rFonts w:cs="Times New Roman"/>
          <w:b w:val="0"/>
          <w:w w:val="108"/>
          <w:szCs w:val="18"/>
        </w:rPr>
      </w:pPr>
      <w:r w:rsidRPr="00C97186">
        <w:rPr>
          <w:rFonts w:cs="Times New Roman"/>
          <w:b w:val="0"/>
          <w:w w:val="108"/>
          <w:szCs w:val="18"/>
        </w:rPr>
        <w:t xml:space="preserve">Tanshinone IIA (TIIA), a diterpene quinone phytochemical isolated from salvia </w:t>
      </w:r>
      <w:proofErr w:type="spellStart"/>
      <w:r w:rsidRPr="00C97186">
        <w:rPr>
          <w:rFonts w:cs="Times New Roman"/>
          <w:b w:val="0"/>
          <w:w w:val="108"/>
          <w:szCs w:val="18"/>
        </w:rPr>
        <w:t>miltiorrhiza</w:t>
      </w:r>
      <w:proofErr w:type="spellEnd"/>
      <w:r w:rsidRPr="00C97186">
        <w:rPr>
          <w:rFonts w:cs="Times New Roman"/>
          <w:b w:val="0"/>
          <w:w w:val="108"/>
          <w:szCs w:val="18"/>
        </w:rPr>
        <w:t xml:space="preserve"> has a long history of application for cardiovascular disease </w:t>
      </w:r>
      <w:r w:rsidRPr="004B7AD6">
        <w:rPr>
          <w:rFonts w:cs="Times New Roman"/>
          <w:b w:val="0"/>
          <w:w w:val="108"/>
          <w:szCs w:val="18"/>
          <w:vertAlign w:val="superscript"/>
        </w:rPr>
        <w:t>17</w:t>
      </w:r>
      <w:r w:rsidRPr="00C97186">
        <w:rPr>
          <w:rFonts w:cs="Times New Roman"/>
          <w:b w:val="0"/>
          <w:w w:val="108"/>
          <w:szCs w:val="18"/>
        </w:rPr>
        <w:t xml:space="preserve">. Notably, TIIA can suppress reactive oxygen species (ROS) and inflammation through activating Nrf2 pathway </w:t>
      </w:r>
      <w:r w:rsidRPr="004B7AD6">
        <w:rPr>
          <w:rFonts w:cs="Times New Roman"/>
          <w:b w:val="0"/>
          <w:w w:val="108"/>
          <w:szCs w:val="18"/>
          <w:vertAlign w:val="superscript"/>
        </w:rPr>
        <w:t>18, 19</w:t>
      </w:r>
      <w:r w:rsidRPr="00C97186">
        <w:rPr>
          <w:rFonts w:cs="Times New Roman"/>
          <w:b w:val="0"/>
          <w:w w:val="108"/>
          <w:szCs w:val="18"/>
        </w:rPr>
        <w:t>. Besides cardioprotective effect, TIIA also possesses multiple pharmacological effects, including antioxidant</w:t>
      </w:r>
      <w:r w:rsidRPr="009C1879">
        <w:rPr>
          <w:rFonts w:cs="Times New Roman"/>
          <w:b w:val="0"/>
          <w:w w:val="108"/>
          <w:szCs w:val="18"/>
          <w:vertAlign w:val="superscript"/>
        </w:rPr>
        <w:t>20</w:t>
      </w:r>
      <w:r w:rsidRPr="00C97186">
        <w:rPr>
          <w:rFonts w:cs="Times New Roman"/>
          <w:b w:val="0"/>
          <w:w w:val="108"/>
          <w:szCs w:val="18"/>
        </w:rPr>
        <w:t>, anti- angiogenesis</w:t>
      </w:r>
      <w:r w:rsidRPr="009C1879">
        <w:rPr>
          <w:rFonts w:cs="Times New Roman"/>
          <w:b w:val="0"/>
          <w:w w:val="108"/>
          <w:szCs w:val="18"/>
          <w:vertAlign w:val="superscript"/>
        </w:rPr>
        <w:t>21</w:t>
      </w:r>
      <w:r w:rsidRPr="00C97186">
        <w:rPr>
          <w:rFonts w:cs="Times New Roman"/>
          <w:b w:val="0"/>
          <w:w w:val="108"/>
          <w:szCs w:val="18"/>
        </w:rPr>
        <w:t>, anti-inflammatory</w:t>
      </w:r>
      <w:r w:rsidRPr="009C1879">
        <w:rPr>
          <w:rFonts w:cs="Times New Roman"/>
          <w:b w:val="0"/>
          <w:w w:val="108"/>
          <w:szCs w:val="18"/>
          <w:vertAlign w:val="superscript"/>
        </w:rPr>
        <w:t>22</w:t>
      </w:r>
      <w:r w:rsidRPr="00C97186">
        <w:rPr>
          <w:rFonts w:cs="Times New Roman"/>
          <w:b w:val="0"/>
          <w:w w:val="108"/>
          <w:szCs w:val="18"/>
        </w:rPr>
        <w:t xml:space="preserve"> and neuroprotective effects </w:t>
      </w:r>
      <w:r w:rsidRPr="009C1879">
        <w:rPr>
          <w:rFonts w:cs="Times New Roman"/>
          <w:b w:val="0"/>
          <w:w w:val="108"/>
          <w:szCs w:val="18"/>
          <w:vertAlign w:val="superscript"/>
        </w:rPr>
        <w:t>23</w:t>
      </w:r>
      <w:r w:rsidRPr="00C97186">
        <w:rPr>
          <w:rFonts w:cs="Times New Roman"/>
          <w:b w:val="0"/>
          <w:w w:val="108"/>
          <w:szCs w:val="18"/>
        </w:rPr>
        <w:t>, which contributes to its diverse therapeutic spectrum including diabetes</w:t>
      </w:r>
      <w:r w:rsidRPr="009C1879">
        <w:rPr>
          <w:rFonts w:cs="Times New Roman"/>
          <w:b w:val="0"/>
          <w:w w:val="108"/>
          <w:szCs w:val="18"/>
          <w:vertAlign w:val="superscript"/>
        </w:rPr>
        <w:t>24, 25</w:t>
      </w:r>
      <w:r w:rsidRPr="00C97186">
        <w:rPr>
          <w:rFonts w:cs="Times New Roman"/>
          <w:b w:val="0"/>
          <w:w w:val="108"/>
          <w:szCs w:val="18"/>
        </w:rPr>
        <w:t>. TIIA exhibits protective effects on both acute kidney injury</w:t>
      </w:r>
      <w:r w:rsidRPr="009C1879">
        <w:rPr>
          <w:rFonts w:cs="Times New Roman"/>
          <w:b w:val="0"/>
          <w:w w:val="108"/>
          <w:szCs w:val="18"/>
          <w:vertAlign w:val="superscript"/>
        </w:rPr>
        <w:t xml:space="preserve">26, 27 </w:t>
      </w:r>
      <w:r w:rsidRPr="00C97186">
        <w:rPr>
          <w:rFonts w:cs="Times New Roman"/>
          <w:b w:val="0"/>
          <w:w w:val="108"/>
          <w:szCs w:val="18"/>
        </w:rPr>
        <w:t xml:space="preserve">and chronic renal disorders </w:t>
      </w:r>
      <w:r w:rsidRPr="009C1879">
        <w:rPr>
          <w:rFonts w:cs="Times New Roman"/>
          <w:b w:val="0"/>
          <w:w w:val="108"/>
          <w:szCs w:val="18"/>
          <w:vertAlign w:val="superscript"/>
        </w:rPr>
        <w:t>28, 29</w:t>
      </w:r>
      <w:r w:rsidRPr="00C97186">
        <w:rPr>
          <w:rFonts w:cs="Times New Roman"/>
          <w:b w:val="0"/>
          <w:w w:val="108"/>
          <w:szCs w:val="18"/>
        </w:rPr>
        <w:t>.</w:t>
      </w:r>
    </w:p>
    <w:p w:rsidR="00C97186" w:rsidRPr="00C97186" w:rsidRDefault="00C97186" w:rsidP="00C97186">
      <w:pPr>
        <w:pStyle w:val="RSCB06BHeadingSub-Section"/>
        <w:rPr>
          <w:rFonts w:cs="Times New Roman"/>
          <w:b w:val="0"/>
          <w:w w:val="108"/>
          <w:szCs w:val="18"/>
        </w:rPr>
      </w:pPr>
      <w:r w:rsidRPr="00C97186">
        <w:rPr>
          <w:rFonts w:cs="Times New Roman"/>
          <w:b w:val="0"/>
          <w:w w:val="108"/>
          <w:szCs w:val="18"/>
        </w:rPr>
        <w:t>However, there are very limited evidence of TIIA on DN, which all used rat cells or streptozotocin (STZ) induced type I DN rat model</w:t>
      </w:r>
      <w:r w:rsidRPr="009C1879">
        <w:rPr>
          <w:rFonts w:cs="Times New Roman"/>
          <w:b w:val="0"/>
          <w:w w:val="108"/>
          <w:szCs w:val="18"/>
          <w:vertAlign w:val="superscript"/>
        </w:rPr>
        <w:t>24, 30, 31</w:t>
      </w:r>
      <w:r w:rsidRPr="00C97186">
        <w:rPr>
          <w:rFonts w:cs="Times New Roman"/>
          <w:b w:val="0"/>
          <w:w w:val="108"/>
          <w:szCs w:val="18"/>
        </w:rPr>
        <w:t xml:space="preserve">. In addition, the underlying mechanism of action is not clear. A systematic screening for targets of TIIA effects on DN is highly needed. </w:t>
      </w:r>
    </w:p>
    <w:p w:rsidR="00C97186" w:rsidRDefault="00C97186" w:rsidP="00C97186">
      <w:pPr>
        <w:pStyle w:val="RSCB06BHeadingSub-Section"/>
        <w:rPr>
          <w:rFonts w:cs="Times New Roman"/>
          <w:b w:val="0"/>
          <w:w w:val="108"/>
          <w:szCs w:val="18"/>
        </w:rPr>
      </w:pPr>
      <w:r w:rsidRPr="00C97186">
        <w:rPr>
          <w:rFonts w:cs="Times New Roman"/>
          <w:b w:val="0"/>
          <w:w w:val="108"/>
          <w:szCs w:val="18"/>
        </w:rPr>
        <w:t>More and more emerging evidence indicates Epigenetic changes, including DNA methylation, histone post-translational modifications (PTMs), and noncoding RNA-mediated post-transcriptional alterations, are closely related to DN</w:t>
      </w:r>
      <w:r w:rsidRPr="009C1879">
        <w:rPr>
          <w:rFonts w:cs="Times New Roman"/>
          <w:b w:val="0"/>
          <w:w w:val="108"/>
          <w:szCs w:val="18"/>
          <w:vertAlign w:val="superscript"/>
        </w:rPr>
        <w:t>32-34</w:t>
      </w:r>
      <w:r w:rsidRPr="00C97186">
        <w:rPr>
          <w:rFonts w:cs="Times New Roman"/>
          <w:b w:val="0"/>
          <w:w w:val="108"/>
          <w:szCs w:val="18"/>
        </w:rPr>
        <w:t xml:space="preserve">. Next-generation sequencing (NGS) on whole genome or epigenome would provide systematic means in </w:t>
      </w:r>
      <w:proofErr w:type="spellStart"/>
      <w:r w:rsidRPr="00C97186">
        <w:rPr>
          <w:rFonts w:cs="Times New Roman"/>
          <w:b w:val="0"/>
          <w:w w:val="108"/>
          <w:szCs w:val="18"/>
        </w:rPr>
        <w:t>analyzing</w:t>
      </w:r>
      <w:proofErr w:type="spellEnd"/>
      <w:r w:rsidRPr="00C97186">
        <w:rPr>
          <w:rFonts w:cs="Times New Roman"/>
          <w:b w:val="0"/>
          <w:w w:val="108"/>
          <w:szCs w:val="18"/>
        </w:rPr>
        <w:t xml:space="preserve"> new biomarkers associated with DN which will provide a novel target for treatment. NGS results including RNA-</w:t>
      </w:r>
      <w:proofErr w:type="spellStart"/>
      <w:r w:rsidRPr="00C97186">
        <w:rPr>
          <w:rFonts w:cs="Times New Roman"/>
          <w:b w:val="0"/>
          <w:w w:val="108"/>
          <w:szCs w:val="18"/>
        </w:rPr>
        <w:t>seq</w:t>
      </w:r>
      <w:proofErr w:type="spellEnd"/>
      <w:r w:rsidRPr="00C97186">
        <w:rPr>
          <w:rFonts w:cs="Times New Roman"/>
          <w:b w:val="0"/>
          <w:w w:val="108"/>
          <w:szCs w:val="18"/>
        </w:rPr>
        <w:t xml:space="preserve"> and non-coding RNA-</w:t>
      </w:r>
      <w:proofErr w:type="spellStart"/>
      <w:r w:rsidRPr="00C97186">
        <w:rPr>
          <w:rFonts w:cs="Times New Roman"/>
          <w:b w:val="0"/>
          <w:w w:val="108"/>
          <w:szCs w:val="18"/>
        </w:rPr>
        <w:t>seq</w:t>
      </w:r>
      <w:proofErr w:type="spellEnd"/>
      <w:r w:rsidRPr="00C97186">
        <w:rPr>
          <w:rFonts w:cs="Times New Roman"/>
          <w:b w:val="0"/>
          <w:w w:val="108"/>
          <w:szCs w:val="18"/>
        </w:rPr>
        <w:t xml:space="preserve"> began to reveal the novel DN associated biomarkers genome wide </w:t>
      </w:r>
      <w:r w:rsidRPr="009C1879">
        <w:rPr>
          <w:rFonts w:cs="Times New Roman"/>
          <w:b w:val="0"/>
          <w:w w:val="108"/>
          <w:szCs w:val="18"/>
          <w:vertAlign w:val="superscript"/>
        </w:rPr>
        <w:t>35, 36</w:t>
      </w:r>
      <w:r w:rsidRPr="00C97186">
        <w:rPr>
          <w:rFonts w:cs="Times New Roman"/>
          <w:b w:val="0"/>
          <w:w w:val="108"/>
          <w:szCs w:val="18"/>
        </w:rPr>
        <w:t>. However, there lacks whole DNA methylome especially whole methylome and transcriptome synergistically investigations into the pathological changes of DN. This paper will report our work on DNA methyl-</w:t>
      </w:r>
      <w:proofErr w:type="spellStart"/>
      <w:r w:rsidRPr="00C97186">
        <w:rPr>
          <w:rFonts w:cs="Times New Roman"/>
          <w:b w:val="0"/>
          <w:w w:val="108"/>
          <w:szCs w:val="18"/>
        </w:rPr>
        <w:t>seq</w:t>
      </w:r>
      <w:proofErr w:type="spellEnd"/>
      <w:r w:rsidRPr="00C97186">
        <w:rPr>
          <w:rFonts w:cs="Times New Roman"/>
          <w:b w:val="0"/>
          <w:w w:val="108"/>
          <w:szCs w:val="18"/>
        </w:rPr>
        <w:t xml:space="preserve"> and mRNA-</w:t>
      </w:r>
      <w:proofErr w:type="spellStart"/>
      <w:r w:rsidRPr="00C97186">
        <w:rPr>
          <w:rFonts w:cs="Times New Roman"/>
          <w:b w:val="0"/>
          <w:w w:val="108"/>
          <w:szCs w:val="18"/>
        </w:rPr>
        <w:t>seq</w:t>
      </w:r>
      <w:proofErr w:type="spellEnd"/>
      <w:r w:rsidRPr="00C97186">
        <w:rPr>
          <w:rFonts w:cs="Times New Roman"/>
          <w:b w:val="0"/>
          <w:w w:val="108"/>
          <w:szCs w:val="18"/>
        </w:rPr>
        <w:t xml:space="preserve"> co-alterations using a high-glucose induced mouse kidney mesangial cell model which represents diabetes in vitro. The NGS results comparison between high glucose, low glucose and TIIA will also provide identification of novel targets for diabetic nephropathy and treatment by TIIA.</w:t>
      </w:r>
    </w:p>
    <w:p w:rsidR="003725EE" w:rsidRDefault="003725EE" w:rsidP="00C97186">
      <w:pPr>
        <w:pStyle w:val="RSCB06BHeadingSub-Section"/>
        <w:rPr>
          <w:rFonts w:cs="Times New Roman"/>
          <w:b w:val="0"/>
          <w:w w:val="108"/>
          <w:szCs w:val="18"/>
        </w:rPr>
      </w:pPr>
    </w:p>
    <w:p w:rsidR="003725EE" w:rsidRDefault="003725EE" w:rsidP="00C97186">
      <w:pPr>
        <w:pStyle w:val="RSCB06BHeadingSub-Section"/>
        <w:rPr>
          <w:rFonts w:cs="Times New Roman"/>
          <w:b w:val="0"/>
          <w:w w:val="108"/>
          <w:szCs w:val="18"/>
        </w:rPr>
      </w:pPr>
    </w:p>
    <w:p w:rsidR="0041453A" w:rsidRDefault="0041453A" w:rsidP="0041453A">
      <w:pPr>
        <w:pStyle w:val="RSCB06BHeadingSub-Section"/>
      </w:pPr>
      <w:r>
        <w:rPr>
          <w:sz w:val="24"/>
        </w:rPr>
        <w:t>2</w:t>
      </w:r>
      <w:r w:rsidRPr="00C97186">
        <w:rPr>
          <w:sz w:val="24"/>
        </w:rPr>
        <w:t xml:space="preserve">. </w:t>
      </w:r>
      <w:r w:rsidRPr="0041453A">
        <w:rPr>
          <w:sz w:val="24"/>
        </w:rPr>
        <w:t>Materials and Methods</w:t>
      </w:r>
    </w:p>
    <w:p w:rsidR="0041453A" w:rsidRDefault="0041453A" w:rsidP="0041453A">
      <w:pPr>
        <w:pStyle w:val="RSCB06BHeadingSub-Section"/>
      </w:pPr>
      <w:r w:rsidRPr="0041453A">
        <w:t xml:space="preserve">2.1 Reagents and cell culture medium </w:t>
      </w:r>
    </w:p>
    <w:p w:rsidR="00C97186" w:rsidRDefault="0041453A" w:rsidP="00FA2DA2">
      <w:pPr>
        <w:pStyle w:val="RSCB06BHeadingSub-Section"/>
        <w:rPr>
          <w:rFonts w:cs="Times New Roman"/>
          <w:b w:val="0"/>
          <w:w w:val="108"/>
          <w:szCs w:val="18"/>
        </w:rPr>
      </w:pPr>
      <w:r w:rsidRPr="0041453A">
        <w:rPr>
          <w:rFonts w:cs="Times New Roman"/>
          <w:b w:val="0"/>
          <w:w w:val="108"/>
          <w:szCs w:val="18"/>
        </w:rPr>
        <w:t xml:space="preserve">Dulbecco's modified Eagle's medium (DMEM), </w:t>
      </w:r>
      <w:proofErr w:type="spellStart"/>
      <w:r w:rsidRPr="0041453A">
        <w:rPr>
          <w:rFonts w:cs="Times New Roman"/>
          <w:b w:val="0"/>
          <w:w w:val="108"/>
          <w:szCs w:val="18"/>
        </w:rPr>
        <w:t>fetal</w:t>
      </w:r>
      <w:proofErr w:type="spellEnd"/>
      <w:r w:rsidRPr="0041453A">
        <w:rPr>
          <w:rFonts w:cs="Times New Roman"/>
          <w:b w:val="0"/>
          <w:w w:val="108"/>
          <w:szCs w:val="18"/>
        </w:rPr>
        <w:t xml:space="preserve"> bovine serum (FBS), penicillin-streptomycin (10,000 U/ml), puromycin, </w:t>
      </w:r>
      <w:proofErr w:type="spellStart"/>
      <w:r w:rsidRPr="0041453A">
        <w:rPr>
          <w:rFonts w:cs="Times New Roman"/>
          <w:b w:val="0"/>
          <w:w w:val="108"/>
          <w:szCs w:val="18"/>
        </w:rPr>
        <w:t>versene</w:t>
      </w:r>
      <w:proofErr w:type="spellEnd"/>
      <w:r w:rsidRPr="0041453A">
        <w:rPr>
          <w:rFonts w:cs="Times New Roman"/>
          <w:b w:val="0"/>
          <w:w w:val="108"/>
          <w:szCs w:val="18"/>
        </w:rPr>
        <w:t>, and trypsin-EDTA were supplied by Gibco (Grand Island, NY, USA). TIIA and dimethyl sulfoxide (DMSO) were purchased from Sigma-Aldrich (St. Louis, MO, USA).</w:t>
      </w:r>
    </w:p>
    <w:p w:rsidR="00C22962" w:rsidRDefault="00C22962" w:rsidP="00E17D1A">
      <w:pPr>
        <w:pStyle w:val="RSCB06BHeadingSub-Section"/>
      </w:pPr>
      <w:r w:rsidRPr="00C22962">
        <w:t xml:space="preserve">2.2 Mouse mesangial cell culture </w:t>
      </w:r>
    </w:p>
    <w:p w:rsidR="00E17D1A" w:rsidRDefault="00C22962" w:rsidP="00E17D1A">
      <w:pPr>
        <w:pStyle w:val="RSCB06BHeadingSub-Section"/>
      </w:pPr>
      <w:r w:rsidRPr="00C22962">
        <w:rPr>
          <w:rFonts w:cs="Times New Roman"/>
          <w:b w:val="0"/>
          <w:w w:val="108"/>
          <w:szCs w:val="18"/>
        </w:rPr>
        <w:t>SV40 MES13 mouse kidney mesangial cells were obtained from the American Type Culture Collection (Manassas, VA, USA) and maintained in Dulbecco's modified Eagle's medium (Gibco; Thermo Fisher Scientific, Inc.) with 14 mM HEPES (Gibco; Thermo Fisher Scientific, Inc.) and 5% FBS (Gibco; Thermo Fisher Scientific, Inc.) at 37°C with 5% CO2. Mesangial cells were seeded at 1×105 cells/10 cm dish and were treated with serum free medium for 1 day followed by 0.1%DMSO in 30 mM D-glucose (high glucose, HG) or 0.1%DMSO in 5.5 mM D-glucose + 24.5 mM D-mannitol (isotonic control, low glucose, LG), or TIIA (5µM,10 µM, 15 µM dissolved in 0.1%DMSO in low glucose) for 5 days.</w:t>
      </w:r>
      <w:r w:rsidR="00E17D1A" w:rsidRPr="0041453A">
        <w:t xml:space="preserve"> </w:t>
      </w:r>
    </w:p>
    <w:p w:rsidR="00C22962" w:rsidRDefault="00C22962" w:rsidP="00E17D1A">
      <w:pPr>
        <w:pStyle w:val="RSCB06BHeadingSub-Section"/>
      </w:pPr>
      <w:r w:rsidRPr="00C22962">
        <w:t>2.3 Intracellular ROS detection</w:t>
      </w:r>
    </w:p>
    <w:p w:rsidR="00F92680" w:rsidRDefault="00F92680" w:rsidP="00C22962">
      <w:pPr>
        <w:pStyle w:val="RSCB06BHeadingSub-Section"/>
        <w:rPr>
          <w:rFonts w:cs="Times New Roman"/>
          <w:b w:val="0"/>
          <w:w w:val="108"/>
          <w:szCs w:val="18"/>
        </w:rPr>
      </w:pPr>
      <w:r w:rsidRPr="00F92680">
        <w:rPr>
          <w:rFonts w:cs="Times New Roman"/>
          <w:b w:val="0"/>
          <w:w w:val="108"/>
          <w:szCs w:val="18"/>
        </w:rPr>
        <w:t xml:space="preserve">CM-H2DCFDA (Invitrogen) was used as the probe. </w:t>
      </w:r>
      <w:r w:rsidR="00274635">
        <w:rPr>
          <w:rFonts w:cs="Times New Roman"/>
          <w:b w:val="0"/>
          <w:w w:val="108"/>
          <w:szCs w:val="18"/>
        </w:rPr>
        <w:t>MES</w:t>
      </w:r>
      <w:r w:rsidRPr="00F92680">
        <w:rPr>
          <w:rFonts w:cs="Times New Roman"/>
          <w:b w:val="0"/>
          <w:w w:val="108"/>
          <w:szCs w:val="18"/>
        </w:rPr>
        <w:t>13 cells were treated with 0.1% DMSO in LG, 0.1%DMSO in HG or TIIA (5µM,10 µM, 15 µM in 0.1% DMSO in HG) for 48 h. The cells were grown to 90% confluence, washed with PBS and then harvested using trypsinization, according to the manufacturer’s protocol. The cells were then washed four times and incubated with 10 µM CM-H2DCFDA for 45 min at 37°C in a relatively high humidity (95%) atmosphere containing a controlled level of CO2 (5%) in the dark. Finally, cell-associated mean fluorescent intensity was measured by flow cytometry in FL1 channel excitation and emission wavelengths were 488 and 525 nm, respectively.</w:t>
      </w:r>
    </w:p>
    <w:p w:rsidR="00F92680" w:rsidRDefault="00F92680" w:rsidP="00E17D1A">
      <w:pPr>
        <w:pStyle w:val="RSCB06BHeadingSub-Section"/>
      </w:pPr>
      <w:r w:rsidRPr="00F92680">
        <w:t>2.4 Total RNA/DNA extraction, library preparation, RNA-</w:t>
      </w:r>
      <w:proofErr w:type="spellStart"/>
      <w:r w:rsidRPr="00F92680">
        <w:t>seq</w:t>
      </w:r>
      <w:proofErr w:type="spellEnd"/>
      <w:r w:rsidRPr="00F92680">
        <w:t xml:space="preserve"> and methyl-</w:t>
      </w:r>
      <w:proofErr w:type="spellStart"/>
      <w:r w:rsidRPr="00F92680">
        <w:t>seq</w:t>
      </w:r>
    </w:p>
    <w:p w:rsidR="00F92680" w:rsidRDefault="00F92680" w:rsidP="00C22962">
      <w:pPr>
        <w:pStyle w:val="RSCB06BHeadingSub-Section"/>
        <w:rPr>
          <w:rFonts w:cs="Times New Roman"/>
          <w:b w:val="0"/>
          <w:w w:val="108"/>
          <w:szCs w:val="18"/>
        </w:rPr>
      </w:pPr>
      <w:proofErr w:type="spellEnd"/>
      <w:r w:rsidRPr="00F92680">
        <w:rPr>
          <w:rFonts w:cs="Times New Roman"/>
          <w:b w:val="0"/>
          <w:w w:val="108"/>
          <w:szCs w:val="18"/>
        </w:rPr>
        <w:t xml:space="preserve">Total RNA and DNA was extracted from SV40 MES 13 mouse kidney mesangial cells from LG, HG and TIIA groups using the </w:t>
      </w:r>
      <w:proofErr w:type="spellStart"/>
      <w:r w:rsidRPr="00F92680">
        <w:rPr>
          <w:rFonts w:cs="Times New Roman"/>
          <w:b w:val="0"/>
          <w:w w:val="108"/>
          <w:szCs w:val="18"/>
        </w:rPr>
        <w:t>AllPrep</w:t>
      </w:r>
      <w:proofErr w:type="spellEnd"/>
      <w:r w:rsidRPr="00F92680">
        <w:rPr>
          <w:rFonts w:cs="Times New Roman"/>
          <w:b w:val="0"/>
          <w:w w:val="108"/>
          <w:szCs w:val="18"/>
        </w:rPr>
        <w:t xml:space="preserve"> DNA/RNA Mini Kit (Qiagen, Valencia, CA, USA). The quality and quantity of the extracted RNA and DNA samples were determined with an Agilent 2100 Bioanalyzer and </w:t>
      </w:r>
      <w:proofErr w:type="spellStart"/>
      <w:r w:rsidRPr="00F92680">
        <w:rPr>
          <w:rFonts w:cs="Times New Roman"/>
          <w:b w:val="0"/>
          <w:w w:val="108"/>
          <w:szCs w:val="18"/>
        </w:rPr>
        <w:t>NanoDrop</w:t>
      </w:r>
      <w:proofErr w:type="spellEnd"/>
      <w:r w:rsidRPr="00F92680">
        <w:rPr>
          <w:rFonts w:cs="Times New Roman"/>
          <w:b w:val="0"/>
          <w:w w:val="108"/>
          <w:szCs w:val="18"/>
        </w:rPr>
        <w:t>, respectively. A total of 3 RNA and DNA pooled samples from each group were sent to RUCDR for library preparation and sequencing. Briefly, the library of RNA-</w:t>
      </w:r>
      <w:proofErr w:type="spellStart"/>
      <w:r w:rsidRPr="00F92680">
        <w:rPr>
          <w:rFonts w:cs="Times New Roman"/>
          <w:b w:val="0"/>
          <w:w w:val="108"/>
          <w:szCs w:val="18"/>
        </w:rPr>
        <w:t>seq</w:t>
      </w:r>
      <w:proofErr w:type="spellEnd"/>
      <w:r w:rsidRPr="00F92680">
        <w:rPr>
          <w:rFonts w:cs="Times New Roman"/>
          <w:b w:val="0"/>
          <w:w w:val="108"/>
          <w:szCs w:val="18"/>
        </w:rPr>
        <w:t xml:space="preserve"> was constructed using the Illumina </w:t>
      </w:r>
      <w:proofErr w:type="spellStart"/>
      <w:r w:rsidRPr="00F92680">
        <w:rPr>
          <w:rFonts w:cs="Times New Roman"/>
          <w:b w:val="0"/>
          <w:w w:val="108"/>
          <w:szCs w:val="18"/>
        </w:rPr>
        <w:t>TruSeq</w:t>
      </w:r>
      <w:proofErr w:type="spellEnd"/>
      <w:r w:rsidRPr="00F92680">
        <w:rPr>
          <w:rFonts w:cs="Times New Roman"/>
          <w:b w:val="0"/>
          <w:w w:val="108"/>
          <w:szCs w:val="18"/>
        </w:rPr>
        <w:t xml:space="preserve"> RNA preparation kit (Illumina, San Diego, CA, USA) according to the manufacturer’s manual. Samples were sequenced on the Illumina </w:t>
      </w:r>
      <w:proofErr w:type="spellStart"/>
      <w:r w:rsidRPr="00F92680">
        <w:rPr>
          <w:rFonts w:cs="Times New Roman"/>
          <w:b w:val="0"/>
          <w:w w:val="108"/>
          <w:szCs w:val="18"/>
        </w:rPr>
        <w:t>NextSeq</w:t>
      </w:r>
      <w:proofErr w:type="spellEnd"/>
      <w:r w:rsidRPr="00F92680">
        <w:rPr>
          <w:rFonts w:cs="Times New Roman"/>
          <w:b w:val="0"/>
          <w:w w:val="108"/>
          <w:szCs w:val="18"/>
        </w:rPr>
        <w:t xml:space="preserve"> 500 instrument with 50–75 bp paired-end reads, to a minimum depth of 30 million reads per sample. The DNA samples were further processed using an Agilent Mouse </w:t>
      </w:r>
      <w:proofErr w:type="spellStart"/>
      <w:r w:rsidRPr="00F92680">
        <w:rPr>
          <w:rFonts w:cs="Times New Roman"/>
          <w:b w:val="0"/>
          <w:w w:val="108"/>
          <w:szCs w:val="18"/>
        </w:rPr>
        <w:t>SureSelect</w:t>
      </w:r>
      <w:proofErr w:type="spellEnd"/>
      <w:r w:rsidRPr="00F92680">
        <w:rPr>
          <w:rFonts w:cs="Times New Roman"/>
          <w:b w:val="0"/>
          <w:w w:val="108"/>
          <w:szCs w:val="18"/>
        </w:rPr>
        <w:t xml:space="preserve"> Methyl-</w:t>
      </w:r>
      <w:proofErr w:type="spellStart"/>
      <w:r w:rsidRPr="00F92680">
        <w:rPr>
          <w:rFonts w:cs="Times New Roman"/>
          <w:b w:val="0"/>
          <w:w w:val="108"/>
          <w:szCs w:val="18"/>
        </w:rPr>
        <w:t>seq</w:t>
      </w:r>
      <w:proofErr w:type="spellEnd"/>
      <w:r w:rsidRPr="00F92680">
        <w:rPr>
          <w:rFonts w:cs="Times New Roman"/>
          <w:b w:val="0"/>
          <w:w w:val="108"/>
          <w:szCs w:val="18"/>
        </w:rPr>
        <w:t xml:space="preserve"> Target Enrichment System (Agilent Technologies, Santa Clara, CA) and sequenced on an Illumina </w:t>
      </w:r>
      <w:proofErr w:type="spellStart"/>
      <w:r w:rsidRPr="00F92680">
        <w:rPr>
          <w:rFonts w:cs="Times New Roman"/>
          <w:b w:val="0"/>
          <w:w w:val="108"/>
          <w:szCs w:val="18"/>
        </w:rPr>
        <w:t>NextSeq</w:t>
      </w:r>
      <w:proofErr w:type="spellEnd"/>
      <w:r w:rsidRPr="00F92680">
        <w:rPr>
          <w:rFonts w:cs="Times New Roman"/>
          <w:b w:val="0"/>
          <w:w w:val="108"/>
          <w:szCs w:val="18"/>
        </w:rPr>
        <w:t xml:space="preserve"> 500 instrument with 76-bp single-end reads, generating 34–47 million reads per sample.</w:t>
      </w:r>
    </w:p>
    <w:p w:rsidR="00AA380C" w:rsidRDefault="00AA380C" w:rsidP="00C22962">
      <w:pPr>
        <w:pStyle w:val="RSCB06BHeadingSub-Section"/>
        <w:rPr>
          <w:rFonts w:cs="Times New Roman"/>
          <w:b w:val="0"/>
          <w:w w:val="108"/>
          <w:szCs w:val="18"/>
        </w:rPr>
      </w:pPr>
    </w:p>
    <w:p w:rsidR="00F92680" w:rsidRDefault="00F92680" w:rsidP="00E17D1A">
      <w:pPr>
        <w:pStyle w:val="RSCB06BHeadingSub-Section"/>
      </w:pPr>
      <w:r w:rsidRPr="00F92680">
        <w:t>2.5 Data Analysis</w:t>
      </w:r>
    </w:p>
    <w:p w:rsidR="00AA380C" w:rsidRDefault="00AA380C" w:rsidP="00C22962">
      <w:pPr>
        <w:pStyle w:val="RSCB06BHeadingSub-Section"/>
        <w:rPr>
          <w:rFonts w:cs="Times New Roman"/>
          <w:b w:val="0"/>
          <w:w w:val="108"/>
          <w:szCs w:val="18"/>
        </w:rPr>
      </w:pPr>
      <w:r w:rsidRPr="00AA380C">
        <w:rPr>
          <w:rFonts w:cs="Times New Roman"/>
          <w:b w:val="0"/>
          <w:w w:val="108"/>
          <w:szCs w:val="18"/>
        </w:rPr>
        <w:t xml:space="preserve">Sequencing data quality was checked using </w:t>
      </w:r>
      <w:proofErr w:type="spellStart"/>
      <w:r w:rsidRPr="00AA380C">
        <w:rPr>
          <w:rFonts w:cs="Times New Roman"/>
          <w:b w:val="0"/>
          <w:w w:val="108"/>
          <w:szCs w:val="18"/>
        </w:rPr>
        <w:t>FastQC</w:t>
      </w:r>
      <w:proofErr w:type="spellEnd"/>
      <w:r w:rsidRPr="00AA380C">
        <w:rPr>
          <w:rFonts w:cs="Times New Roman"/>
          <w:b w:val="0"/>
          <w:w w:val="108"/>
          <w:szCs w:val="18"/>
        </w:rPr>
        <w:t xml:space="preserve"> 0.11.2 software </w:t>
      </w:r>
      <w:r w:rsidRPr="00AA380C">
        <w:rPr>
          <w:rFonts w:cs="Times New Roman"/>
          <w:b w:val="0"/>
          <w:w w:val="108"/>
          <w:szCs w:val="18"/>
          <w:vertAlign w:val="superscript"/>
        </w:rPr>
        <w:t>37</w:t>
      </w:r>
      <w:r w:rsidRPr="00AA380C">
        <w:rPr>
          <w:rFonts w:cs="Times New Roman"/>
          <w:b w:val="0"/>
          <w:w w:val="108"/>
          <w:szCs w:val="18"/>
        </w:rPr>
        <w:t xml:space="preserve">. Linux-base bioinformatics software packages </w:t>
      </w:r>
      <w:proofErr w:type="spellStart"/>
      <w:r w:rsidRPr="00AA380C">
        <w:rPr>
          <w:rFonts w:cs="Times New Roman"/>
          <w:b w:val="0"/>
          <w:w w:val="108"/>
          <w:szCs w:val="18"/>
        </w:rPr>
        <w:t>SAMtools</w:t>
      </w:r>
      <w:proofErr w:type="spellEnd"/>
      <w:r w:rsidRPr="00AA380C">
        <w:rPr>
          <w:rFonts w:cs="Times New Roman"/>
          <w:b w:val="0"/>
          <w:w w:val="108"/>
          <w:szCs w:val="18"/>
        </w:rPr>
        <w:t xml:space="preserve"> (Sequencing Alignment/Map tools)</w:t>
      </w:r>
      <w:r w:rsidRPr="00AA380C">
        <w:rPr>
          <w:rFonts w:cs="Times New Roman"/>
          <w:b w:val="0"/>
          <w:w w:val="108"/>
          <w:szCs w:val="18"/>
          <w:vertAlign w:val="superscript"/>
        </w:rPr>
        <w:t>38</w:t>
      </w:r>
      <w:r w:rsidRPr="00AA380C">
        <w:rPr>
          <w:rFonts w:cs="Times New Roman"/>
          <w:b w:val="0"/>
          <w:w w:val="108"/>
          <w:szCs w:val="18"/>
        </w:rPr>
        <w:t xml:space="preserve"> and HIDSAT-2 (hierarchical indexing for spliced alignment of transcripts)</w:t>
      </w:r>
      <w:r w:rsidRPr="00AA380C">
        <w:rPr>
          <w:rFonts w:cs="Times New Roman"/>
          <w:b w:val="0"/>
          <w:w w:val="108"/>
          <w:szCs w:val="18"/>
          <w:vertAlign w:val="superscript"/>
        </w:rPr>
        <w:t>39</w:t>
      </w:r>
      <w:r w:rsidRPr="00AA380C">
        <w:rPr>
          <w:rFonts w:cs="Times New Roman"/>
          <w:b w:val="0"/>
          <w:w w:val="108"/>
          <w:szCs w:val="18"/>
        </w:rPr>
        <w:t xml:space="preserve"> were used to sort, deduplicated, index and align reads in RNA sequencing files. DNA methylation data was processed with </w:t>
      </w:r>
      <w:proofErr w:type="spellStart"/>
      <w:r w:rsidRPr="00AA380C">
        <w:rPr>
          <w:rFonts w:cs="Times New Roman"/>
          <w:b w:val="0"/>
          <w:w w:val="108"/>
          <w:szCs w:val="18"/>
        </w:rPr>
        <w:t>Bismark</w:t>
      </w:r>
      <w:proofErr w:type="spellEnd"/>
      <w:r w:rsidRPr="00AA380C">
        <w:rPr>
          <w:rFonts w:cs="Times New Roman"/>
          <w:b w:val="0"/>
          <w:w w:val="108"/>
          <w:szCs w:val="18"/>
        </w:rPr>
        <w:t xml:space="preserve"> tool </w:t>
      </w:r>
      <w:r w:rsidRPr="00AA380C">
        <w:rPr>
          <w:rFonts w:cs="Times New Roman"/>
          <w:b w:val="0"/>
          <w:w w:val="108"/>
          <w:szCs w:val="18"/>
          <w:vertAlign w:val="superscript"/>
        </w:rPr>
        <w:t>40</w:t>
      </w:r>
      <w:r w:rsidRPr="00AA380C">
        <w:rPr>
          <w:rFonts w:cs="Times New Roman"/>
          <w:b w:val="0"/>
          <w:w w:val="108"/>
          <w:szCs w:val="18"/>
        </w:rPr>
        <w:t>. All reads were aligned to the mouse reference genome (mm9.2). R 3.5.1 (R Core Team)</w:t>
      </w:r>
      <w:r w:rsidRPr="00AA380C">
        <w:rPr>
          <w:rFonts w:cs="Times New Roman"/>
          <w:b w:val="0"/>
          <w:w w:val="108"/>
          <w:szCs w:val="18"/>
          <w:vertAlign w:val="superscript"/>
        </w:rPr>
        <w:t>41</w:t>
      </w:r>
      <w:r w:rsidRPr="00AA380C">
        <w:rPr>
          <w:rFonts w:cs="Times New Roman"/>
          <w:b w:val="0"/>
          <w:w w:val="108"/>
          <w:szCs w:val="18"/>
        </w:rPr>
        <w:t xml:space="preserve"> was used for all downstream statistical analysis and visualization of RNA and DNA sequencing data</w:t>
      </w:r>
      <w:r>
        <w:rPr>
          <w:rFonts w:cs="Times New Roman"/>
          <w:b w:val="0"/>
          <w:w w:val="108"/>
          <w:szCs w:val="18"/>
        </w:rPr>
        <w:t>.</w:t>
      </w:r>
    </w:p>
    <w:p w:rsidR="00620C8E" w:rsidRDefault="00620C8E" w:rsidP="00E17D1A">
      <w:pPr>
        <w:pStyle w:val="RSCB06BHeadingSub-Section"/>
      </w:pPr>
      <w:r w:rsidRPr="00620C8E">
        <w:t xml:space="preserve">2.6 Differential Gene Expression </w:t>
      </w:r>
      <w:proofErr w:type="spellStart"/>
      <w:r w:rsidRPr="00620C8E">
        <w:t>Analysis</w:t>
      </w:r>
    </w:p>
    <w:p w:rsidR="00C22962" w:rsidRDefault="00620C8E" w:rsidP="00620C8E">
      <w:pPr>
        <w:pStyle w:val="RSCB06BHeadingSub-Section"/>
      </w:pPr>
      <w:proofErr w:type="spellEnd"/>
      <w:r w:rsidRPr="00620C8E">
        <w:rPr>
          <w:rFonts w:cs="Times New Roman"/>
          <w:b w:val="0"/>
          <w:w w:val="108"/>
          <w:szCs w:val="18"/>
        </w:rPr>
        <w:t>Total of 24,421 genes were mapped. Genes with low counts (less than 20 counts in all samples combined) were removed from the analysis. The remaining 13,954 genes were further examined. Two comparisons - high glucose</w:t>
      </w:r>
      <w:r w:rsidR="00B06775">
        <w:rPr>
          <w:rFonts w:cs="Times New Roman"/>
          <w:b w:val="0"/>
          <w:w w:val="108"/>
          <w:szCs w:val="18"/>
        </w:rPr>
        <w:t xml:space="preserve"> </w:t>
      </w:r>
      <w:r w:rsidRPr="00620C8E">
        <w:rPr>
          <w:rFonts w:cs="Times New Roman"/>
          <w:b w:val="0"/>
          <w:w w:val="108"/>
          <w:szCs w:val="18"/>
        </w:rPr>
        <w:t xml:space="preserve">(HG) vs. low glucose (LG), and TIIA in HG vs HG only, were done using an R package </w:t>
      </w:r>
      <w:proofErr w:type="spellStart"/>
      <w:r w:rsidRPr="00620C8E">
        <w:rPr>
          <w:rFonts w:cs="Times New Roman"/>
          <w:b w:val="0"/>
          <w:w w:val="108"/>
          <w:szCs w:val="18"/>
        </w:rPr>
        <w:t>DEGSeq</w:t>
      </w:r>
      <w:proofErr w:type="spellEnd"/>
      <w:r w:rsidRPr="00620C8E">
        <w:rPr>
          <w:rFonts w:cs="Times New Roman"/>
          <w:b w:val="0"/>
          <w:w w:val="108"/>
          <w:szCs w:val="18"/>
        </w:rPr>
        <w:t xml:space="preserve"> </w:t>
      </w:r>
      <w:r w:rsidRPr="00B06775">
        <w:rPr>
          <w:rFonts w:cs="Times New Roman"/>
          <w:b w:val="0"/>
          <w:w w:val="108"/>
          <w:szCs w:val="18"/>
          <w:vertAlign w:val="superscript"/>
        </w:rPr>
        <w:t>42</w:t>
      </w:r>
      <w:r w:rsidRPr="00620C8E">
        <w:rPr>
          <w:rFonts w:cs="Times New Roman"/>
          <w:b w:val="0"/>
          <w:w w:val="108"/>
          <w:szCs w:val="18"/>
        </w:rPr>
        <w:t xml:space="preserve"> to identify differentially expressed genes. The genes with the log2 difference of at least 0.3 and filtered by q-values as defined by Storey et al</w:t>
      </w:r>
      <w:r w:rsidRPr="00B06775">
        <w:rPr>
          <w:rFonts w:cs="Times New Roman"/>
          <w:b w:val="0"/>
          <w:w w:val="108"/>
          <w:szCs w:val="18"/>
          <w:vertAlign w:val="superscript"/>
        </w:rPr>
        <w:t>43</w:t>
      </w:r>
      <w:r w:rsidRPr="00620C8E">
        <w:rPr>
          <w:rFonts w:cs="Times New Roman"/>
          <w:b w:val="0"/>
          <w:w w:val="108"/>
          <w:szCs w:val="18"/>
        </w:rPr>
        <w:t xml:space="preserve"> were selected. The MA plots (log differences vs log means) for the two comparisons are shown in the Figure 1. The RNA expression patterns of the selected genes were further explored to isolate genes that were affected by the HG treatment but restored by the TIIA. </w:t>
      </w:r>
    </w:p>
    <w:p w:rsidR="00620C8E" w:rsidRDefault="00620C8E" w:rsidP="00E17D1A">
      <w:pPr>
        <w:pStyle w:val="RSCB06BHeadingSub-Section"/>
      </w:pPr>
      <w:r w:rsidRPr="00620C8E">
        <w:t xml:space="preserve">2.7 </w:t>
      </w:r>
      <w:proofErr w:type="spellStart"/>
      <w:r w:rsidRPr="00620C8E">
        <w:t>SureSelect</w:t>
      </w:r>
      <w:proofErr w:type="spellEnd"/>
      <w:r w:rsidRPr="00620C8E">
        <w:t xml:space="preserve"> Methyl-</w:t>
      </w:r>
      <w:proofErr w:type="spellStart"/>
      <w:r w:rsidRPr="00620C8E">
        <w:t>seq</w:t>
      </w:r>
      <w:proofErr w:type="spellEnd"/>
      <w:r w:rsidRPr="00620C8E">
        <w:t xml:space="preserve"> analysis</w:t>
      </w:r>
    </w:p>
    <w:p w:rsidR="00620C8E" w:rsidRDefault="00620C8E" w:rsidP="00C22962">
      <w:pPr>
        <w:pStyle w:val="RSCB06BHeadingSub-Section"/>
        <w:rPr>
          <w:rFonts w:cs="Times New Roman"/>
          <w:b w:val="0"/>
          <w:w w:val="108"/>
          <w:szCs w:val="18"/>
        </w:rPr>
      </w:pPr>
      <w:r w:rsidRPr="00620C8E">
        <w:rPr>
          <w:rFonts w:cs="Times New Roman"/>
          <w:b w:val="0"/>
          <w:w w:val="108"/>
          <w:szCs w:val="18"/>
        </w:rPr>
        <w:t xml:space="preserve">After alignment, DMRfinder (version 0.1) was used to extract methylation counts and cluster CpG sites into differentially methylated regions (DMR) </w:t>
      </w:r>
      <w:r w:rsidRPr="00620C8E">
        <w:rPr>
          <w:rFonts w:cs="Times New Roman"/>
          <w:b w:val="0"/>
          <w:w w:val="108"/>
          <w:szCs w:val="18"/>
          <w:vertAlign w:val="superscript"/>
        </w:rPr>
        <w:t>44</w:t>
      </w:r>
      <w:r w:rsidRPr="00620C8E">
        <w:rPr>
          <w:rFonts w:cs="Times New Roman"/>
          <w:b w:val="0"/>
          <w:w w:val="108"/>
          <w:szCs w:val="18"/>
        </w:rPr>
        <w:t xml:space="preserve">. Each DMR was defined to contain at least three CpG sites. Genomic annotation was performed with </w:t>
      </w:r>
      <w:proofErr w:type="spellStart"/>
      <w:r w:rsidRPr="00620C8E">
        <w:rPr>
          <w:rFonts w:cs="Times New Roman"/>
          <w:b w:val="0"/>
          <w:w w:val="108"/>
          <w:szCs w:val="18"/>
        </w:rPr>
        <w:t>ChIPseeker</w:t>
      </w:r>
      <w:proofErr w:type="spellEnd"/>
      <w:r w:rsidRPr="00620C8E">
        <w:rPr>
          <w:rFonts w:cs="Times New Roman"/>
          <w:b w:val="0"/>
          <w:w w:val="108"/>
          <w:szCs w:val="18"/>
        </w:rPr>
        <w:t xml:space="preserve"> (version 1.10.3) in R</w:t>
      </w:r>
      <w:r w:rsidRPr="00620C8E">
        <w:rPr>
          <w:rFonts w:cs="Times New Roman"/>
          <w:b w:val="0"/>
          <w:w w:val="108"/>
          <w:szCs w:val="18"/>
          <w:vertAlign w:val="superscript"/>
        </w:rPr>
        <w:t>45</w:t>
      </w:r>
      <w:r w:rsidRPr="00620C8E">
        <w:rPr>
          <w:rFonts w:cs="Times New Roman"/>
          <w:b w:val="0"/>
          <w:w w:val="108"/>
          <w:szCs w:val="18"/>
        </w:rPr>
        <w:t>. To examine the associations of DNA methylation and the downstream RNA expression, the differences in percent methylation and RNA expressions for the genes selected in the RNA-</w:t>
      </w:r>
      <w:proofErr w:type="spellStart"/>
      <w:r w:rsidRPr="00620C8E">
        <w:rPr>
          <w:rFonts w:cs="Times New Roman"/>
          <w:b w:val="0"/>
          <w:w w:val="108"/>
          <w:szCs w:val="18"/>
        </w:rPr>
        <w:t>seq</w:t>
      </w:r>
      <w:proofErr w:type="spellEnd"/>
      <w:r w:rsidRPr="00620C8E">
        <w:rPr>
          <w:rFonts w:cs="Times New Roman"/>
          <w:b w:val="0"/>
          <w:w w:val="108"/>
          <w:szCs w:val="18"/>
        </w:rPr>
        <w:t xml:space="preserve"> analysis were plotted against each other. The genes that exhibited DNA hypermethylation in promoter and RNA downregulation, or DNA hypomethylation in promoter and RNA upregulation, were selected as genes of interest for further analysis.</w:t>
      </w:r>
    </w:p>
    <w:p w:rsidR="00620C8E" w:rsidRDefault="00620C8E" w:rsidP="00E17D1A">
      <w:pPr>
        <w:pStyle w:val="RSCB06BHeadingSub-Section"/>
      </w:pPr>
      <w:r w:rsidRPr="00620C8E">
        <w:t xml:space="preserve">2.8 Ingenuity Pathway Analysis (IPA) Analysis </w:t>
      </w:r>
    </w:p>
    <w:p w:rsidR="00B06775" w:rsidRDefault="00B06775" w:rsidP="00620C8E">
      <w:pPr>
        <w:pStyle w:val="RSCB06BHeadingSub-Section"/>
        <w:rPr>
          <w:rFonts w:cs="Times New Roman"/>
          <w:b w:val="0"/>
          <w:w w:val="108"/>
          <w:szCs w:val="18"/>
        </w:rPr>
      </w:pPr>
      <w:r w:rsidRPr="00B06775">
        <w:rPr>
          <w:rFonts w:cs="Times New Roman"/>
          <w:b w:val="0"/>
          <w:w w:val="108"/>
          <w:szCs w:val="18"/>
        </w:rPr>
        <w:t>Isoforms with log2 ratios greater than 0.3 or less than -0.3 and filtered by q-values were subjected to Ingenuity Pathway Analysis (IPA 4.0, Ingenuity Systems, www.Ingenuity.com). The input isoforms were mapped to IPA's database, and the top related genes, relevant biological functions, diseases and canonical pathways related to HG induced pathological changes and TIIA interventions were identified.</w:t>
      </w:r>
    </w:p>
    <w:p w:rsidR="00B06775" w:rsidRDefault="00B06775" w:rsidP="00620C8E">
      <w:pPr>
        <w:pStyle w:val="RSCB06BHeadingSub-Section"/>
      </w:pPr>
      <w:r w:rsidRPr="00B06775">
        <w:t>2.9 Quantitative polymerase chain reaction (qPCR) validation of genes of interest</w:t>
      </w:r>
    </w:p>
    <w:p w:rsidR="00620C8E" w:rsidRDefault="00500E27" w:rsidP="00E17D1A">
      <w:pPr>
        <w:pStyle w:val="RSCB06BHeadingSub-Section"/>
      </w:pPr>
      <w:r w:rsidRPr="00500E27">
        <w:rPr>
          <w:rFonts w:cs="Times New Roman"/>
          <w:b w:val="0"/>
          <w:w w:val="108"/>
          <w:szCs w:val="18"/>
        </w:rPr>
        <w:t>qPCR was used to validate the expression trends of selected genes of interest identified by methyl-</w:t>
      </w:r>
      <w:proofErr w:type="spellStart"/>
      <w:r w:rsidRPr="00500E27">
        <w:rPr>
          <w:rFonts w:cs="Times New Roman"/>
          <w:b w:val="0"/>
          <w:w w:val="108"/>
          <w:szCs w:val="18"/>
        </w:rPr>
        <w:t>seq</w:t>
      </w:r>
      <w:proofErr w:type="spellEnd"/>
      <w:r w:rsidRPr="00500E27">
        <w:rPr>
          <w:rFonts w:cs="Times New Roman"/>
          <w:b w:val="0"/>
          <w:w w:val="108"/>
          <w:szCs w:val="18"/>
        </w:rPr>
        <w:t xml:space="preserve"> and RNA-seq. First-strand cDNA from isolated 300 ng mRNA from pooled samples was synthesized using TaqMan® Reverse Transcription reagents (Applied Biosystems, Carlsbad, CA, USA). qPCR was carried out using a </w:t>
      </w:r>
      <w:proofErr w:type="spellStart"/>
      <w:r w:rsidRPr="00500E27">
        <w:rPr>
          <w:rFonts w:cs="Times New Roman"/>
          <w:b w:val="0"/>
          <w:w w:val="108"/>
          <w:szCs w:val="18"/>
        </w:rPr>
        <w:t>QuantStudio</w:t>
      </w:r>
      <w:proofErr w:type="spellEnd"/>
      <w:r w:rsidRPr="00500E27">
        <w:rPr>
          <w:rFonts w:cs="Times New Roman"/>
          <w:b w:val="0"/>
          <w:w w:val="108"/>
          <w:szCs w:val="18"/>
        </w:rPr>
        <w:t>™ 5 Real-Time PCR System (Applied Biosystems) with SYBR Green PCR Master Mix (Applied Biosystems) with the qPCR primers listed in Table 1. The gene expression fold changes were normalized to the expression of beta-actin using the 2^−ΔΔCT method (RQ values). The gene expressions from HG group were normalized to 1 and the relative fold changes were obtained from the comparation between the other 2 groups to HG group. All the primers were designed and ordered from Integrated DNA Technologies (IDT, Coralville, Iowa, USA).</w:t>
      </w:r>
    </w:p>
    <w:p w:rsidR="00500E27" w:rsidRDefault="00500E27" w:rsidP="00500E27">
      <w:pPr>
        <w:pStyle w:val="RSCB06BHeadingSub-Section"/>
      </w:pPr>
      <w:r w:rsidRPr="00500E27">
        <w:t>2.10 Statistical analysis</w:t>
      </w:r>
    </w:p>
    <w:p w:rsidR="00500E27" w:rsidRDefault="00500E27" w:rsidP="00C97186">
      <w:pPr>
        <w:pStyle w:val="RSCB06BHeadingSub-Section"/>
        <w:rPr>
          <w:rFonts w:cs="Times New Roman"/>
          <w:b w:val="0"/>
          <w:w w:val="108"/>
          <w:szCs w:val="18"/>
        </w:rPr>
      </w:pPr>
      <w:r w:rsidRPr="00500E27">
        <w:rPr>
          <w:rFonts w:cs="Times New Roman"/>
          <w:b w:val="0"/>
          <w:w w:val="108"/>
          <w:szCs w:val="18"/>
        </w:rPr>
        <w:t>The data are presented as the mean ± standard deviation (std). One-way analysis of variance (ANOVA) test was performed to test for the differences between the mean RQ values of the three treatment groups, followed by a post hoc pairwise comparisons (Dunnett’s test). Differences with p-values less than 0.05 were considered statistically significant.</w:t>
      </w:r>
    </w:p>
    <w:p w:rsidR="00500E27" w:rsidRDefault="00500E27" w:rsidP="00C97186">
      <w:pPr>
        <w:pStyle w:val="RSCB06BHeadingSub-Section"/>
        <w:rPr>
          <w:sz w:val="24"/>
        </w:rPr>
      </w:pPr>
    </w:p>
    <w:p w:rsidR="00317C74" w:rsidRDefault="00317C74" w:rsidP="00317C74">
      <w:pPr>
        <w:pStyle w:val="RSCB06BHeadingSub-Section"/>
        <w:rPr>
          <w:sz w:val="24"/>
        </w:rPr>
      </w:pPr>
      <w:r w:rsidRPr="00317C74">
        <w:rPr>
          <w:sz w:val="24"/>
        </w:rPr>
        <w:t>3. Results and Discussion</w:t>
      </w:r>
    </w:p>
    <w:p w:rsidR="00317C74" w:rsidRDefault="00317C74" w:rsidP="00317C74">
      <w:pPr>
        <w:pStyle w:val="RSCB06BHeadingSub-Section"/>
      </w:pPr>
      <w:r w:rsidRPr="00317C74">
        <w:t>3.1 TIIA exerted protection effect on intracellular reactive oxygen species (ROS) induced by high glucose</w:t>
      </w:r>
    </w:p>
    <w:p w:rsidR="00317C74" w:rsidRDefault="00317C74" w:rsidP="00317C74">
      <w:pPr>
        <w:pStyle w:val="RSCB08CHeadingIn-line"/>
        <w:rPr>
          <w:rFonts w:cs="Times New Roman"/>
          <w:b w:val="0"/>
          <w:w w:val="108"/>
          <w:szCs w:val="18"/>
        </w:rPr>
      </w:pPr>
      <w:r w:rsidRPr="00317C74">
        <w:rPr>
          <w:rFonts w:cs="Times New Roman"/>
          <w:b w:val="0"/>
          <w:w w:val="108"/>
          <w:szCs w:val="18"/>
        </w:rPr>
        <w:t xml:space="preserve">In mouse kidney </w:t>
      </w:r>
      <w:r w:rsidR="00274635">
        <w:rPr>
          <w:rFonts w:cs="Times New Roman"/>
          <w:b w:val="0"/>
          <w:w w:val="108"/>
          <w:szCs w:val="18"/>
        </w:rPr>
        <w:t>MES</w:t>
      </w:r>
      <w:r w:rsidRPr="00317C74">
        <w:rPr>
          <w:rFonts w:cs="Times New Roman"/>
          <w:b w:val="0"/>
          <w:w w:val="108"/>
          <w:szCs w:val="18"/>
        </w:rPr>
        <w:t xml:space="preserve">13 cells, 2 days treatment of high glucose (HG) will induce 1-fold increase of intracellular ROS damage comparing with low glucose group (Figures 2A&amp;E), while co-treatment of TIIA (5µM, 10 µM and 15 µM) (Figures 2B, C, D &amp;E) could protect </w:t>
      </w:r>
      <w:r w:rsidR="00274635">
        <w:rPr>
          <w:rFonts w:cs="Times New Roman"/>
          <w:b w:val="0"/>
          <w:w w:val="108"/>
          <w:szCs w:val="18"/>
        </w:rPr>
        <w:t>MES</w:t>
      </w:r>
      <w:r w:rsidRPr="00317C74">
        <w:rPr>
          <w:rFonts w:cs="Times New Roman"/>
          <w:b w:val="0"/>
          <w:w w:val="108"/>
          <w:szCs w:val="18"/>
        </w:rPr>
        <w:t xml:space="preserve">13 cells against ROS damage by HG. Excessive ROS is highly associated with apoptosis and kidney cell damage upon HG stimulations in DN </w:t>
      </w:r>
      <w:r w:rsidRPr="00317C74">
        <w:rPr>
          <w:rFonts w:cs="Times New Roman"/>
          <w:b w:val="0"/>
          <w:w w:val="108"/>
          <w:szCs w:val="18"/>
          <w:vertAlign w:val="superscript"/>
        </w:rPr>
        <w:t>5, 6</w:t>
      </w:r>
      <w:r w:rsidRPr="00317C74">
        <w:rPr>
          <w:rFonts w:cs="Times New Roman"/>
          <w:b w:val="0"/>
          <w:w w:val="108"/>
          <w:szCs w:val="18"/>
        </w:rPr>
        <w:t xml:space="preserve"> and TIIA treatment has shown a very promising reversal efficacy especially at 5 µM concentration. Hence, in the following NGS study, we treated </w:t>
      </w:r>
      <w:r w:rsidR="00274635">
        <w:rPr>
          <w:rFonts w:cs="Times New Roman"/>
          <w:b w:val="0"/>
          <w:w w:val="108"/>
          <w:szCs w:val="18"/>
        </w:rPr>
        <w:t>MES</w:t>
      </w:r>
      <w:r w:rsidRPr="00317C74">
        <w:rPr>
          <w:rFonts w:cs="Times New Roman"/>
          <w:b w:val="0"/>
          <w:w w:val="108"/>
          <w:szCs w:val="18"/>
        </w:rPr>
        <w:t>13 cells at this concentration for 5 days to study the global epigenomics change induced by TIIA in preventing DN.</w:t>
      </w:r>
    </w:p>
    <w:p w:rsidR="00317C74" w:rsidRDefault="00317C74" w:rsidP="00317C74">
      <w:pPr>
        <w:pStyle w:val="RSCB06BHeadingSub-Section"/>
      </w:pPr>
      <w:r w:rsidRPr="00317C74">
        <w:t>3.2 Global transcriptome results comparison</w:t>
      </w:r>
    </w:p>
    <w:p w:rsidR="00317C74" w:rsidRDefault="00317C74" w:rsidP="00317C74">
      <w:pPr>
        <w:pStyle w:val="RSCB06BHeadingSub-Section"/>
        <w:rPr>
          <w:rFonts w:cs="Times New Roman"/>
          <w:b w:val="0"/>
          <w:w w:val="108"/>
          <w:szCs w:val="18"/>
        </w:rPr>
      </w:pPr>
      <w:r w:rsidRPr="00317C74">
        <w:rPr>
          <w:rFonts w:cs="Times New Roman"/>
          <w:b w:val="0"/>
          <w:w w:val="108"/>
          <w:szCs w:val="18"/>
        </w:rPr>
        <w:t>Global gene expressions were ranked in the order of expression log2 fold change. 1,780 genes from HG/LG and 1,416 genes from TIIA/HG with the log2 fold change levels of 0.3 or more (both, positive and negative) were then used as an input to the IPA software. Top 50 annotated genes with the highest log2-fold change in either direction in HG over LG comparison and top 50 annotated genes with the highest log2-fold change in either direction in TIIA over HG were listed in Table 2 and 3 respectively. Doughnut Heatmap (Figure 3A) demonstrates the 213 overlapping genes with log2 fold changes greater than 0.3 and filtered by q-values which show reversal of the effect of HG treatment by TIIA. As indicated in the Venn diagrams, there are 263 genes increased in HG versus LG and 1,393 genes decreased in TIIA versus HG. Among them, same 124 genes both increased in HG over LG and decreased in TIIA over HG (Figure 3B). There are 207 genes decreased in HG over LG and 1,120 genes increased in TIIA over HG. Among them, same 89 genes both decreased in HG over LG and increased in TIIA over HG (Figure 3C). Those 124 overlapping genes from HG/LG and 89 from TIIA/HG which show the opposite trends in the comparisons were marked as candidates for the genes of interest.</w:t>
      </w:r>
    </w:p>
    <w:p w:rsidR="00752775" w:rsidRDefault="00752775" w:rsidP="00317C74">
      <w:pPr>
        <w:pStyle w:val="RSCB06BHeadingSub-Section"/>
        <w:rPr>
          <w:rFonts w:cs="Times New Roman"/>
          <w:b w:val="0"/>
          <w:w w:val="108"/>
          <w:szCs w:val="18"/>
        </w:rPr>
      </w:pPr>
    </w:p>
    <w:p w:rsidR="00752775" w:rsidRDefault="00752775" w:rsidP="00317C74">
      <w:pPr>
        <w:pStyle w:val="RSCB06BHeadingSub-Section"/>
      </w:pPr>
      <w:r w:rsidRPr="00752775">
        <w:t xml:space="preserve">3.3 </w:t>
      </w:r>
      <w:proofErr w:type="spellStart"/>
      <w:r w:rsidRPr="00752775">
        <w:t>SureSelect</w:t>
      </w:r>
      <w:proofErr w:type="spellEnd"/>
      <w:r w:rsidRPr="00752775">
        <w:t xml:space="preserve"> Methyl-</w:t>
      </w:r>
      <w:proofErr w:type="spellStart"/>
      <w:r w:rsidRPr="00752775">
        <w:t>seq</w:t>
      </w:r>
      <w:proofErr w:type="spellEnd"/>
      <w:r w:rsidRPr="00752775">
        <w:t xml:space="preserve"> analysis</w:t>
      </w:r>
    </w:p>
    <w:p w:rsidR="00752775" w:rsidRDefault="00752775" w:rsidP="00317C74">
      <w:pPr>
        <w:pStyle w:val="RSCB06BHeadingSub-Section"/>
        <w:rPr>
          <w:rFonts w:cs="Times New Roman"/>
          <w:b w:val="0"/>
          <w:w w:val="108"/>
          <w:szCs w:val="18"/>
        </w:rPr>
      </w:pPr>
      <w:r w:rsidRPr="00752775">
        <w:rPr>
          <w:rFonts w:cs="Times New Roman"/>
          <w:b w:val="0"/>
          <w:w w:val="108"/>
          <w:szCs w:val="18"/>
        </w:rPr>
        <w:t xml:space="preserve">To understand the involvement of DNA methylation in DN, we determined the single-base-resolution DNA methylation of mouse kidney mesangial cells from LG, HG and TIIA groups. A comparison of the methylation landscape across the treatments showed that overall methylation levels differed by the region but not by treatment, e.g. methylation ratios were much lower in the promoter regions compared to body and intergenic (downstream) regions (Figure 4a). Majority of DMRs consisted of a small number of </w:t>
      </w:r>
      <w:proofErr w:type="spellStart"/>
      <w:r w:rsidRPr="00752775">
        <w:rPr>
          <w:rFonts w:cs="Times New Roman"/>
          <w:b w:val="0"/>
          <w:w w:val="108"/>
          <w:szCs w:val="18"/>
        </w:rPr>
        <w:t>CpGs</w:t>
      </w:r>
      <w:proofErr w:type="spellEnd"/>
      <w:r w:rsidRPr="00752775">
        <w:rPr>
          <w:rFonts w:cs="Times New Roman"/>
          <w:b w:val="0"/>
          <w:w w:val="108"/>
          <w:szCs w:val="18"/>
        </w:rPr>
        <w:t xml:space="preserve"> (3 to 7) (Figure 4b), with nearly a quarter of CpG located in the promoter region (Figure 4c).</w:t>
      </w:r>
    </w:p>
    <w:p w:rsidR="00752775" w:rsidRDefault="00752775" w:rsidP="00317C74">
      <w:pPr>
        <w:pStyle w:val="RSCB06BHeadingSub-Section"/>
      </w:pPr>
      <w:r w:rsidRPr="00752775">
        <w:t xml:space="preserve">3.4 Correlation of </w:t>
      </w:r>
      <w:proofErr w:type="spellStart"/>
      <w:r w:rsidRPr="00752775">
        <w:t>SureSelect</w:t>
      </w:r>
      <w:proofErr w:type="spellEnd"/>
      <w:r w:rsidRPr="00752775">
        <w:t xml:space="preserve"> Methyl-</w:t>
      </w:r>
      <w:proofErr w:type="spellStart"/>
      <w:r w:rsidRPr="00752775">
        <w:t>seq</w:t>
      </w:r>
      <w:proofErr w:type="spellEnd"/>
      <w:r w:rsidRPr="00752775">
        <w:t xml:space="preserve"> results with RNA-</w:t>
      </w:r>
      <w:proofErr w:type="spellStart"/>
      <w:r w:rsidRPr="00752775">
        <w:t>seq</w:t>
      </w:r>
      <w:proofErr w:type="spellEnd"/>
      <w:r w:rsidRPr="00752775">
        <w:t xml:space="preserve"> results</w:t>
      </w:r>
    </w:p>
    <w:p w:rsidR="00752775" w:rsidRDefault="00752775" w:rsidP="00317C74">
      <w:pPr>
        <w:pStyle w:val="RSCB06BHeadingSub-Section"/>
        <w:rPr>
          <w:rFonts w:cs="Times New Roman"/>
          <w:b w:val="0"/>
          <w:w w:val="108"/>
          <w:szCs w:val="18"/>
        </w:rPr>
      </w:pPr>
      <w:r w:rsidRPr="00752775">
        <w:rPr>
          <w:rFonts w:cs="Times New Roman"/>
          <w:b w:val="0"/>
          <w:w w:val="108"/>
          <w:szCs w:val="18"/>
        </w:rPr>
        <w:t>Mounting evidences have suggested that the methylation status alteration of gene promoters, unlike other regions, caused reversed gene expression change: hypermethylation of coding or noncoding gene promoters correlates with the reduced expression of them and hypomethylation correlates with increased expression46. Based on this notion, we prepared quadrantal graphs to show the association between DNA methylation and gene expression of the 213 overlapping genes from the RNA-</w:t>
      </w:r>
      <w:proofErr w:type="spellStart"/>
      <w:r w:rsidRPr="00752775">
        <w:rPr>
          <w:rFonts w:cs="Times New Roman"/>
          <w:b w:val="0"/>
          <w:w w:val="108"/>
          <w:szCs w:val="18"/>
        </w:rPr>
        <w:t>seq</w:t>
      </w:r>
      <w:proofErr w:type="spellEnd"/>
      <w:r w:rsidRPr="00752775">
        <w:rPr>
          <w:rFonts w:cs="Times New Roman"/>
          <w:b w:val="0"/>
          <w:w w:val="108"/>
          <w:szCs w:val="18"/>
        </w:rPr>
        <w:t xml:space="preserve"> results (Figures 5a and 5b). The genes with green dots (corresponding to promoters) in the upper left and the lower right quadrants suggested reversed alteration of methylation in promoters with RNA expression levels. DNA methylation level differences of these genes along with the gene expression differences are presented as Lollipop plots (Figure 7).</w:t>
      </w:r>
    </w:p>
    <w:p w:rsidR="00235A47" w:rsidRDefault="00235A47" w:rsidP="00317C74">
      <w:pPr>
        <w:pStyle w:val="RSCB06BHeadingSub-Section"/>
      </w:pPr>
      <w:r w:rsidRPr="00235A47">
        <w:t>3.5 Validation of selected gene expression which shows close correlation between RNA-</w:t>
      </w:r>
      <w:proofErr w:type="spellStart"/>
      <w:r w:rsidRPr="00235A47">
        <w:t>seq</w:t>
      </w:r>
      <w:proofErr w:type="spellEnd"/>
      <w:r w:rsidRPr="00235A47">
        <w:t xml:space="preserve"> and methyl-</w:t>
      </w:r>
      <w:proofErr w:type="spellStart"/>
      <w:r w:rsidRPr="00235A47">
        <w:t>seq</w:t>
      </w:r>
      <w:proofErr w:type="spellEnd"/>
      <w:r w:rsidRPr="00235A47">
        <w:t xml:space="preserve"> by quantitative real</w:t>
      </w:r>
      <w:r w:rsidRPr="00235A47">
        <w:rPr>
          <w:rFonts w:ascii="MS Gothic" w:eastAsia="MS Gothic" w:hAnsi="MS Gothic" w:cs="MS Gothic" w:hint="eastAsia"/>
        </w:rPr>
        <w:t>‑</w:t>
      </w:r>
      <w:r w:rsidRPr="00235A47">
        <w:t>time RT</w:t>
      </w:r>
      <w:r w:rsidRPr="00235A47">
        <w:rPr>
          <w:rFonts w:ascii="MS Gothic" w:eastAsia="MS Gothic" w:hAnsi="MS Gothic" w:cs="MS Gothic" w:hint="eastAsia"/>
        </w:rPr>
        <w:t>‑</w:t>
      </w:r>
      <w:r w:rsidRPr="00235A47">
        <w:t>PCR</w:t>
      </w:r>
    </w:p>
    <w:p w:rsidR="00235A47" w:rsidRDefault="00235A47" w:rsidP="00317C74">
      <w:pPr>
        <w:pStyle w:val="RSCB06BHeadingSub-Section"/>
        <w:rPr>
          <w:rFonts w:cs="Times New Roman"/>
          <w:b w:val="0"/>
          <w:w w:val="108"/>
          <w:szCs w:val="18"/>
        </w:rPr>
      </w:pPr>
      <w:r w:rsidRPr="00235A47">
        <w:rPr>
          <w:rFonts w:cs="Times New Roman"/>
          <w:b w:val="0"/>
          <w:w w:val="108"/>
          <w:szCs w:val="18"/>
        </w:rPr>
        <w:t xml:space="preserve">Genes of interest expression in HG were normalized to 1. In Figure 6, relative expression of </w:t>
      </w:r>
      <w:proofErr w:type="spellStart"/>
      <w:r w:rsidRPr="00235A47">
        <w:rPr>
          <w:rFonts w:cs="Times New Roman"/>
          <w:b w:val="0"/>
          <w:w w:val="108"/>
          <w:szCs w:val="18"/>
        </w:rPr>
        <w:t>Gulo</w:t>
      </w:r>
      <w:proofErr w:type="spellEnd"/>
      <w:r w:rsidRPr="00235A47">
        <w:rPr>
          <w:rFonts w:cs="Times New Roman"/>
          <w:b w:val="0"/>
          <w:w w:val="108"/>
          <w:szCs w:val="18"/>
        </w:rPr>
        <w:t xml:space="preserve"> and </w:t>
      </w:r>
      <w:proofErr w:type="spellStart"/>
      <w:r w:rsidRPr="00235A47">
        <w:rPr>
          <w:rFonts w:cs="Times New Roman"/>
          <w:b w:val="0"/>
          <w:w w:val="108"/>
          <w:szCs w:val="18"/>
        </w:rPr>
        <w:t>Kcnip</w:t>
      </w:r>
      <w:proofErr w:type="spellEnd"/>
      <w:r w:rsidRPr="00235A47">
        <w:rPr>
          <w:rFonts w:cs="Times New Roman"/>
          <w:b w:val="0"/>
          <w:w w:val="108"/>
          <w:szCs w:val="18"/>
        </w:rPr>
        <w:t xml:space="preserve"> were significantly decreased from 1.65 to 1 and 1.29 to 1 in comparing LG with HG and increased from 1 to 1.54 and 1 to 1.20 from HG to TIIA respectively (p&lt;0.05). Relative expression of Fgl2 were significantly increased from 0.67 to 1 from LG group to HG group and decreased from 1 to 0.74 from HG to TIIA (p&lt;0.05). The relative expression of </w:t>
      </w:r>
      <w:proofErr w:type="spellStart"/>
      <w:r w:rsidRPr="00235A47">
        <w:rPr>
          <w:rFonts w:cs="Times New Roman"/>
          <w:b w:val="0"/>
          <w:w w:val="108"/>
          <w:szCs w:val="18"/>
        </w:rPr>
        <w:t>Nmu</w:t>
      </w:r>
      <w:proofErr w:type="spellEnd"/>
      <w:r w:rsidRPr="00235A47">
        <w:rPr>
          <w:rFonts w:cs="Times New Roman"/>
          <w:b w:val="0"/>
          <w:w w:val="108"/>
          <w:szCs w:val="18"/>
        </w:rPr>
        <w:t xml:space="preserve"> were increased from 0.80 to 1 (from LG to HG) and decreased from 1 to 0.84 (from HG to TIIA). All these change trend correlates well with the RNA-</w:t>
      </w:r>
      <w:proofErr w:type="spellStart"/>
      <w:r w:rsidRPr="00235A47">
        <w:rPr>
          <w:rFonts w:cs="Times New Roman"/>
          <w:b w:val="0"/>
          <w:w w:val="108"/>
          <w:szCs w:val="18"/>
        </w:rPr>
        <w:t>seq</w:t>
      </w:r>
      <w:proofErr w:type="spellEnd"/>
      <w:r w:rsidRPr="00235A47">
        <w:rPr>
          <w:rFonts w:cs="Times New Roman"/>
          <w:b w:val="0"/>
          <w:w w:val="108"/>
          <w:szCs w:val="18"/>
        </w:rPr>
        <w:t xml:space="preserve"> results (Table 4).</w:t>
      </w:r>
    </w:p>
    <w:p w:rsidR="00604ED2" w:rsidRDefault="00604ED2" w:rsidP="00317C74">
      <w:pPr>
        <w:pStyle w:val="RSCB06BHeadingSub-Section"/>
      </w:pPr>
      <w:r w:rsidRPr="00604ED2">
        <w:t xml:space="preserve">3.6 Lollipop figures show the association between </w:t>
      </w:r>
      <w:proofErr w:type="spellStart"/>
      <w:r w:rsidRPr="00604ED2">
        <w:t>SureSelect</w:t>
      </w:r>
      <w:proofErr w:type="spellEnd"/>
      <w:r w:rsidRPr="00604ED2">
        <w:t xml:space="preserve"> methyl-</w:t>
      </w:r>
      <w:proofErr w:type="spellStart"/>
      <w:r w:rsidRPr="00604ED2">
        <w:t>seq</w:t>
      </w:r>
      <w:proofErr w:type="spellEnd"/>
      <w:r w:rsidRPr="00604ED2">
        <w:t xml:space="preserve"> and RNA-</w:t>
      </w:r>
      <w:proofErr w:type="spellStart"/>
      <w:r w:rsidRPr="00604ED2">
        <w:t>seq</w:t>
      </w:r>
      <w:proofErr w:type="spellEnd"/>
      <w:r w:rsidRPr="00604ED2">
        <w:t xml:space="preserve"> results</w:t>
      </w:r>
    </w:p>
    <w:p w:rsidR="00317C74" w:rsidRDefault="00604ED2" w:rsidP="00317C74">
      <w:pPr>
        <w:pStyle w:val="RSCB06BHeadingSub-Section"/>
      </w:pPr>
      <w:r w:rsidRPr="00604ED2">
        <w:rPr>
          <w:rFonts w:cs="Times New Roman"/>
          <w:b w:val="0"/>
          <w:w w:val="108"/>
          <w:szCs w:val="18"/>
        </w:rPr>
        <w:t xml:space="preserve">The Lollipop plots (Figures 7A, B, C and D) provides in-depth understanding of RNA expression and DNA methylation difference within the HG/LG and TIIA/HG comparisons. The length of the stem corresponds to the methylation ratio, up or down orientation indicates the increase or decrease of methylation, and the </w:t>
      </w:r>
      <w:proofErr w:type="spellStart"/>
      <w:r w:rsidRPr="00604ED2">
        <w:rPr>
          <w:rFonts w:cs="Times New Roman"/>
          <w:b w:val="0"/>
          <w:w w:val="108"/>
          <w:szCs w:val="18"/>
        </w:rPr>
        <w:t>color</w:t>
      </w:r>
      <w:proofErr w:type="spellEnd"/>
      <w:r w:rsidRPr="00604ED2">
        <w:rPr>
          <w:rFonts w:cs="Times New Roman"/>
          <w:b w:val="0"/>
          <w:w w:val="108"/>
          <w:szCs w:val="18"/>
        </w:rPr>
        <w:t xml:space="preserve"> of the bubble codes for the different methylation regions (exon: blue; intron: white; promoter: red; distal intergenic region: purple). RNA expression of genes of interest are also listed in the figure. The Lollipops figures are in good accordance with </w:t>
      </w:r>
      <w:proofErr w:type="spellStart"/>
      <w:r w:rsidRPr="00604ED2">
        <w:rPr>
          <w:rFonts w:cs="Times New Roman"/>
          <w:b w:val="0"/>
          <w:w w:val="108"/>
          <w:szCs w:val="18"/>
        </w:rPr>
        <w:t>SureSelect</w:t>
      </w:r>
      <w:proofErr w:type="spellEnd"/>
      <w:r w:rsidRPr="00604ED2">
        <w:rPr>
          <w:rFonts w:cs="Times New Roman"/>
          <w:b w:val="0"/>
          <w:w w:val="108"/>
          <w:szCs w:val="18"/>
        </w:rPr>
        <w:t xml:space="preserve"> methyl-</w:t>
      </w:r>
      <w:proofErr w:type="spellStart"/>
      <w:r w:rsidRPr="00604ED2">
        <w:rPr>
          <w:rFonts w:cs="Times New Roman"/>
          <w:b w:val="0"/>
          <w:w w:val="108"/>
          <w:szCs w:val="18"/>
        </w:rPr>
        <w:t>seq</w:t>
      </w:r>
      <w:proofErr w:type="spellEnd"/>
      <w:r w:rsidRPr="00604ED2">
        <w:rPr>
          <w:rFonts w:cs="Times New Roman"/>
          <w:b w:val="0"/>
          <w:w w:val="108"/>
          <w:szCs w:val="18"/>
        </w:rPr>
        <w:t xml:space="preserve"> results and demonstrate the association between DNA promoter methylation ratio and RNA expression. Fgl2 and </w:t>
      </w:r>
      <w:proofErr w:type="spellStart"/>
      <w:r w:rsidRPr="00604ED2">
        <w:rPr>
          <w:rFonts w:cs="Times New Roman"/>
          <w:b w:val="0"/>
          <w:w w:val="108"/>
          <w:szCs w:val="18"/>
        </w:rPr>
        <w:t>Nmu</w:t>
      </w:r>
      <w:proofErr w:type="spellEnd"/>
      <w:r w:rsidRPr="00604ED2">
        <w:rPr>
          <w:rFonts w:cs="Times New Roman"/>
          <w:b w:val="0"/>
          <w:w w:val="108"/>
          <w:szCs w:val="18"/>
        </w:rPr>
        <w:t xml:space="preserve"> indicate a methylation ratio decrease in promoter region in HG/LG and the ratio increase in TIIA/HG. In addition, the genes expression from RNA-</w:t>
      </w:r>
      <w:proofErr w:type="spellStart"/>
      <w:r w:rsidRPr="00604ED2">
        <w:rPr>
          <w:rFonts w:cs="Times New Roman"/>
          <w:b w:val="0"/>
          <w:w w:val="108"/>
          <w:szCs w:val="18"/>
        </w:rPr>
        <w:t>seq</w:t>
      </w:r>
      <w:proofErr w:type="spellEnd"/>
      <w:r w:rsidRPr="00604ED2">
        <w:rPr>
          <w:rFonts w:cs="Times New Roman"/>
          <w:b w:val="0"/>
          <w:w w:val="108"/>
          <w:szCs w:val="18"/>
        </w:rPr>
        <w:t xml:space="preserve"> shows an increase in HG/LG and decrease in TIIA/HG. </w:t>
      </w:r>
      <w:proofErr w:type="spellStart"/>
      <w:r w:rsidRPr="00604ED2">
        <w:rPr>
          <w:rFonts w:cs="Times New Roman"/>
          <w:b w:val="0"/>
          <w:w w:val="108"/>
          <w:szCs w:val="18"/>
        </w:rPr>
        <w:t>Gulo</w:t>
      </w:r>
      <w:proofErr w:type="spellEnd"/>
      <w:r w:rsidRPr="00604ED2">
        <w:rPr>
          <w:rFonts w:cs="Times New Roman"/>
          <w:b w:val="0"/>
          <w:w w:val="108"/>
          <w:szCs w:val="18"/>
        </w:rPr>
        <w:t xml:space="preserve"> and Kcnip2 have opposite changes in DNA promoter methylation ratio and gene expression with Fgl2 and </w:t>
      </w:r>
      <w:proofErr w:type="spellStart"/>
      <w:r w:rsidRPr="00604ED2">
        <w:rPr>
          <w:rFonts w:cs="Times New Roman"/>
          <w:b w:val="0"/>
          <w:w w:val="108"/>
          <w:szCs w:val="18"/>
        </w:rPr>
        <w:t>Nmu</w:t>
      </w:r>
      <w:proofErr w:type="spellEnd"/>
      <w:r w:rsidRPr="00604ED2">
        <w:rPr>
          <w:rFonts w:cs="Times New Roman"/>
          <w:b w:val="0"/>
          <w:w w:val="108"/>
          <w:szCs w:val="18"/>
        </w:rPr>
        <w:t>. These results suggest treatment of TIIA can reverse HG influence in DNA promoter methylation and gene expression in the 4 genes of interest.</w:t>
      </w:r>
    </w:p>
    <w:p w:rsidR="008670E9" w:rsidRDefault="008670E9" w:rsidP="008670E9">
      <w:pPr>
        <w:pStyle w:val="RSCB06BHeadingSub-Section"/>
      </w:pPr>
      <w:r w:rsidRPr="008670E9">
        <w:t>3.7 Top differentially canonical pathways, Tox and diseases influenced by HG and treatment by TIIA identified by IPA analysis</w:t>
      </w:r>
    </w:p>
    <w:p w:rsidR="008670E9" w:rsidRPr="008670E9" w:rsidRDefault="008670E9" w:rsidP="008670E9">
      <w:pPr>
        <w:pStyle w:val="RSCB06BHeadingSub-Section"/>
        <w:rPr>
          <w:rFonts w:cs="Times New Roman"/>
          <w:b w:val="0"/>
          <w:w w:val="108"/>
          <w:szCs w:val="18"/>
        </w:rPr>
      </w:pPr>
      <w:r w:rsidRPr="008670E9">
        <w:rPr>
          <w:rFonts w:cs="Times New Roman"/>
          <w:b w:val="0"/>
          <w:w w:val="108"/>
          <w:szCs w:val="18"/>
        </w:rPr>
        <w:t xml:space="preserve">Figure 8 indicates the 10 most significant associated canonical pathways identified by IPA from all significant and reliable Differentially expressed genes in HG versus LG (Figure 8a) and TIIA versus HG groups (Figure 8b) from </w:t>
      </w:r>
      <w:r w:rsidR="00274635">
        <w:rPr>
          <w:rFonts w:cs="Times New Roman"/>
          <w:b w:val="0"/>
          <w:w w:val="108"/>
          <w:szCs w:val="18"/>
        </w:rPr>
        <w:t>MES</w:t>
      </w:r>
      <w:r w:rsidRPr="008670E9">
        <w:rPr>
          <w:rFonts w:cs="Times New Roman"/>
          <w:b w:val="0"/>
          <w:w w:val="108"/>
          <w:szCs w:val="18"/>
        </w:rPr>
        <w:t xml:space="preserve">13 cells after 5 days treatment. In the top 2 significant associated pathways in the comparison group of HG versus LG, HG can induce both Leukotriene biosynthesis and Eicosanoid </w:t>
      </w:r>
      <w:proofErr w:type="spellStart"/>
      <w:r w:rsidRPr="008670E9">
        <w:rPr>
          <w:rFonts w:cs="Times New Roman"/>
          <w:b w:val="0"/>
          <w:w w:val="108"/>
          <w:szCs w:val="18"/>
        </w:rPr>
        <w:t>Signaling</w:t>
      </w:r>
      <w:proofErr w:type="spellEnd"/>
      <w:r w:rsidRPr="008670E9">
        <w:rPr>
          <w:rFonts w:cs="Times New Roman"/>
          <w:b w:val="0"/>
          <w:w w:val="108"/>
          <w:szCs w:val="18"/>
        </w:rPr>
        <w:t>, which are both highly related to enhance proinflammation factors like leukotrienes, prostaglandin, cyclooxygenases (COX-1 and COX-2), promote inflammation and amplify immune response. Leukotrienes are proinflammatory metabolites of arachidonic acid</w:t>
      </w:r>
      <w:r>
        <w:rPr>
          <w:rFonts w:cs="Times New Roman"/>
          <w:b w:val="0"/>
          <w:w w:val="108"/>
          <w:szCs w:val="18"/>
        </w:rPr>
        <w:t xml:space="preserve"> </w:t>
      </w:r>
      <w:r w:rsidRPr="008670E9">
        <w:rPr>
          <w:rFonts w:cs="Times New Roman"/>
          <w:b w:val="0"/>
          <w:w w:val="108"/>
          <w:szCs w:val="18"/>
        </w:rPr>
        <w:t>(AA) that activate and amplify innate and adaptive immune responses</w:t>
      </w:r>
      <w:r w:rsidRPr="008670E9">
        <w:rPr>
          <w:rFonts w:cs="Times New Roman"/>
          <w:b w:val="0"/>
          <w:w w:val="108"/>
          <w:szCs w:val="18"/>
          <w:vertAlign w:val="superscript"/>
        </w:rPr>
        <w:t>47</w:t>
      </w:r>
      <w:r w:rsidRPr="008670E9">
        <w:rPr>
          <w:rFonts w:cs="Times New Roman"/>
          <w:b w:val="0"/>
          <w:w w:val="108"/>
          <w:szCs w:val="18"/>
        </w:rPr>
        <w:t>. They can induce leukocyte aggregation, activate phagocyte and generate proinflammatory factors</w:t>
      </w:r>
      <w:r w:rsidRPr="008670E9">
        <w:rPr>
          <w:rFonts w:cs="Times New Roman"/>
          <w:b w:val="0"/>
          <w:w w:val="108"/>
          <w:szCs w:val="18"/>
          <w:vertAlign w:val="superscript"/>
        </w:rPr>
        <w:t>48</w:t>
      </w:r>
      <w:r w:rsidRPr="008670E9">
        <w:rPr>
          <w:rFonts w:cs="Times New Roman"/>
          <w:b w:val="0"/>
          <w:w w:val="108"/>
          <w:szCs w:val="18"/>
        </w:rPr>
        <w:t xml:space="preserve">. Four major types of eicosanoids, prostaglandins, lipoxins, leukotrienes and </w:t>
      </w:r>
      <w:proofErr w:type="spellStart"/>
      <w:r w:rsidRPr="008670E9">
        <w:rPr>
          <w:rFonts w:cs="Times New Roman"/>
          <w:b w:val="0"/>
          <w:w w:val="108"/>
          <w:szCs w:val="18"/>
        </w:rPr>
        <w:t>thromboxanes</w:t>
      </w:r>
      <w:proofErr w:type="spellEnd"/>
      <w:r w:rsidRPr="008670E9">
        <w:rPr>
          <w:rFonts w:cs="Times New Roman"/>
          <w:b w:val="0"/>
          <w:w w:val="108"/>
          <w:szCs w:val="18"/>
        </w:rPr>
        <w:t xml:space="preserve"> are generated by AA through Prostaglandin endoperoxide synthases or lipoxygenases</w:t>
      </w:r>
      <w:r w:rsidRPr="008670E9">
        <w:rPr>
          <w:rFonts w:cs="Times New Roman"/>
          <w:b w:val="0"/>
          <w:w w:val="108"/>
          <w:szCs w:val="18"/>
          <w:vertAlign w:val="superscript"/>
        </w:rPr>
        <w:t>49</w:t>
      </w:r>
      <w:r w:rsidRPr="008670E9">
        <w:rPr>
          <w:rFonts w:cs="Times New Roman"/>
          <w:b w:val="0"/>
          <w:w w:val="108"/>
          <w:szCs w:val="18"/>
        </w:rPr>
        <w:t>. Eicosanoids can modulate complicated oxidative response, inflammation, allergy and carcinogenesis</w:t>
      </w:r>
      <w:r w:rsidRPr="008670E9">
        <w:rPr>
          <w:rFonts w:cs="Times New Roman"/>
          <w:b w:val="0"/>
          <w:w w:val="108"/>
          <w:szCs w:val="18"/>
          <w:vertAlign w:val="superscript"/>
        </w:rPr>
        <w:t>50</w:t>
      </w:r>
      <w:r w:rsidRPr="008670E9">
        <w:rPr>
          <w:rFonts w:cs="Times New Roman"/>
          <w:b w:val="0"/>
          <w:w w:val="108"/>
          <w:szCs w:val="18"/>
        </w:rPr>
        <w:t xml:space="preserve">. Our in vitro long-term HG treatment seems to be able to enhance oxidative stress and inflammation response in mouse kidney mesangial cells mainly via </w:t>
      </w:r>
      <w:r>
        <w:rPr>
          <w:rFonts w:cs="Times New Roman"/>
          <w:b w:val="0"/>
          <w:w w:val="108"/>
          <w:szCs w:val="18"/>
        </w:rPr>
        <w:t>l</w:t>
      </w:r>
      <w:r w:rsidRPr="008670E9">
        <w:rPr>
          <w:rFonts w:cs="Times New Roman"/>
          <w:b w:val="0"/>
          <w:w w:val="108"/>
          <w:szCs w:val="18"/>
        </w:rPr>
        <w:t xml:space="preserve">eukotriene biosynthesis and </w:t>
      </w:r>
      <w:r>
        <w:rPr>
          <w:rFonts w:cs="Times New Roman"/>
          <w:b w:val="0"/>
          <w:w w:val="108"/>
          <w:szCs w:val="18"/>
        </w:rPr>
        <w:t>e</w:t>
      </w:r>
      <w:r w:rsidRPr="008670E9">
        <w:rPr>
          <w:rFonts w:cs="Times New Roman"/>
          <w:b w:val="0"/>
          <w:w w:val="108"/>
          <w:szCs w:val="18"/>
        </w:rPr>
        <w:t xml:space="preserve">icosanoid </w:t>
      </w:r>
      <w:proofErr w:type="spellStart"/>
      <w:r>
        <w:rPr>
          <w:rFonts w:cs="Times New Roman"/>
          <w:b w:val="0"/>
          <w:w w:val="108"/>
          <w:szCs w:val="18"/>
        </w:rPr>
        <w:t>s</w:t>
      </w:r>
      <w:r w:rsidRPr="008670E9">
        <w:rPr>
          <w:rFonts w:cs="Times New Roman"/>
          <w:b w:val="0"/>
          <w:w w:val="108"/>
          <w:szCs w:val="18"/>
        </w:rPr>
        <w:t>ignaling</w:t>
      </w:r>
      <w:proofErr w:type="spellEnd"/>
      <w:r w:rsidRPr="008670E9">
        <w:rPr>
          <w:rFonts w:cs="Times New Roman"/>
          <w:b w:val="0"/>
          <w:w w:val="108"/>
          <w:szCs w:val="18"/>
        </w:rPr>
        <w:t xml:space="preserve"> pathway.</w:t>
      </w:r>
    </w:p>
    <w:p w:rsidR="008670E9" w:rsidRPr="008670E9" w:rsidRDefault="008670E9" w:rsidP="008670E9">
      <w:pPr>
        <w:pStyle w:val="RSCB06BHeadingSub-Section"/>
        <w:rPr>
          <w:rFonts w:cs="Times New Roman"/>
          <w:b w:val="0"/>
          <w:w w:val="108"/>
          <w:szCs w:val="18"/>
        </w:rPr>
      </w:pPr>
      <w:r w:rsidRPr="008670E9">
        <w:rPr>
          <w:rFonts w:cs="Times New Roman"/>
          <w:b w:val="0"/>
          <w:w w:val="108"/>
          <w:szCs w:val="18"/>
        </w:rPr>
        <w:t xml:space="preserve">In the top 2 significant associated pathways in the comparison group of TIIA versus HG, TIIA can influence Liver X receptor (LXR)/ The retinoid X receptors (RXR) activation and enhance glutathione-mediated Detoxification. LXR/ RXR has a close relation with the regulation of metabolism of glucose, lipid and cholesterol and inflammation </w:t>
      </w:r>
      <w:r w:rsidRPr="008670E9">
        <w:rPr>
          <w:rFonts w:cs="Times New Roman"/>
          <w:b w:val="0"/>
          <w:w w:val="108"/>
          <w:szCs w:val="18"/>
          <w:vertAlign w:val="superscript"/>
        </w:rPr>
        <w:t>51</w:t>
      </w:r>
      <w:r w:rsidRPr="008670E9">
        <w:rPr>
          <w:rFonts w:cs="Times New Roman"/>
          <w:b w:val="0"/>
          <w:w w:val="108"/>
          <w:szCs w:val="18"/>
        </w:rPr>
        <w:t>. Tripeptide glutathione (GSH) forms thioether conjugates with leukotrienes, prostaglandin and other chemicals, which can be subsequently degraded by Gamma-glutamyl hydrolase or γ-glutamyl transpeptidase, and dipeptidases</w:t>
      </w:r>
      <w:r w:rsidRPr="002753DE">
        <w:rPr>
          <w:rFonts w:cs="Times New Roman"/>
          <w:b w:val="0"/>
          <w:w w:val="108"/>
          <w:szCs w:val="18"/>
          <w:vertAlign w:val="superscript"/>
        </w:rPr>
        <w:t>52</w:t>
      </w:r>
      <w:r w:rsidRPr="008670E9">
        <w:rPr>
          <w:rFonts w:cs="Times New Roman"/>
          <w:b w:val="0"/>
          <w:w w:val="108"/>
          <w:szCs w:val="18"/>
        </w:rPr>
        <w:t xml:space="preserve">. Our findings suggest TIIA treatment can restore the cellular response induced by HG mainly targeting the above two pathways. </w:t>
      </w:r>
    </w:p>
    <w:p w:rsidR="008670E9" w:rsidRDefault="008670E9" w:rsidP="008670E9">
      <w:pPr>
        <w:pStyle w:val="RSCB06BHeadingSub-Section"/>
        <w:rPr>
          <w:rFonts w:cs="Times New Roman"/>
          <w:b w:val="0"/>
          <w:w w:val="108"/>
          <w:szCs w:val="18"/>
        </w:rPr>
      </w:pPr>
      <w:r w:rsidRPr="008670E9">
        <w:rPr>
          <w:rFonts w:cs="Times New Roman"/>
          <w:b w:val="0"/>
          <w:w w:val="108"/>
          <w:szCs w:val="18"/>
        </w:rPr>
        <w:t xml:space="preserve">The Tox Analysis by IPA is to indicate most associated biological processes and toxicological responses to xenobiotic influence. In the top 10 mostly associated tox changes (Figure 9), majority toxicological response in HG/LG and TIIA/HG are both mainly associated with kidney disorders, which suggest the suitability of High glucose induced </w:t>
      </w:r>
      <w:r w:rsidR="002753DE">
        <w:rPr>
          <w:rFonts w:cs="Times New Roman"/>
          <w:b w:val="0"/>
          <w:w w:val="108"/>
          <w:szCs w:val="18"/>
        </w:rPr>
        <w:t>MES</w:t>
      </w:r>
      <w:r w:rsidRPr="008670E9">
        <w:rPr>
          <w:rFonts w:cs="Times New Roman"/>
          <w:b w:val="0"/>
          <w:w w:val="108"/>
          <w:szCs w:val="18"/>
        </w:rPr>
        <w:t>13 cell model as an in vitro DN cell model. In Figure 10, the most associated disease types, both HG/LG and TIIA/HG models are highly associated with endocrine system disorders and organism injuries, which correlate well with DN.</w:t>
      </w:r>
    </w:p>
    <w:p w:rsidR="002753DE" w:rsidRDefault="002753DE" w:rsidP="008670E9">
      <w:pPr>
        <w:pStyle w:val="RSCB06BHeadingSub-Section"/>
      </w:pPr>
      <w:bookmarkStart w:id="0" w:name="_Hlk2611830"/>
      <w:bookmarkStart w:id="1" w:name="_Hlk2611869"/>
      <w:r w:rsidRPr="002753DE">
        <w:t>3.8 Correlated genes of interest</w:t>
      </w:r>
    </w:p>
    <w:p w:rsidR="002753DE" w:rsidRPr="002753DE" w:rsidRDefault="002753DE" w:rsidP="002753DE">
      <w:pPr>
        <w:pStyle w:val="RSCB08CHeadingIn-line"/>
        <w:rPr>
          <w:rFonts w:cs="Times New Roman"/>
          <w:b w:val="0"/>
          <w:w w:val="108"/>
          <w:szCs w:val="18"/>
        </w:rPr>
      </w:pPr>
      <w:r w:rsidRPr="002753DE">
        <w:rPr>
          <w:rFonts w:cs="Times New Roman"/>
          <w:b w:val="0"/>
          <w:w w:val="108"/>
          <w:szCs w:val="18"/>
        </w:rPr>
        <w:t xml:space="preserve">Based </w:t>
      </w:r>
      <w:bookmarkEnd w:id="0"/>
      <w:r w:rsidRPr="002753DE">
        <w:rPr>
          <w:rFonts w:cs="Times New Roman"/>
          <w:b w:val="0"/>
          <w:w w:val="108"/>
          <w:szCs w:val="18"/>
        </w:rPr>
        <w:t xml:space="preserve">on the analysis of </w:t>
      </w:r>
      <w:proofErr w:type="spellStart"/>
      <w:r w:rsidRPr="002753DE">
        <w:rPr>
          <w:rFonts w:cs="Times New Roman"/>
          <w:b w:val="0"/>
          <w:w w:val="108"/>
          <w:szCs w:val="18"/>
        </w:rPr>
        <w:t>SureSelect</w:t>
      </w:r>
      <w:proofErr w:type="spellEnd"/>
      <w:r w:rsidRPr="002753DE">
        <w:rPr>
          <w:rFonts w:cs="Times New Roman"/>
          <w:b w:val="0"/>
          <w:w w:val="108"/>
          <w:szCs w:val="18"/>
        </w:rPr>
        <w:t xml:space="preserve"> Methyl-</w:t>
      </w:r>
      <w:proofErr w:type="spellStart"/>
      <w:r w:rsidRPr="002753DE">
        <w:rPr>
          <w:rFonts w:cs="Times New Roman"/>
          <w:b w:val="0"/>
          <w:w w:val="108"/>
          <w:szCs w:val="18"/>
        </w:rPr>
        <w:t>seq</w:t>
      </w:r>
      <w:proofErr w:type="spellEnd"/>
      <w:r w:rsidRPr="002753DE">
        <w:rPr>
          <w:rFonts w:cs="Times New Roman"/>
          <w:b w:val="0"/>
          <w:w w:val="108"/>
          <w:szCs w:val="18"/>
        </w:rPr>
        <w:t xml:space="preserve"> and RNA-</w:t>
      </w:r>
      <w:proofErr w:type="spellStart"/>
      <w:r w:rsidRPr="002753DE">
        <w:rPr>
          <w:rFonts w:cs="Times New Roman"/>
          <w:b w:val="0"/>
          <w:w w:val="108"/>
          <w:szCs w:val="18"/>
        </w:rPr>
        <w:t>seq</w:t>
      </w:r>
      <w:proofErr w:type="spellEnd"/>
      <w:r w:rsidRPr="002753DE">
        <w:rPr>
          <w:rFonts w:cs="Times New Roman"/>
          <w:b w:val="0"/>
          <w:w w:val="108"/>
          <w:szCs w:val="18"/>
        </w:rPr>
        <w:t xml:space="preserve"> results, we identified </w:t>
      </w:r>
      <w:bookmarkEnd w:id="1"/>
      <w:r w:rsidRPr="002753DE">
        <w:rPr>
          <w:rFonts w:cs="Times New Roman"/>
          <w:b w:val="0"/>
          <w:w w:val="108"/>
          <w:szCs w:val="18"/>
        </w:rPr>
        <w:t>4 most relevant genes, in which HG can induce DN pathological associated changes in gene expression and accompanying with an opposite DNA methylation change in DNA promoter, while TIIA can restore the alteration to normal.</w:t>
      </w:r>
    </w:p>
    <w:p w:rsidR="00483B2A" w:rsidRDefault="002753DE" w:rsidP="00483B2A">
      <w:pPr>
        <w:pStyle w:val="RSCB08CHeadingIn-line"/>
        <w:rPr>
          <w:rFonts w:cs="Times New Roman"/>
          <w:b w:val="0"/>
          <w:w w:val="108"/>
          <w:szCs w:val="18"/>
        </w:rPr>
      </w:pPr>
      <w:r w:rsidRPr="002753DE">
        <w:rPr>
          <w:rFonts w:cs="Times New Roman"/>
          <w:b w:val="0"/>
          <w:w w:val="108"/>
          <w:szCs w:val="18"/>
        </w:rPr>
        <w:t xml:space="preserve">NMU, a neuropeptide belongs to the </w:t>
      </w:r>
      <w:proofErr w:type="spellStart"/>
      <w:r w:rsidRPr="002753DE">
        <w:rPr>
          <w:rFonts w:cs="Times New Roman"/>
          <w:b w:val="0"/>
          <w:w w:val="108"/>
          <w:szCs w:val="18"/>
        </w:rPr>
        <w:t>neuromedin</w:t>
      </w:r>
      <w:proofErr w:type="spellEnd"/>
      <w:r w:rsidRPr="002753DE">
        <w:rPr>
          <w:rFonts w:cs="Times New Roman"/>
          <w:b w:val="0"/>
          <w:w w:val="108"/>
          <w:szCs w:val="18"/>
        </w:rPr>
        <w:t xml:space="preserve"> family can generate active neuropeptides and regulate pain, stress, cancer and inflammatory diseases </w:t>
      </w:r>
      <w:r w:rsidRPr="005F7F72">
        <w:rPr>
          <w:rFonts w:cs="Times New Roman"/>
          <w:b w:val="0"/>
          <w:w w:val="108"/>
          <w:szCs w:val="18"/>
          <w:vertAlign w:val="superscript"/>
        </w:rPr>
        <w:t>53</w:t>
      </w:r>
      <w:r w:rsidRPr="002753DE">
        <w:rPr>
          <w:rFonts w:cs="Times New Roman"/>
          <w:b w:val="0"/>
          <w:w w:val="108"/>
          <w:szCs w:val="18"/>
        </w:rPr>
        <w:t>. Recent findings indicate that NMU can act directly on pancreas β cells through NMUR1 in an autocrine or paracrine fashion to suppress insulin secretion</w:t>
      </w:r>
      <w:r w:rsidRPr="005F7F72">
        <w:rPr>
          <w:rFonts w:cs="Times New Roman"/>
          <w:b w:val="0"/>
          <w:w w:val="108"/>
          <w:szCs w:val="18"/>
          <w:vertAlign w:val="superscript"/>
        </w:rPr>
        <w:t>54</w:t>
      </w:r>
      <w:r w:rsidRPr="002753DE">
        <w:rPr>
          <w:rFonts w:cs="Times New Roman"/>
          <w:b w:val="0"/>
          <w:w w:val="108"/>
          <w:szCs w:val="18"/>
        </w:rPr>
        <w:t xml:space="preserve">. In our in vitro system, HG can induce a very according high </w:t>
      </w:r>
      <w:proofErr w:type="spellStart"/>
      <w:r w:rsidRPr="002753DE">
        <w:rPr>
          <w:rFonts w:cs="Times New Roman"/>
          <w:b w:val="0"/>
          <w:w w:val="108"/>
          <w:szCs w:val="18"/>
        </w:rPr>
        <w:t>Nmu</w:t>
      </w:r>
      <w:proofErr w:type="spellEnd"/>
      <w:r w:rsidRPr="002753DE">
        <w:rPr>
          <w:rFonts w:cs="Times New Roman"/>
          <w:b w:val="0"/>
          <w:w w:val="108"/>
          <w:szCs w:val="18"/>
        </w:rPr>
        <w:t xml:space="preserve"> expression fold change (17.495) over LG, which is the highest fold change in HG/LG comparison (Table 4) accompanying with a decrease in DNA methylation (-0.526) of </w:t>
      </w:r>
      <w:proofErr w:type="spellStart"/>
      <w:r w:rsidRPr="002753DE">
        <w:rPr>
          <w:rFonts w:cs="Times New Roman"/>
          <w:b w:val="0"/>
          <w:w w:val="108"/>
          <w:szCs w:val="18"/>
        </w:rPr>
        <w:t>Nmu</w:t>
      </w:r>
      <w:proofErr w:type="spellEnd"/>
      <w:r w:rsidRPr="002753DE">
        <w:rPr>
          <w:rFonts w:cs="Times New Roman"/>
          <w:b w:val="0"/>
          <w:w w:val="108"/>
          <w:szCs w:val="18"/>
        </w:rPr>
        <w:t xml:space="preserve"> promoter, which suggest increase of </w:t>
      </w:r>
      <w:proofErr w:type="spellStart"/>
      <w:r w:rsidRPr="002753DE">
        <w:rPr>
          <w:rFonts w:cs="Times New Roman"/>
          <w:b w:val="0"/>
          <w:w w:val="108"/>
          <w:szCs w:val="18"/>
        </w:rPr>
        <w:t>Nmu</w:t>
      </w:r>
      <w:proofErr w:type="spellEnd"/>
      <w:r w:rsidRPr="002753DE">
        <w:rPr>
          <w:rFonts w:cs="Times New Roman"/>
          <w:b w:val="0"/>
          <w:w w:val="108"/>
          <w:szCs w:val="18"/>
        </w:rPr>
        <w:t xml:space="preserve"> by HG correlates with the decrease of DNA methylation in its promoter region. TIIA can reverse the change in gene expression and DNA methylation and indicating the potential therapeutic target on </w:t>
      </w:r>
      <w:proofErr w:type="spellStart"/>
      <w:r w:rsidRPr="002753DE">
        <w:rPr>
          <w:rFonts w:cs="Times New Roman"/>
          <w:b w:val="0"/>
          <w:w w:val="108"/>
          <w:szCs w:val="18"/>
        </w:rPr>
        <w:t>Nmu</w:t>
      </w:r>
      <w:proofErr w:type="spellEnd"/>
      <w:r w:rsidRPr="002753DE">
        <w:rPr>
          <w:rFonts w:cs="Times New Roman"/>
          <w:b w:val="0"/>
          <w:w w:val="108"/>
          <w:szCs w:val="18"/>
        </w:rPr>
        <w:t>. Fibrinogen-like protein 2 (FGL2) is a novel prothrombinase. Increased Fgl2 level was found to be highly correlated with the circulating TNF-α levels and severity of mouse type 2 diabetic nephropathy</w:t>
      </w:r>
      <w:r w:rsidRPr="005F7F72">
        <w:rPr>
          <w:rFonts w:cs="Times New Roman"/>
          <w:b w:val="0"/>
          <w:w w:val="108"/>
          <w:szCs w:val="18"/>
          <w:vertAlign w:val="superscript"/>
        </w:rPr>
        <w:t>55</w:t>
      </w:r>
      <w:r w:rsidRPr="002753DE">
        <w:rPr>
          <w:rFonts w:cs="Times New Roman"/>
          <w:b w:val="0"/>
          <w:w w:val="108"/>
          <w:szCs w:val="18"/>
        </w:rPr>
        <w:t xml:space="preserve">. Like </w:t>
      </w:r>
      <w:proofErr w:type="spellStart"/>
      <w:r w:rsidRPr="002753DE">
        <w:rPr>
          <w:rFonts w:cs="Times New Roman"/>
          <w:b w:val="0"/>
          <w:w w:val="108"/>
          <w:szCs w:val="18"/>
        </w:rPr>
        <w:t>Nmu</w:t>
      </w:r>
      <w:proofErr w:type="spellEnd"/>
      <w:r w:rsidRPr="002753DE">
        <w:rPr>
          <w:rFonts w:cs="Times New Roman"/>
          <w:b w:val="0"/>
          <w:w w:val="108"/>
          <w:szCs w:val="18"/>
        </w:rPr>
        <w:t xml:space="preserve">, HG can induce a very according high Fgl2 expression fold change (5.346) over LG accompanying with a decrease in DNA methylation (-10.324) of </w:t>
      </w:r>
      <w:proofErr w:type="spellStart"/>
      <w:r w:rsidRPr="002753DE">
        <w:rPr>
          <w:rFonts w:cs="Times New Roman"/>
          <w:b w:val="0"/>
          <w:w w:val="108"/>
          <w:szCs w:val="18"/>
        </w:rPr>
        <w:t>Nmu</w:t>
      </w:r>
      <w:proofErr w:type="spellEnd"/>
      <w:r w:rsidRPr="002753DE">
        <w:rPr>
          <w:rFonts w:cs="Times New Roman"/>
          <w:b w:val="0"/>
          <w:w w:val="108"/>
          <w:szCs w:val="18"/>
        </w:rPr>
        <w:t xml:space="preserve"> promoter. TIIA treatment also demonstrate a relative restoration effect on both gene expression and DNA methylation.</w:t>
      </w:r>
      <w:r w:rsidR="00483B2A">
        <w:rPr>
          <w:rFonts w:cs="Times New Roman"/>
          <w:b w:val="0"/>
          <w:w w:val="108"/>
          <w:szCs w:val="18"/>
        </w:rPr>
        <w:t xml:space="preserve"> </w:t>
      </w:r>
    </w:p>
    <w:p w:rsidR="00483B2A" w:rsidRPr="00483B2A" w:rsidRDefault="00483B2A" w:rsidP="00483B2A">
      <w:pPr>
        <w:pStyle w:val="RSCB08CHeadingIn-line"/>
        <w:rPr>
          <w:rFonts w:cs="Times New Roman"/>
          <w:b w:val="0"/>
          <w:w w:val="108"/>
          <w:szCs w:val="18"/>
        </w:rPr>
      </w:pPr>
      <w:r w:rsidRPr="00483B2A">
        <w:rPr>
          <w:rFonts w:cs="Times New Roman"/>
          <w:b w:val="0"/>
          <w:w w:val="108"/>
          <w:szCs w:val="18"/>
        </w:rPr>
        <w:t>L-</w:t>
      </w:r>
      <w:proofErr w:type="spellStart"/>
      <w:r w:rsidRPr="00483B2A">
        <w:rPr>
          <w:rFonts w:cs="Times New Roman"/>
          <w:b w:val="0"/>
          <w:w w:val="108"/>
          <w:szCs w:val="18"/>
        </w:rPr>
        <w:t>gulono</w:t>
      </w:r>
      <w:proofErr w:type="spellEnd"/>
      <w:r w:rsidRPr="00483B2A">
        <w:rPr>
          <w:rFonts w:cs="Times New Roman"/>
          <w:b w:val="0"/>
          <w:w w:val="108"/>
          <w:szCs w:val="18"/>
        </w:rPr>
        <w:t xml:space="preserve">-gamma-lactone oxidase (GLO), a necessary enzyme for ascorbic acid synthesis, was found to be decreased in diabetic rats </w:t>
      </w:r>
      <w:r w:rsidRPr="00483B2A">
        <w:rPr>
          <w:rFonts w:cs="Times New Roman"/>
          <w:b w:val="0"/>
          <w:w w:val="108"/>
          <w:szCs w:val="18"/>
          <w:vertAlign w:val="superscript"/>
        </w:rPr>
        <w:t>56</w:t>
      </w:r>
      <w:r w:rsidRPr="00483B2A">
        <w:rPr>
          <w:rFonts w:cs="Times New Roman"/>
          <w:b w:val="0"/>
          <w:w w:val="108"/>
          <w:szCs w:val="18"/>
        </w:rPr>
        <w:t>. In a Type 2 rat diabetes model, Potassium voltage-gated channel interacting protein 2 (KCNIP2/KChIP2) were found to be down-regulated</w:t>
      </w:r>
      <w:r w:rsidRPr="00483B2A">
        <w:rPr>
          <w:rFonts w:cs="Times New Roman"/>
          <w:b w:val="0"/>
          <w:w w:val="108"/>
          <w:szCs w:val="18"/>
          <w:vertAlign w:val="superscript"/>
        </w:rPr>
        <w:t>57</w:t>
      </w:r>
      <w:r w:rsidRPr="00483B2A">
        <w:rPr>
          <w:rFonts w:cs="Times New Roman"/>
          <w:b w:val="0"/>
          <w:w w:val="108"/>
          <w:szCs w:val="18"/>
        </w:rPr>
        <w:t>. Our results (Table 4) echoes the above findings that HG can decrease Glo and Kcnip2 greatly (both 0.121) and correlates with an increase in the methylation ratio in their promoters (18.530 and 11.567 respectively). TIIA can effectively reverse the alteration in both gene expression and DNA methylation.</w:t>
      </w:r>
    </w:p>
    <w:p w:rsidR="00317C74" w:rsidRPr="00483B2A" w:rsidRDefault="00483B2A" w:rsidP="00483B2A">
      <w:pPr>
        <w:pStyle w:val="RSCB08CHeadingIn-line"/>
        <w:rPr>
          <w:rFonts w:cs="Times New Roman"/>
          <w:b w:val="0"/>
          <w:w w:val="108"/>
          <w:szCs w:val="18"/>
        </w:rPr>
      </w:pPr>
      <w:r w:rsidRPr="00483B2A">
        <w:rPr>
          <w:rFonts w:cs="Times New Roman"/>
          <w:b w:val="0"/>
          <w:w w:val="108"/>
          <w:szCs w:val="18"/>
        </w:rPr>
        <w:t>Those four genes of interest will be targets for our further investigation.</w:t>
      </w:r>
    </w:p>
    <w:p w:rsidR="00317C74" w:rsidRDefault="00317C74" w:rsidP="00C97186">
      <w:pPr>
        <w:pStyle w:val="RSCB06BHeadingSub-Section"/>
        <w:rPr>
          <w:sz w:val="24"/>
        </w:rPr>
      </w:pPr>
    </w:p>
    <w:p w:rsidR="00620C8E" w:rsidRDefault="00841844" w:rsidP="00841844">
      <w:pPr>
        <w:pStyle w:val="RSCB06BHeadingSub-Section"/>
      </w:pPr>
      <w:r w:rsidRPr="00841844">
        <w:rPr>
          <w:sz w:val="24"/>
        </w:rPr>
        <w:t>4. Conclusion</w:t>
      </w:r>
      <w:r w:rsidR="00620C8E" w:rsidRPr="0041453A">
        <w:t xml:space="preserve"> </w:t>
      </w:r>
    </w:p>
    <w:p w:rsidR="00841844" w:rsidRDefault="00841844" w:rsidP="00BC268E">
      <w:pPr>
        <w:pStyle w:val="RSCB06BHeadingSub-Section"/>
        <w:spacing w:after="0"/>
      </w:pPr>
      <w:r w:rsidRPr="00841844">
        <w:rPr>
          <w:rFonts w:cs="Times New Roman"/>
          <w:b w:val="0"/>
          <w:w w:val="108"/>
          <w:szCs w:val="18"/>
        </w:rPr>
        <w:t xml:space="preserve">In conclusion, this study demonstrated the TIIA protective effect of against HG induced damage to kidney. Using </w:t>
      </w:r>
      <w:proofErr w:type="spellStart"/>
      <w:r w:rsidRPr="00841844">
        <w:rPr>
          <w:rFonts w:cs="Times New Roman"/>
          <w:b w:val="0"/>
          <w:w w:val="108"/>
          <w:szCs w:val="18"/>
        </w:rPr>
        <w:t>SureSelect</w:t>
      </w:r>
      <w:proofErr w:type="spellEnd"/>
      <w:r w:rsidRPr="00841844">
        <w:rPr>
          <w:rFonts w:cs="Times New Roman"/>
          <w:b w:val="0"/>
          <w:w w:val="108"/>
          <w:szCs w:val="18"/>
        </w:rPr>
        <w:t xml:space="preserve"> Methyl-</w:t>
      </w:r>
      <w:proofErr w:type="spellStart"/>
      <w:r w:rsidRPr="00841844">
        <w:rPr>
          <w:rFonts w:cs="Times New Roman"/>
          <w:b w:val="0"/>
          <w:w w:val="108"/>
          <w:szCs w:val="18"/>
        </w:rPr>
        <w:t>seq</w:t>
      </w:r>
      <w:proofErr w:type="spellEnd"/>
      <w:r w:rsidRPr="00841844">
        <w:rPr>
          <w:rFonts w:cs="Times New Roman"/>
          <w:b w:val="0"/>
          <w:w w:val="108"/>
          <w:szCs w:val="18"/>
        </w:rPr>
        <w:t xml:space="preserve"> and RNA-</w:t>
      </w:r>
      <w:proofErr w:type="spellStart"/>
      <w:r w:rsidRPr="00841844">
        <w:rPr>
          <w:rFonts w:cs="Times New Roman"/>
          <w:b w:val="0"/>
          <w:w w:val="108"/>
          <w:szCs w:val="18"/>
        </w:rPr>
        <w:t>seq</w:t>
      </w:r>
      <w:proofErr w:type="spellEnd"/>
      <w:r w:rsidRPr="00841844">
        <w:rPr>
          <w:rFonts w:cs="Times New Roman"/>
          <w:b w:val="0"/>
          <w:w w:val="108"/>
          <w:szCs w:val="18"/>
        </w:rPr>
        <w:t xml:space="preserve">, we provided a quantitative global profile of the methylome and transcriptome in mouse kidney mesangial cells from LG and HG with or without TIIA treatment. IPA analysis identified inflammation pathways </w:t>
      </w:r>
      <w:r w:rsidR="00677E9A">
        <w:rPr>
          <w:rFonts w:cs="Times New Roman"/>
          <w:b w:val="0"/>
          <w:w w:val="108"/>
          <w:szCs w:val="18"/>
        </w:rPr>
        <w:t>such as</w:t>
      </w:r>
      <w:r w:rsidRPr="00841844">
        <w:rPr>
          <w:rFonts w:cs="Times New Roman"/>
          <w:b w:val="0"/>
          <w:w w:val="108"/>
          <w:szCs w:val="18"/>
        </w:rPr>
        <w:t xml:space="preserve"> </w:t>
      </w:r>
      <w:r>
        <w:rPr>
          <w:rFonts w:cs="Times New Roman"/>
          <w:b w:val="0"/>
          <w:w w:val="108"/>
          <w:szCs w:val="18"/>
        </w:rPr>
        <w:t>l</w:t>
      </w:r>
      <w:r w:rsidRPr="00841844">
        <w:rPr>
          <w:rFonts w:cs="Times New Roman"/>
          <w:b w:val="0"/>
          <w:w w:val="108"/>
          <w:szCs w:val="18"/>
        </w:rPr>
        <w:t xml:space="preserve">eukotriene biosynthesis and </w:t>
      </w:r>
      <w:r>
        <w:rPr>
          <w:rFonts w:cs="Times New Roman"/>
          <w:b w:val="0"/>
          <w:w w:val="108"/>
          <w:szCs w:val="18"/>
        </w:rPr>
        <w:t>e</w:t>
      </w:r>
      <w:r w:rsidRPr="00841844">
        <w:rPr>
          <w:rFonts w:cs="Times New Roman"/>
          <w:b w:val="0"/>
          <w:w w:val="108"/>
          <w:szCs w:val="18"/>
        </w:rPr>
        <w:t xml:space="preserve">icosanoid </w:t>
      </w:r>
      <w:r w:rsidR="00677E9A">
        <w:rPr>
          <w:rFonts w:cs="Times New Roman"/>
          <w:b w:val="0"/>
          <w:w w:val="108"/>
          <w:szCs w:val="18"/>
        </w:rPr>
        <w:t xml:space="preserve">signalling </w:t>
      </w:r>
      <w:r w:rsidRPr="00841844">
        <w:rPr>
          <w:rFonts w:cs="Times New Roman"/>
          <w:b w:val="0"/>
          <w:w w:val="108"/>
          <w:szCs w:val="18"/>
        </w:rPr>
        <w:t xml:space="preserve">were activated by HG stimulation while TIIA treatment may enhance glutathione-mediated Detoxification pathway to overcome the resulted excess oxidative stress and inflammation. Importantly, we identified that DNA methylation of a list of DN associated genes, </w:t>
      </w:r>
      <w:proofErr w:type="spellStart"/>
      <w:r w:rsidRPr="00841844">
        <w:rPr>
          <w:rFonts w:cs="Times New Roman"/>
          <w:b w:val="0"/>
          <w:w w:val="108"/>
          <w:szCs w:val="18"/>
        </w:rPr>
        <w:t>Nmu</w:t>
      </w:r>
      <w:proofErr w:type="spellEnd"/>
      <w:r w:rsidRPr="00841844">
        <w:rPr>
          <w:rFonts w:cs="Times New Roman"/>
          <w:b w:val="0"/>
          <w:w w:val="108"/>
          <w:szCs w:val="18"/>
        </w:rPr>
        <w:t>, Fgl2, Glo, and Kcnip2 were altered in HG induced DN model, and TIIA treatment effectively restored the DNA methylation and gene expression. These findings provide novel insights into the understanding of how epigenetic modifications affect the progression of DN and the preventive effect of TIIA.</w:t>
      </w:r>
    </w:p>
    <w:p w:rsidR="00C9557D" w:rsidRDefault="00C9557D" w:rsidP="00C9557D">
      <w:pPr>
        <w:pStyle w:val="RSCB04AHeadingSection"/>
      </w:pPr>
      <w:r>
        <w:t>Conflict</w:t>
      </w:r>
      <w:r w:rsidR="00F05C18">
        <w:t>s</w:t>
      </w:r>
      <w:r>
        <w:t xml:space="preserve"> of interest</w:t>
      </w:r>
    </w:p>
    <w:p w:rsidR="00A05364" w:rsidRPr="00A05364" w:rsidRDefault="00A83804" w:rsidP="00BC268E">
      <w:pPr>
        <w:spacing w:after="0"/>
        <w:rPr>
          <w:rFonts w:cs="Times New Roman"/>
          <w:w w:val="108"/>
          <w:sz w:val="18"/>
          <w:szCs w:val="18"/>
        </w:rPr>
      </w:pPr>
      <w:r w:rsidRPr="00A83804">
        <w:rPr>
          <w:rFonts w:cs="Times New Roman"/>
          <w:w w:val="108"/>
          <w:sz w:val="18"/>
          <w:szCs w:val="18"/>
        </w:rPr>
        <w:t>The authors declare that there are no conflicts of interest.</w:t>
      </w:r>
    </w:p>
    <w:p w:rsidR="00A83804" w:rsidRDefault="00FA2DA2" w:rsidP="00EF6BD4">
      <w:pPr>
        <w:pStyle w:val="RSCB04AHeadingSection"/>
      </w:pPr>
      <w:r>
        <w:t>Acknowledgements</w:t>
      </w:r>
    </w:p>
    <w:p w:rsidR="00BC268E" w:rsidRDefault="00A83804" w:rsidP="00BC268E">
      <w:pPr>
        <w:pStyle w:val="RSCB04AHeadingSection"/>
        <w:spacing w:before="0"/>
        <w:rPr>
          <w:rFonts w:cs="Times New Roman"/>
          <w:b w:val="0"/>
          <w:w w:val="108"/>
          <w:sz w:val="18"/>
          <w:szCs w:val="18"/>
        </w:rPr>
      </w:pPr>
      <w:r w:rsidRPr="00A83804">
        <w:rPr>
          <w:rFonts w:cs="Times New Roman"/>
          <w:b w:val="0"/>
          <w:w w:val="108"/>
          <w:sz w:val="18"/>
          <w:szCs w:val="18"/>
        </w:rPr>
        <w:t xml:space="preserve">This work was supported in part by institutional funds and by R01-AT007065 from NCCIH and the Office of Dietary Supplements (ODS).  The authors express sincere gratitude to all members of </w:t>
      </w:r>
      <w:proofErr w:type="spellStart"/>
      <w:r w:rsidRPr="00A83804">
        <w:rPr>
          <w:rFonts w:cs="Times New Roman"/>
          <w:b w:val="0"/>
          <w:w w:val="108"/>
          <w:sz w:val="18"/>
          <w:szCs w:val="18"/>
        </w:rPr>
        <w:t>Dr.</w:t>
      </w:r>
      <w:proofErr w:type="spellEnd"/>
      <w:r w:rsidRPr="00A83804">
        <w:rPr>
          <w:rFonts w:cs="Times New Roman"/>
          <w:b w:val="0"/>
          <w:w w:val="108"/>
          <w:sz w:val="18"/>
          <w:szCs w:val="18"/>
        </w:rPr>
        <w:t xml:space="preserve"> Tony Kong's laboratory for their helpful discussions.</w:t>
      </w:r>
    </w:p>
    <w:p w:rsidR="00BC268E" w:rsidRDefault="00BC268E" w:rsidP="00BC268E">
      <w:pPr>
        <w:pStyle w:val="RSCB04AHeadingSection"/>
        <w:spacing w:before="0" w:after="0"/>
      </w:pPr>
      <w:r w:rsidRPr="00BC268E">
        <w:t>Table and Figure Legends</w:t>
      </w:r>
    </w:p>
    <w:p w:rsidR="00BC268E" w:rsidRDefault="00BC268E" w:rsidP="00BC268E">
      <w:pPr>
        <w:pStyle w:val="RSCB06BHeadingSub-Section"/>
        <w:spacing w:after="0"/>
      </w:pPr>
      <w:r>
        <w:t>Tables</w:t>
      </w:r>
    </w:p>
    <w:p w:rsidR="00BC268E" w:rsidRDefault="00BC268E" w:rsidP="00BC268E">
      <w:pPr>
        <w:pStyle w:val="RSCB04AHeadingSection"/>
        <w:spacing w:before="0" w:after="0"/>
        <w:rPr>
          <w:rFonts w:cs="Times New Roman"/>
          <w:b w:val="0"/>
          <w:w w:val="108"/>
          <w:sz w:val="18"/>
          <w:szCs w:val="18"/>
        </w:rPr>
      </w:pPr>
      <w:r w:rsidRPr="00BC268E">
        <w:rPr>
          <w:rFonts w:cs="Times New Roman"/>
          <w:w w:val="108"/>
          <w:sz w:val="18"/>
          <w:szCs w:val="18"/>
        </w:rPr>
        <w:t>Table 1</w:t>
      </w:r>
      <w:r>
        <w:rPr>
          <w:rFonts w:cs="Times New Roman"/>
          <w:b w:val="0"/>
          <w:w w:val="108"/>
          <w:sz w:val="18"/>
          <w:szCs w:val="18"/>
        </w:rPr>
        <w:t>:</w:t>
      </w:r>
      <w:r w:rsidRPr="00BC268E">
        <w:rPr>
          <w:rFonts w:cs="Times New Roman"/>
          <w:b w:val="0"/>
          <w:w w:val="108"/>
          <w:sz w:val="18"/>
          <w:szCs w:val="18"/>
        </w:rPr>
        <w:t xml:space="preserve"> Real-time q-PCR Primers information of validated genes of interest</w:t>
      </w:r>
    </w:p>
    <w:p w:rsidR="00BC268E" w:rsidRPr="00BC268E" w:rsidRDefault="00BC268E" w:rsidP="00BC268E">
      <w:pPr>
        <w:pStyle w:val="RSCB04AHeadingSection"/>
        <w:spacing w:before="0" w:after="0"/>
        <w:rPr>
          <w:rFonts w:cs="Times New Roman"/>
          <w:b w:val="0"/>
          <w:w w:val="108"/>
          <w:sz w:val="18"/>
          <w:szCs w:val="18"/>
        </w:rPr>
      </w:pPr>
      <w:r w:rsidRPr="00BC268E">
        <w:rPr>
          <w:rFonts w:cs="Times New Roman"/>
          <w:w w:val="108"/>
          <w:sz w:val="18"/>
          <w:szCs w:val="18"/>
        </w:rPr>
        <w:t>Table 2</w:t>
      </w:r>
      <w:r>
        <w:rPr>
          <w:rFonts w:cs="Times New Roman"/>
          <w:b w:val="0"/>
          <w:w w:val="108"/>
          <w:sz w:val="18"/>
          <w:szCs w:val="18"/>
        </w:rPr>
        <w:t>:</w:t>
      </w:r>
      <w:r w:rsidRPr="00BC268E">
        <w:rPr>
          <w:rFonts w:cs="Times New Roman"/>
          <w:b w:val="0"/>
          <w:w w:val="108"/>
          <w:sz w:val="18"/>
          <w:szCs w:val="18"/>
        </w:rPr>
        <w:t xml:space="preserve"> Top 50 annotated genes showing the highest log2-fold change in either direction in high glucose treated group (HG) over low glucose treated group (LG), ranked by log2-fold change</w:t>
      </w:r>
    </w:p>
    <w:p w:rsidR="00BC268E" w:rsidRPr="00BC268E" w:rsidRDefault="00BC268E" w:rsidP="00BC268E">
      <w:pPr>
        <w:pStyle w:val="RSCB04AHeadingSection"/>
        <w:spacing w:before="0" w:after="0"/>
        <w:rPr>
          <w:rFonts w:cs="Times New Roman"/>
          <w:b w:val="0"/>
          <w:w w:val="108"/>
          <w:sz w:val="18"/>
          <w:szCs w:val="18"/>
        </w:rPr>
      </w:pPr>
      <w:r w:rsidRPr="00BC268E">
        <w:rPr>
          <w:rFonts w:cs="Times New Roman"/>
          <w:w w:val="108"/>
          <w:sz w:val="18"/>
          <w:szCs w:val="18"/>
        </w:rPr>
        <w:t>Table 3</w:t>
      </w:r>
      <w:r>
        <w:rPr>
          <w:rFonts w:cs="Times New Roman"/>
          <w:b w:val="0"/>
          <w:w w:val="108"/>
          <w:sz w:val="18"/>
          <w:szCs w:val="18"/>
        </w:rPr>
        <w:t>:</w:t>
      </w:r>
      <w:r w:rsidRPr="00BC268E">
        <w:rPr>
          <w:rFonts w:cs="Times New Roman"/>
          <w:b w:val="0"/>
          <w:w w:val="108"/>
          <w:sz w:val="18"/>
          <w:szCs w:val="18"/>
        </w:rPr>
        <w:t xml:space="preserve"> Top 50 annotated genes showing the highest log2-fold change in either direction in 5µM TIIA treated group (TIIA) over HG, ranked by log2-fold change</w:t>
      </w:r>
    </w:p>
    <w:p w:rsidR="00BC268E" w:rsidRDefault="00BC268E" w:rsidP="00BC268E">
      <w:pPr>
        <w:pStyle w:val="RSCB04AHeadingSection"/>
        <w:spacing w:before="0" w:after="0"/>
        <w:rPr>
          <w:rFonts w:cs="Times New Roman"/>
          <w:b w:val="0"/>
          <w:w w:val="108"/>
          <w:sz w:val="18"/>
          <w:szCs w:val="18"/>
        </w:rPr>
      </w:pPr>
      <w:r w:rsidRPr="006B41CE">
        <w:rPr>
          <w:rFonts w:cs="Times New Roman"/>
          <w:w w:val="108"/>
          <w:sz w:val="18"/>
          <w:szCs w:val="18"/>
        </w:rPr>
        <w:t>Table 4</w:t>
      </w:r>
      <w:r w:rsidR="006B41CE">
        <w:rPr>
          <w:rFonts w:cs="Times New Roman"/>
          <w:b w:val="0"/>
          <w:w w:val="108"/>
          <w:sz w:val="18"/>
          <w:szCs w:val="18"/>
        </w:rPr>
        <w:t>:</w:t>
      </w:r>
      <w:r w:rsidRPr="00BC268E">
        <w:rPr>
          <w:rFonts w:cs="Times New Roman"/>
          <w:b w:val="0"/>
          <w:w w:val="108"/>
          <w:sz w:val="18"/>
          <w:szCs w:val="18"/>
        </w:rPr>
        <w:t xml:space="preserve"> Correlation of DNA promoter methylation ratio from </w:t>
      </w:r>
      <w:proofErr w:type="spellStart"/>
      <w:r w:rsidRPr="00BC268E">
        <w:rPr>
          <w:rFonts w:cs="Times New Roman"/>
          <w:b w:val="0"/>
          <w:w w:val="108"/>
          <w:sz w:val="18"/>
          <w:szCs w:val="18"/>
        </w:rPr>
        <w:t>SureSelect</w:t>
      </w:r>
      <w:proofErr w:type="spellEnd"/>
      <w:r w:rsidRPr="00BC268E">
        <w:rPr>
          <w:rFonts w:cs="Times New Roman"/>
          <w:b w:val="0"/>
          <w:w w:val="108"/>
          <w:sz w:val="18"/>
          <w:szCs w:val="18"/>
        </w:rPr>
        <w:t xml:space="preserve"> Methyl-</w:t>
      </w:r>
      <w:proofErr w:type="spellStart"/>
      <w:r w:rsidRPr="00BC268E">
        <w:rPr>
          <w:rFonts w:cs="Times New Roman"/>
          <w:b w:val="0"/>
          <w:w w:val="108"/>
          <w:sz w:val="18"/>
          <w:szCs w:val="18"/>
        </w:rPr>
        <w:t>seq</w:t>
      </w:r>
      <w:proofErr w:type="spellEnd"/>
      <w:r w:rsidRPr="00BC268E">
        <w:rPr>
          <w:rFonts w:cs="Times New Roman"/>
          <w:b w:val="0"/>
          <w:w w:val="108"/>
          <w:sz w:val="18"/>
          <w:szCs w:val="18"/>
        </w:rPr>
        <w:t xml:space="preserve"> and fold change of gene expression from RNA-</w:t>
      </w:r>
      <w:proofErr w:type="spellStart"/>
      <w:r w:rsidRPr="00BC268E">
        <w:rPr>
          <w:rFonts w:cs="Times New Roman"/>
          <w:b w:val="0"/>
          <w:w w:val="108"/>
          <w:sz w:val="18"/>
          <w:szCs w:val="18"/>
        </w:rPr>
        <w:t>seq</w:t>
      </w:r>
      <w:proofErr w:type="spellEnd"/>
      <w:r w:rsidRPr="00BC268E">
        <w:rPr>
          <w:rFonts w:cs="Times New Roman"/>
          <w:b w:val="0"/>
          <w:w w:val="108"/>
          <w:sz w:val="18"/>
          <w:szCs w:val="18"/>
        </w:rPr>
        <w:t xml:space="preserve"> for genes of interest</w:t>
      </w:r>
    </w:p>
    <w:p w:rsidR="006B41CE" w:rsidRDefault="006B41CE" w:rsidP="00BC268E">
      <w:pPr>
        <w:pStyle w:val="RSCB04AHeadingSection"/>
        <w:spacing w:before="0" w:after="0"/>
        <w:rPr>
          <w:rFonts w:cs="Times New Roman"/>
          <w:b w:val="0"/>
          <w:w w:val="108"/>
          <w:sz w:val="18"/>
          <w:szCs w:val="18"/>
        </w:rPr>
      </w:pPr>
    </w:p>
    <w:p w:rsidR="006B41CE" w:rsidRDefault="006B41CE" w:rsidP="006B41CE">
      <w:pPr>
        <w:pStyle w:val="RSCB06BHeadingSub-Section"/>
        <w:spacing w:after="0"/>
      </w:pPr>
      <w:r>
        <w:t>Figures</w:t>
      </w:r>
    </w:p>
    <w:p w:rsidR="006B41CE" w:rsidRPr="006B41CE" w:rsidRDefault="006B41CE" w:rsidP="006B41CE">
      <w:pPr>
        <w:pStyle w:val="RSCB04AHeadingSection"/>
        <w:spacing w:before="0" w:after="0"/>
        <w:rPr>
          <w:rFonts w:cs="Times New Roman"/>
          <w:b w:val="0"/>
          <w:w w:val="108"/>
          <w:sz w:val="18"/>
          <w:szCs w:val="18"/>
        </w:rPr>
      </w:pPr>
      <w:r w:rsidRPr="006B41CE">
        <w:rPr>
          <w:rFonts w:cs="Times New Roman"/>
          <w:w w:val="108"/>
          <w:sz w:val="18"/>
          <w:szCs w:val="18"/>
        </w:rPr>
        <w:t>Figure 1</w:t>
      </w:r>
      <w:r>
        <w:rPr>
          <w:rFonts w:cs="Times New Roman"/>
          <w:b w:val="0"/>
          <w:w w:val="108"/>
          <w:sz w:val="18"/>
          <w:szCs w:val="18"/>
        </w:rPr>
        <w:t>:</w:t>
      </w:r>
      <w:r w:rsidRPr="006B41CE">
        <w:rPr>
          <w:rFonts w:cs="Times New Roman"/>
          <w:b w:val="0"/>
          <w:w w:val="108"/>
          <w:sz w:val="18"/>
          <w:szCs w:val="18"/>
        </w:rPr>
        <w:t xml:space="preserve"> MA plots (log2 means vs. log2 difference) of the gene expressions in the two comparisons, HF vs. LG (A) and TIIA in HG vs. HG only (B). The two horizontal dotted lines correspond to log2 differences of +/-0.3. The green or red symbols corresponds to upregulated or downregulated genes with FDR values of 0.5 or less</w:t>
      </w:r>
    </w:p>
    <w:p w:rsidR="006B41CE" w:rsidRPr="006B41CE" w:rsidRDefault="006B41CE" w:rsidP="006B41CE">
      <w:pPr>
        <w:pStyle w:val="RSCB04AHeadingSection"/>
        <w:spacing w:before="0" w:after="0"/>
        <w:rPr>
          <w:rFonts w:cs="Times New Roman"/>
          <w:b w:val="0"/>
          <w:w w:val="108"/>
          <w:sz w:val="18"/>
          <w:szCs w:val="18"/>
        </w:rPr>
      </w:pPr>
      <w:r w:rsidRPr="006B41CE">
        <w:rPr>
          <w:rFonts w:cs="Times New Roman"/>
          <w:w w:val="108"/>
          <w:sz w:val="18"/>
          <w:szCs w:val="18"/>
        </w:rPr>
        <w:t>Figure 2</w:t>
      </w:r>
      <w:r>
        <w:rPr>
          <w:rFonts w:cs="Times New Roman"/>
          <w:b w:val="0"/>
          <w:w w:val="108"/>
          <w:sz w:val="18"/>
          <w:szCs w:val="18"/>
        </w:rPr>
        <w:t>:</w:t>
      </w:r>
      <w:r w:rsidRPr="006B41CE">
        <w:rPr>
          <w:rFonts w:cs="Times New Roman"/>
          <w:b w:val="0"/>
          <w:w w:val="108"/>
          <w:sz w:val="18"/>
          <w:szCs w:val="18"/>
        </w:rPr>
        <w:t xml:space="preserve"> Effects of TIIA on production of intracellular reactive oxygen species (ROS) induced by </w:t>
      </w:r>
      <w:proofErr w:type="gramStart"/>
      <w:r w:rsidRPr="006B41CE">
        <w:rPr>
          <w:rFonts w:cs="Times New Roman"/>
          <w:b w:val="0"/>
          <w:w w:val="108"/>
          <w:sz w:val="18"/>
          <w:szCs w:val="18"/>
        </w:rPr>
        <w:t>2 day</w:t>
      </w:r>
      <w:proofErr w:type="gramEnd"/>
      <w:r w:rsidRPr="006B41CE">
        <w:rPr>
          <w:rFonts w:cs="Times New Roman"/>
          <w:b w:val="0"/>
          <w:w w:val="108"/>
          <w:sz w:val="18"/>
          <w:szCs w:val="18"/>
        </w:rPr>
        <w:t xml:space="preserve"> treatment of high glucose (HG) In mouse kidney MES13 cells via flow cytometry. Two days treatment of HG induced increase of intracellular ROS damage comparing with low glucose (LG) group(A), co-treatment of 5µM TIIA (B), 10 µM TIIA (C) and 15 µM TIIA(D) could protect MES13 cells against ROS damage from HG. Relative ROS fold change normalized by LG (E) are expressed as means ± Std for 3 independent replicates and significant (p&lt;0.05, *; p&lt;0.01, **) difference comparing with HG are indicated.</w:t>
      </w:r>
    </w:p>
    <w:p w:rsidR="006B41CE" w:rsidRPr="006B41CE" w:rsidRDefault="006B41CE" w:rsidP="006B41CE">
      <w:pPr>
        <w:pStyle w:val="RSCB04AHeadingSection"/>
        <w:spacing w:before="0" w:after="0"/>
        <w:rPr>
          <w:rFonts w:cs="Times New Roman"/>
          <w:b w:val="0"/>
          <w:w w:val="108"/>
          <w:sz w:val="18"/>
          <w:szCs w:val="18"/>
        </w:rPr>
      </w:pPr>
      <w:r w:rsidRPr="00381FCD">
        <w:rPr>
          <w:rFonts w:cs="Times New Roman"/>
          <w:w w:val="108"/>
          <w:sz w:val="18"/>
          <w:szCs w:val="18"/>
        </w:rPr>
        <w:t>Figure 3</w:t>
      </w:r>
      <w:r w:rsidR="00381FCD">
        <w:rPr>
          <w:rFonts w:cs="Times New Roman"/>
          <w:b w:val="0"/>
          <w:w w:val="108"/>
          <w:sz w:val="18"/>
          <w:szCs w:val="18"/>
        </w:rPr>
        <w:t>:</w:t>
      </w:r>
      <w:r w:rsidRPr="006B41CE">
        <w:rPr>
          <w:rFonts w:cs="Times New Roman"/>
          <w:b w:val="0"/>
          <w:w w:val="108"/>
          <w:sz w:val="18"/>
          <w:szCs w:val="18"/>
        </w:rPr>
        <w:t xml:space="preserve"> Overview of the differentially expressed genes in 2 comparisons among 3 groups (HG/LG and TIIA/HG). (A) Doughnut Heat map of 213 overlapped Genes with differential expression that appeared in HG versus LG group and TIIA versus HG group. (B, C) Venn diagrams comparing the up-regulated (green) and down-regulated genes (red) between HG versus LG group and TIIA versus HG group. Genes with log2 fold changes greater than 0.3 were counted.</w:t>
      </w:r>
    </w:p>
    <w:p w:rsidR="006B41CE" w:rsidRPr="006B41CE" w:rsidRDefault="006B41CE" w:rsidP="006B41CE">
      <w:pPr>
        <w:pStyle w:val="RSCB04AHeadingSection"/>
        <w:spacing w:before="0" w:after="0"/>
        <w:rPr>
          <w:rFonts w:cs="Times New Roman"/>
          <w:b w:val="0"/>
          <w:w w:val="108"/>
          <w:sz w:val="18"/>
          <w:szCs w:val="18"/>
        </w:rPr>
      </w:pPr>
      <w:r w:rsidRPr="00381FCD">
        <w:rPr>
          <w:rFonts w:cs="Times New Roman"/>
          <w:w w:val="108"/>
          <w:sz w:val="18"/>
          <w:szCs w:val="18"/>
        </w:rPr>
        <w:t>Figure 4</w:t>
      </w:r>
      <w:r w:rsidR="00381FCD">
        <w:rPr>
          <w:rFonts w:cs="Times New Roman"/>
          <w:b w:val="0"/>
          <w:w w:val="108"/>
          <w:sz w:val="18"/>
          <w:szCs w:val="18"/>
        </w:rPr>
        <w:t>:</w:t>
      </w:r>
      <w:r w:rsidRPr="006B41CE">
        <w:rPr>
          <w:rFonts w:cs="Times New Roman"/>
          <w:b w:val="0"/>
          <w:w w:val="108"/>
          <w:sz w:val="18"/>
          <w:szCs w:val="18"/>
        </w:rPr>
        <w:t xml:space="preserve"> </w:t>
      </w:r>
      <w:proofErr w:type="spellStart"/>
      <w:r w:rsidRPr="006B41CE">
        <w:rPr>
          <w:rFonts w:cs="Times New Roman"/>
          <w:b w:val="0"/>
          <w:w w:val="108"/>
          <w:sz w:val="18"/>
          <w:szCs w:val="18"/>
        </w:rPr>
        <w:t>Sureselect</w:t>
      </w:r>
      <w:proofErr w:type="spellEnd"/>
      <w:r w:rsidRPr="006B41CE">
        <w:rPr>
          <w:rFonts w:cs="Times New Roman"/>
          <w:b w:val="0"/>
          <w:w w:val="108"/>
          <w:sz w:val="18"/>
          <w:szCs w:val="18"/>
        </w:rPr>
        <w:t xml:space="preserve"> Methyl-</w:t>
      </w:r>
      <w:proofErr w:type="spellStart"/>
      <w:r w:rsidRPr="006B41CE">
        <w:rPr>
          <w:rFonts w:cs="Times New Roman"/>
          <w:b w:val="0"/>
          <w:w w:val="108"/>
          <w:sz w:val="18"/>
          <w:szCs w:val="18"/>
        </w:rPr>
        <w:t>seq</w:t>
      </w:r>
      <w:proofErr w:type="spellEnd"/>
      <w:r w:rsidRPr="006B41CE">
        <w:rPr>
          <w:rFonts w:cs="Times New Roman"/>
          <w:b w:val="0"/>
          <w:w w:val="108"/>
          <w:sz w:val="18"/>
          <w:szCs w:val="18"/>
        </w:rPr>
        <w:t xml:space="preserve"> results (A) Percent of Methylated CpG by region and treatment; (B) Distribution of DMR by Number of CpG and Region; (C) DMR annotation by region (%) </w:t>
      </w:r>
    </w:p>
    <w:p w:rsidR="006B41CE" w:rsidRPr="006B41CE" w:rsidRDefault="006B41CE" w:rsidP="006B41CE">
      <w:pPr>
        <w:pStyle w:val="RSCB04AHeadingSection"/>
        <w:spacing w:before="0" w:after="0"/>
        <w:rPr>
          <w:rFonts w:cs="Times New Roman"/>
          <w:b w:val="0"/>
          <w:w w:val="108"/>
          <w:sz w:val="18"/>
          <w:szCs w:val="18"/>
        </w:rPr>
      </w:pPr>
      <w:r w:rsidRPr="00381FCD">
        <w:rPr>
          <w:rFonts w:cs="Times New Roman"/>
          <w:w w:val="108"/>
          <w:sz w:val="18"/>
          <w:szCs w:val="18"/>
        </w:rPr>
        <w:t>Figure 5</w:t>
      </w:r>
      <w:r w:rsidR="00381FCD">
        <w:rPr>
          <w:rFonts w:cs="Times New Roman"/>
          <w:b w:val="0"/>
          <w:w w:val="108"/>
          <w:sz w:val="18"/>
          <w:szCs w:val="18"/>
        </w:rPr>
        <w:t>:</w:t>
      </w:r>
      <w:r w:rsidRPr="006B41CE">
        <w:rPr>
          <w:rFonts w:cs="Times New Roman"/>
          <w:b w:val="0"/>
          <w:w w:val="108"/>
          <w:sz w:val="18"/>
          <w:szCs w:val="18"/>
        </w:rPr>
        <w:t xml:space="preserve"> Quadrantal graph shows correlation between RNA-</w:t>
      </w:r>
      <w:proofErr w:type="spellStart"/>
      <w:r w:rsidRPr="006B41CE">
        <w:rPr>
          <w:rFonts w:cs="Times New Roman"/>
          <w:b w:val="0"/>
          <w:w w:val="108"/>
          <w:sz w:val="18"/>
          <w:szCs w:val="18"/>
        </w:rPr>
        <w:t>seq</w:t>
      </w:r>
      <w:proofErr w:type="spellEnd"/>
      <w:r w:rsidRPr="006B41CE">
        <w:rPr>
          <w:rFonts w:cs="Times New Roman"/>
          <w:b w:val="0"/>
          <w:w w:val="108"/>
          <w:sz w:val="18"/>
          <w:szCs w:val="18"/>
        </w:rPr>
        <w:t xml:space="preserve"> and methyl-seq. The upper left and lower right quadrantal region of indicate those genes with reversed change of methylation and RNA expression in HG/LG (A) and TIIA/HG(B) comparisons</w:t>
      </w:r>
    </w:p>
    <w:p w:rsidR="006B41CE" w:rsidRPr="006B41CE" w:rsidRDefault="006B41CE" w:rsidP="006B41CE">
      <w:pPr>
        <w:pStyle w:val="RSCB04AHeadingSection"/>
        <w:spacing w:before="0" w:after="0"/>
        <w:rPr>
          <w:rFonts w:cs="Times New Roman"/>
          <w:b w:val="0"/>
          <w:w w:val="108"/>
          <w:sz w:val="18"/>
          <w:szCs w:val="18"/>
        </w:rPr>
      </w:pPr>
      <w:r w:rsidRPr="00381FCD">
        <w:rPr>
          <w:rFonts w:cs="Times New Roman"/>
          <w:w w:val="108"/>
          <w:sz w:val="18"/>
          <w:szCs w:val="18"/>
        </w:rPr>
        <w:t>Figure 6</w:t>
      </w:r>
      <w:r w:rsidR="00381FCD">
        <w:rPr>
          <w:rFonts w:cs="Times New Roman"/>
          <w:b w:val="0"/>
          <w:w w:val="108"/>
          <w:sz w:val="18"/>
          <w:szCs w:val="18"/>
        </w:rPr>
        <w:t>:</w:t>
      </w:r>
      <w:r w:rsidRPr="006B41CE">
        <w:rPr>
          <w:rFonts w:cs="Times New Roman"/>
          <w:b w:val="0"/>
          <w:w w:val="108"/>
          <w:sz w:val="18"/>
          <w:szCs w:val="18"/>
        </w:rPr>
        <w:t xml:space="preserve"> RNA qPCR validation for the genes of interest. The gene expressions from HG group were normalized to 1 and the relative fold changes were obtained from the comparation between the other 2 groups to HG group. All the data are presented are expressed as means ± Std for 3 independent replicates and significant (*, p&lt;0.05) difference comparing with HG are indicated</w:t>
      </w:r>
    </w:p>
    <w:p w:rsidR="006B41CE" w:rsidRPr="006B41CE" w:rsidRDefault="006B41CE" w:rsidP="006B41CE">
      <w:pPr>
        <w:pStyle w:val="RSCB04AHeadingSection"/>
        <w:spacing w:before="0" w:after="0"/>
        <w:rPr>
          <w:rFonts w:cs="Times New Roman"/>
          <w:b w:val="0"/>
          <w:w w:val="108"/>
          <w:sz w:val="18"/>
          <w:szCs w:val="18"/>
        </w:rPr>
      </w:pPr>
      <w:r w:rsidRPr="00381FCD">
        <w:rPr>
          <w:rFonts w:cs="Times New Roman"/>
          <w:w w:val="108"/>
          <w:sz w:val="18"/>
          <w:szCs w:val="18"/>
        </w:rPr>
        <w:t>Figure 7</w:t>
      </w:r>
      <w:r w:rsidR="00381FCD">
        <w:rPr>
          <w:rFonts w:cs="Times New Roman"/>
          <w:b w:val="0"/>
          <w:w w:val="108"/>
          <w:sz w:val="18"/>
          <w:szCs w:val="18"/>
        </w:rPr>
        <w:t>:</w:t>
      </w:r>
      <w:r w:rsidRPr="006B41CE">
        <w:rPr>
          <w:rFonts w:cs="Times New Roman"/>
          <w:b w:val="0"/>
          <w:w w:val="108"/>
          <w:sz w:val="18"/>
          <w:szCs w:val="18"/>
        </w:rPr>
        <w:t xml:space="preserve"> In-depth </w:t>
      </w:r>
      <w:proofErr w:type="spellStart"/>
      <w:r w:rsidRPr="006B41CE">
        <w:rPr>
          <w:rFonts w:cs="Times New Roman"/>
          <w:b w:val="0"/>
          <w:w w:val="108"/>
          <w:sz w:val="18"/>
          <w:szCs w:val="18"/>
        </w:rPr>
        <w:t>looipops</w:t>
      </w:r>
      <w:proofErr w:type="spellEnd"/>
      <w:r w:rsidRPr="006B41CE">
        <w:rPr>
          <w:rFonts w:cs="Times New Roman"/>
          <w:b w:val="0"/>
          <w:w w:val="108"/>
          <w:sz w:val="18"/>
          <w:szCs w:val="18"/>
        </w:rPr>
        <w:t xml:space="preserve"> figures analysis of RNA expression and DNA methylation of </w:t>
      </w:r>
      <w:proofErr w:type="spellStart"/>
      <w:r w:rsidRPr="006B41CE">
        <w:rPr>
          <w:rFonts w:cs="Times New Roman"/>
          <w:b w:val="0"/>
          <w:w w:val="108"/>
          <w:sz w:val="18"/>
          <w:szCs w:val="18"/>
        </w:rPr>
        <w:t>Nmu</w:t>
      </w:r>
      <w:proofErr w:type="spellEnd"/>
      <w:r w:rsidRPr="006B41CE">
        <w:rPr>
          <w:rFonts w:cs="Times New Roman"/>
          <w:b w:val="0"/>
          <w:w w:val="108"/>
          <w:sz w:val="18"/>
          <w:szCs w:val="18"/>
        </w:rPr>
        <w:t xml:space="preserve">(A), Fgl2(B), </w:t>
      </w:r>
      <w:proofErr w:type="spellStart"/>
      <w:r w:rsidRPr="006B41CE">
        <w:rPr>
          <w:rFonts w:cs="Times New Roman"/>
          <w:b w:val="0"/>
          <w:w w:val="108"/>
          <w:sz w:val="18"/>
          <w:szCs w:val="18"/>
        </w:rPr>
        <w:t>Gulo</w:t>
      </w:r>
      <w:proofErr w:type="spellEnd"/>
      <w:r w:rsidRPr="006B41CE">
        <w:rPr>
          <w:rFonts w:cs="Times New Roman"/>
          <w:b w:val="0"/>
          <w:w w:val="108"/>
          <w:sz w:val="18"/>
          <w:szCs w:val="18"/>
        </w:rPr>
        <w:t xml:space="preserve">(C) and </w:t>
      </w:r>
      <w:proofErr w:type="spellStart"/>
      <w:r w:rsidRPr="006B41CE">
        <w:rPr>
          <w:rFonts w:cs="Times New Roman"/>
          <w:b w:val="0"/>
          <w:w w:val="108"/>
          <w:sz w:val="18"/>
          <w:szCs w:val="18"/>
        </w:rPr>
        <w:t>Kcnip</w:t>
      </w:r>
      <w:proofErr w:type="spellEnd"/>
      <w:r w:rsidRPr="006B41CE">
        <w:rPr>
          <w:rFonts w:cs="Times New Roman"/>
          <w:b w:val="0"/>
          <w:w w:val="108"/>
          <w:sz w:val="18"/>
          <w:szCs w:val="18"/>
        </w:rPr>
        <w:t xml:space="preserve">(D) within the HG/LG and TIIA/HG comparisons </w:t>
      </w:r>
    </w:p>
    <w:p w:rsidR="006B41CE" w:rsidRPr="006B41CE" w:rsidRDefault="006B41CE" w:rsidP="006B41CE">
      <w:pPr>
        <w:pStyle w:val="RSCB04AHeadingSection"/>
        <w:spacing w:before="0" w:after="0"/>
        <w:rPr>
          <w:rFonts w:cs="Times New Roman"/>
          <w:b w:val="0"/>
          <w:w w:val="108"/>
          <w:sz w:val="18"/>
          <w:szCs w:val="18"/>
        </w:rPr>
      </w:pPr>
      <w:r w:rsidRPr="00381FCD">
        <w:rPr>
          <w:rFonts w:cs="Times New Roman"/>
          <w:w w:val="108"/>
          <w:sz w:val="18"/>
          <w:szCs w:val="18"/>
        </w:rPr>
        <w:t>Figure 8</w:t>
      </w:r>
      <w:r w:rsidR="00381FCD">
        <w:rPr>
          <w:rFonts w:cs="Times New Roman"/>
          <w:b w:val="0"/>
          <w:w w:val="108"/>
          <w:sz w:val="18"/>
          <w:szCs w:val="18"/>
        </w:rPr>
        <w:t>:</w:t>
      </w:r>
      <w:r w:rsidRPr="006B41CE">
        <w:rPr>
          <w:rFonts w:cs="Times New Roman"/>
          <w:b w:val="0"/>
          <w:w w:val="108"/>
          <w:sz w:val="18"/>
          <w:szCs w:val="18"/>
        </w:rPr>
        <w:t xml:space="preserve"> Canonical pathways identified by IPA for all significant and reliable Differentially expressed genes in HG versus LG (A) and TIIA versus HG (B) from MES13 cells after 5 days treatment. Canonical pathways are displayed as the –log(p-value) (upper) with the threshold of 1.5 indicating the minimum significance level. Length of the bars represents the significant associations. The ratio indicates the number of Differentially expressed genes in the comparison that map to a given canonical pathway divided by the total number of genes in that pathway.</w:t>
      </w:r>
    </w:p>
    <w:p w:rsidR="006B41CE" w:rsidRPr="006B41CE" w:rsidRDefault="006B41CE" w:rsidP="006B41CE">
      <w:pPr>
        <w:pStyle w:val="RSCB04AHeadingSection"/>
        <w:spacing w:before="0" w:after="0"/>
        <w:rPr>
          <w:rFonts w:cs="Times New Roman"/>
          <w:b w:val="0"/>
          <w:w w:val="108"/>
          <w:sz w:val="18"/>
          <w:szCs w:val="18"/>
        </w:rPr>
      </w:pPr>
      <w:r w:rsidRPr="00381FCD">
        <w:rPr>
          <w:rFonts w:cs="Times New Roman"/>
          <w:w w:val="108"/>
          <w:sz w:val="18"/>
          <w:szCs w:val="18"/>
        </w:rPr>
        <w:t>Figure 9</w:t>
      </w:r>
      <w:r w:rsidR="00381FCD">
        <w:rPr>
          <w:rFonts w:cs="Times New Roman"/>
          <w:b w:val="0"/>
          <w:w w:val="108"/>
          <w:sz w:val="18"/>
          <w:szCs w:val="18"/>
        </w:rPr>
        <w:t>:</w:t>
      </w:r>
      <w:r w:rsidRPr="006B41CE">
        <w:rPr>
          <w:rFonts w:cs="Times New Roman"/>
          <w:b w:val="0"/>
          <w:w w:val="108"/>
          <w:sz w:val="18"/>
          <w:szCs w:val="18"/>
        </w:rPr>
        <w:t xml:space="preserve"> The 10 most associated tox results related to HG versus LG (upper panel) and TIIA versus HG (lower panel)</w:t>
      </w:r>
    </w:p>
    <w:p w:rsidR="006B41CE" w:rsidRDefault="006B41CE" w:rsidP="006B41CE">
      <w:pPr>
        <w:pStyle w:val="RSCB04AHeadingSection"/>
        <w:spacing w:before="0" w:after="0"/>
      </w:pPr>
      <w:r w:rsidRPr="00381FCD">
        <w:rPr>
          <w:rFonts w:cs="Times New Roman"/>
          <w:w w:val="108"/>
          <w:sz w:val="18"/>
          <w:szCs w:val="18"/>
        </w:rPr>
        <w:t>Figure 10</w:t>
      </w:r>
      <w:r w:rsidR="00381FCD">
        <w:rPr>
          <w:rFonts w:cs="Times New Roman"/>
          <w:b w:val="0"/>
          <w:w w:val="108"/>
          <w:sz w:val="18"/>
          <w:szCs w:val="18"/>
        </w:rPr>
        <w:t>:</w:t>
      </w:r>
      <w:r w:rsidRPr="006B41CE">
        <w:rPr>
          <w:rFonts w:cs="Times New Roman"/>
          <w:b w:val="0"/>
          <w:w w:val="108"/>
          <w:sz w:val="18"/>
          <w:szCs w:val="18"/>
        </w:rPr>
        <w:t xml:space="preserve"> The 10 most associated disease related to HG versus LG (upper panel) and TIIA versus HG (lower panel)</w:t>
      </w:r>
    </w:p>
    <w:p w:rsidR="00D010E8" w:rsidRPr="00EF6BD4" w:rsidRDefault="00E61949" w:rsidP="00EF6BD4">
      <w:pPr>
        <w:pStyle w:val="RSCB04AHeadingSection"/>
      </w:pPr>
      <w:r w:rsidRPr="00EF6BD4">
        <w:t>Notes and references</w:t>
      </w:r>
    </w:p>
    <w:p w:rsidR="002D3A02" w:rsidRPr="002D3A02" w:rsidRDefault="002D3A02" w:rsidP="002D3A02">
      <w:pPr>
        <w:pStyle w:val="RSCF02FootnotestoTitleAuthors"/>
        <w:spacing w:line="200" w:lineRule="exact"/>
        <w:rPr>
          <w:sz w:val="18"/>
          <w:szCs w:val="18"/>
        </w:rPr>
      </w:pPr>
      <w:r w:rsidRPr="002D3A02">
        <w:rPr>
          <w:sz w:val="18"/>
          <w:szCs w:val="18"/>
        </w:rPr>
        <w:t>1.</w:t>
      </w:r>
      <w:r w:rsidRPr="002D3A02">
        <w:rPr>
          <w:sz w:val="18"/>
          <w:szCs w:val="18"/>
        </w:rPr>
        <w:tab/>
        <w:t>M. E. Cooper, Pathogenesis, prevention, and treatment of diabetic nephropathy, Lancet, 1998, 352, 213-219.</w:t>
      </w:r>
    </w:p>
    <w:p w:rsidR="002D3A02" w:rsidRPr="002D3A02" w:rsidRDefault="002D3A02" w:rsidP="002D3A02">
      <w:pPr>
        <w:pStyle w:val="RSCF02FootnotestoTitleAuthors"/>
        <w:spacing w:line="200" w:lineRule="exact"/>
        <w:rPr>
          <w:sz w:val="18"/>
          <w:szCs w:val="18"/>
        </w:rPr>
      </w:pPr>
      <w:r w:rsidRPr="002D3A02">
        <w:rPr>
          <w:sz w:val="18"/>
          <w:szCs w:val="18"/>
        </w:rPr>
        <w:t>2.</w:t>
      </w:r>
      <w:r w:rsidRPr="002D3A02">
        <w:rPr>
          <w:sz w:val="18"/>
          <w:szCs w:val="18"/>
        </w:rPr>
        <w:tab/>
        <w:t>D. V. Nguyen, L. C. Shaw and M. B. Grant, Inflammation in the pathogenesis of microvascular complications in diabetes, Front Endocrinol (Lausanne), 2012, 3, 170.</w:t>
      </w:r>
    </w:p>
    <w:p w:rsidR="002D3A02" w:rsidRPr="002D3A02" w:rsidRDefault="002D3A02" w:rsidP="002D3A02">
      <w:pPr>
        <w:pStyle w:val="RSCF02FootnotestoTitleAuthors"/>
        <w:spacing w:line="200" w:lineRule="exact"/>
        <w:rPr>
          <w:sz w:val="18"/>
          <w:szCs w:val="18"/>
        </w:rPr>
      </w:pPr>
      <w:r w:rsidRPr="002D3A02">
        <w:rPr>
          <w:sz w:val="18"/>
          <w:szCs w:val="18"/>
        </w:rPr>
        <w:t>3.</w:t>
      </w:r>
      <w:r w:rsidRPr="002D3A02">
        <w:rPr>
          <w:sz w:val="18"/>
          <w:szCs w:val="18"/>
        </w:rPr>
        <w:tab/>
        <w:t>D. Sharma, P. Bhattacharya, K. Kalia and V. Tiwari, Diabetic nephropathy: New insights into established therapeutic paradigms and novel molecular targets, Diabetes research and clinical practice, 2017, 128, 91-108.</w:t>
      </w:r>
    </w:p>
    <w:p w:rsidR="002D3A02" w:rsidRPr="002D3A02" w:rsidRDefault="002D3A02" w:rsidP="002D3A02">
      <w:pPr>
        <w:pStyle w:val="RSCF02FootnotestoTitleAuthors"/>
        <w:spacing w:line="200" w:lineRule="exact"/>
        <w:rPr>
          <w:sz w:val="18"/>
          <w:szCs w:val="18"/>
        </w:rPr>
      </w:pPr>
      <w:r w:rsidRPr="002D3A02">
        <w:rPr>
          <w:sz w:val="18"/>
          <w:szCs w:val="18"/>
        </w:rPr>
        <w:t>4.</w:t>
      </w:r>
      <w:r w:rsidRPr="002D3A02">
        <w:rPr>
          <w:sz w:val="18"/>
          <w:szCs w:val="18"/>
        </w:rPr>
        <w:tab/>
        <w:t xml:space="preserve">S. Abdo, S. L. Zhang and J. S. Chan, Reactive Oxygen Species and Nuclear Factor Erythroid 2-Related Factor 2 Activation in Diabetic Nephropathy: A Hidden Target, J Diabetes </w:t>
      </w:r>
      <w:proofErr w:type="spellStart"/>
      <w:r w:rsidRPr="002D3A02">
        <w:rPr>
          <w:sz w:val="18"/>
          <w:szCs w:val="18"/>
        </w:rPr>
        <w:t>Metab</w:t>
      </w:r>
      <w:proofErr w:type="spellEnd"/>
      <w:r w:rsidRPr="002D3A02">
        <w:rPr>
          <w:sz w:val="18"/>
          <w:szCs w:val="18"/>
        </w:rPr>
        <w:t>, 2015, 6.</w:t>
      </w:r>
    </w:p>
    <w:p w:rsidR="002D3A02" w:rsidRPr="002D3A02" w:rsidRDefault="002D3A02" w:rsidP="002D3A02">
      <w:pPr>
        <w:pStyle w:val="RSCF02FootnotestoTitleAuthors"/>
        <w:spacing w:line="200" w:lineRule="exact"/>
        <w:rPr>
          <w:sz w:val="18"/>
          <w:szCs w:val="18"/>
        </w:rPr>
      </w:pPr>
      <w:r w:rsidRPr="002D3A02">
        <w:rPr>
          <w:sz w:val="18"/>
          <w:szCs w:val="18"/>
        </w:rPr>
        <w:t>5.</w:t>
      </w:r>
      <w:r w:rsidRPr="002D3A02">
        <w:rPr>
          <w:sz w:val="18"/>
          <w:szCs w:val="18"/>
        </w:rPr>
        <w:tab/>
        <w:t xml:space="preserve">Y. Han, X. Xu, C. Tang, P. Gao, X. Chen, X. </w:t>
      </w:r>
      <w:proofErr w:type="spellStart"/>
      <w:r w:rsidRPr="002D3A02">
        <w:rPr>
          <w:sz w:val="18"/>
          <w:szCs w:val="18"/>
        </w:rPr>
        <w:t>Xiong</w:t>
      </w:r>
      <w:proofErr w:type="spellEnd"/>
      <w:r w:rsidRPr="002D3A02">
        <w:rPr>
          <w:sz w:val="18"/>
          <w:szCs w:val="18"/>
        </w:rPr>
        <w:t xml:space="preserve">, M. Yang, S. Yang, X. Zhu, S. Yuan, F. Liu, L. Xiao, Y. S. Kanwar and L. Sun, Reactive oxygen species promote tubular injury in diabetic nephropathy: The role of the mitochondrial ros-txnip-nlrp3 biological axis, Redox </w:t>
      </w:r>
      <w:proofErr w:type="spellStart"/>
      <w:r w:rsidRPr="002D3A02">
        <w:rPr>
          <w:sz w:val="18"/>
          <w:szCs w:val="18"/>
        </w:rPr>
        <w:t>Biol</w:t>
      </w:r>
      <w:proofErr w:type="spellEnd"/>
      <w:r w:rsidRPr="002D3A02">
        <w:rPr>
          <w:sz w:val="18"/>
          <w:szCs w:val="18"/>
        </w:rPr>
        <w:t>, 2018, 16, 32-46.</w:t>
      </w:r>
    </w:p>
    <w:p w:rsidR="002D3A02" w:rsidRPr="002D3A02" w:rsidRDefault="002D3A02" w:rsidP="002D3A02">
      <w:pPr>
        <w:pStyle w:val="RSCF02FootnotestoTitleAuthors"/>
        <w:spacing w:line="200" w:lineRule="exact"/>
        <w:rPr>
          <w:sz w:val="18"/>
          <w:szCs w:val="18"/>
        </w:rPr>
      </w:pPr>
      <w:r w:rsidRPr="002D3A02">
        <w:rPr>
          <w:sz w:val="18"/>
          <w:szCs w:val="18"/>
        </w:rPr>
        <w:t>6.</w:t>
      </w:r>
      <w:r w:rsidRPr="002D3A02">
        <w:rPr>
          <w:sz w:val="18"/>
          <w:szCs w:val="18"/>
        </w:rPr>
        <w:tab/>
        <w:t xml:space="preserve">L. E. </w:t>
      </w:r>
      <w:proofErr w:type="spellStart"/>
      <w:r w:rsidRPr="002D3A02">
        <w:rPr>
          <w:sz w:val="18"/>
          <w:szCs w:val="18"/>
        </w:rPr>
        <w:t>Fridlyand</w:t>
      </w:r>
      <w:proofErr w:type="spellEnd"/>
      <w:r w:rsidRPr="002D3A02">
        <w:rPr>
          <w:sz w:val="18"/>
          <w:szCs w:val="18"/>
        </w:rPr>
        <w:t xml:space="preserve"> and L. H. Philipson, Oxidative reactive species in cell injury: Mechanisms in diabetes mellitus and therapeutic approaches, Ann N Y </w:t>
      </w:r>
      <w:proofErr w:type="spellStart"/>
      <w:r w:rsidRPr="002D3A02">
        <w:rPr>
          <w:sz w:val="18"/>
          <w:szCs w:val="18"/>
        </w:rPr>
        <w:t>Acad</w:t>
      </w:r>
      <w:proofErr w:type="spellEnd"/>
      <w:r w:rsidRPr="002D3A02">
        <w:rPr>
          <w:sz w:val="18"/>
          <w:szCs w:val="18"/>
        </w:rPr>
        <w:t xml:space="preserve"> Sci, 2005, 1066, 136-151.</w:t>
      </w:r>
    </w:p>
    <w:p w:rsidR="002D3A02" w:rsidRPr="002D3A02" w:rsidRDefault="002D3A02" w:rsidP="002D3A02">
      <w:pPr>
        <w:pStyle w:val="RSCF02FootnotestoTitleAuthors"/>
        <w:spacing w:line="200" w:lineRule="exact"/>
        <w:rPr>
          <w:sz w:val="18"/>
          <w:szCs w:val="18"/>
        </w:rPr>
      </w:pPr>
      <w:r w:rsidRPr="002D3A02">
        <w:rPr>
          <w:sz w:val="18"/>
          <w:szCs w:val="18"/>
        </w:rPr>
        <w:t>7.</w:t>
      </w:r>
      <w:r w:rsidRPr="002D3A02">
        <w:rPr>
          <w:sz w:val="18"/>
          <w:szCs w:val="18"/>
        </w:rPr>
        <w:tab/>
        <w:t xml:space="preserve">S. </w:t>
      </w:r>
      <w:proofErr w:type="spellStart"/>
      <w:r w:rsidRPr="002D3A02">
        <w:rPr>
          <w:sz w:val="18"/>
          <w:szCs w:val="18"/>
        </w:rPr>
        <w:t>Kiritoshi</w:t>
      </w:r>
      <w:proofErr w:type="spellEnd"/>
      <w:r w:rsidRPr="002D3A02">
        <w:rPr>
          <w:sz w:val="18"/>
          <w:szCs w:val="18"/>
        </w:rPr>
        <w:t xml:space="preserve">, T. Nishikawa, K. </w:t>
      </w:r>
      <w:proofErr w:type="spellStart"/>
      <w:r w:rsidRPr="002D3A02">
        <w:rPr>
          <w:sz w:val="18"/>
          <w:szCs w:val="18"/>
        </w:rPr>
        <w:t>Sonoda</w:t>
      </w:r>
      <w:proofErr w:type="spellEnd"/>
      <w:r w:rsidRPr="002D3A02">
        <w:rPr>
          <w:sz w:val="18"/>
          <w:szCs w:val="18"/>
        </w:rPr>
        <w:t xml:space="preserve">, D. </w:t>
      </w:r>
      <w:proofErr w:type="spellStart"/>
      <w:r w:rsidRPr="002D3A02">
        <w:rPr>
          <w:sz w:val="18"/>
          <w:szCs w:val="18"/>
        </w:rPr>
        <w:t>Kukidome</w:t>
      </w:r>
      <w:proofErr w:type="spellEnd"/>
      <w:r w:rsidRPr="002D3A02">
        <w:rPr>
          <w:sz w:val="18"/>
          <w:szCs w:val="18"/>
        </w:rPr>
        <w:t xml:space="preserve">, T. </w:t>
      </w:r>
      <w:proofErr w:type="spellStart"/>
      <w:r w:rsidRPr="002D3A02">
        <w:rPr>
          <w:sz w:val="18"/>
          <w:szCs w:val="18"/>
        </w:rPr>
        <w:t>Senokuchi</w:t>
      </w:r>
      <w:proofErr w:type="spellEnd"/>
      <w:r w:rsidRPr="002D3A02">
        <w:rPr>
          <w:sz w:val="18"/>
          <w:szCs w:val="18"/>
        </w:rPr>
        <w:t>, T. Matsuo, T. Matsumura, H. Tokunaga, M. Brownlee and E. Araki, Reactive oxygen species from mitochondria induce cyclooxygenase-2 gene expression in human mesangial cells: potential role in diabetic nephropathy, Diabetes, 2003, 52, 2570-2577.</w:t>
      </w:r>
    </w:p>
    <w:p w:rsidR="002D3A02" w:rsidRPr="002D3A02" w:rsidRDefault="002D3A02" w:rsidP="002D3A02">
      <w:pPr>
        <w:pStyle w:val="RSCF02FootnotestoTitleAuthors"/>
        <w:spacing w:line="200" w:lineRule="exact"/>
        <w:rPr>
          <w:sz w:val="18"/>
          <w:szCs w:val="18"/>
        </w:rPr>
      </w:pPr>
      <w:r w:rsidRPr="002D3A02">
        <w:rPr>
          <w:sz w:val="18"/>
          <w:szCs w:val="18"/>
        </w:rPr>
        <w:t>8.</w:t>
      </w:r>
      <w:r w:rsidRPr="002D3A02">
        <w:rPr>
          <w:sz w:val="18"/>
          <w:szCs w:val="18"/>
        </w:rPr>
        <w:tab/>
        <w:t xml:space="preserve">D. </w:t>
      </w:r>
      <w:proofErr w:type="spellStart"/>
      <w:r w:rsidRPr="002D3A02">
        <w:rPr>
          <w:sz w:val="18"/>
          <w:szCs w:val="18"/>
        </w:rPr>
        <w:t>Koya</w:t>
      </w:r>
      <w:proofErr w:type="spellEnd"/>
      <w:r w:rsidRPr="002D3A02">
        <w:rPr>
          <w:sz w:val="18"/>
          <w:szCs w:val="18"/>
        </w:rPr>
        <w:t xml:space="preserve">, K. Hayashi, M. </w:t>
      </w:r>
      <w:proofErr w:type="spellStart"/>
      <w:r w:rsidRPr="002D3A02">
        <w:rPr>
          <w:sz w:val="18"/>
          <w:szCs w:val="18"/>
        </w:rPr>
        <w:t>Kitada</w:t>
      </w:r>
      <w:proofErr w:type="spellEnd"/>
      <w:r w:rsidRPr="002D3A02">
        <w:rPr>
          <w:sz w:val="18"/>
          <w:szCs w:val="18"/>
        </w:rPr>
        <w:t xml:space="preserve">, A. </w:t>
      </w:r>
      <w:proofErr w:type="spellStart"/>
      <w:r w:rsidRPr="002D3A02">
        <w:rPr>
          <w:sz w:val="18"/>
          <w:szCs w:val="18"/>
        </w:rPr>
        <w:t>Kashiwagi</w:t>
      </w:r>
      <w:proofErr w:type="spellEnd"/>
      <w:r w:rsidRPr="002D3A02">
        <w:rPr>
          <w:sz w:val="18"/>
          <w:szCs w:val="18"/>
        </w:rPr>
        <w:t xml:space="preserve">, R. </w:t>
      </w:r>
      <w:proofErr w:type="spellStart"/>
      <w:r w:rsidRPr="002D3A02">
        <w:rPr>
          <w:sz w:val="18"/>
          <w:szCs w:val="18"/>
        </w:rPr>
        <w:t>Kikkawa</w:t>
      </w:r>
      <w:proofErr w:type="spellEnd"/>
      <w:r w:rsidRPr="002D3A02">
        <w:rPr>
          <w:sz w:val="18"/>
          <w:szCs w:val="18"/>
        </w:rPr>
        <w:t xml:space="preserve"> and M. Haneda, Effects of antioxidants in diabetes-induced oxidative stress in the glomeruli of diabetic rats, J Am Soc </w:t>
      </w:r>
      <w:proofErr w:type="spellStart"/>
      <w:r w:rsidRPr="002D3A02">
        <w:rPr>
          <w:sz w:val="18"/>
          <w:szCs w:val="18"/>
        </w:rPr>
        <w:t>Nephrol</w:t>
      </w:r>
      <w:proofErr w:type="spellEnd"/>
      <w:r w:rsidRPr="002D3A02">
        <w:rPr>
          <w:sz w:val="18"/>
          <w:szCs w:val="18"/>
        </w:rPr>
        <w:t>, 2003, 14, S250-253.</w:t>
      </w:r>
    </w:p>
    <w:p w:rsidR="002D3A02" w:rsidRPr="002D3A02" w:rsidRDefault="002D3A02" w:rsidP="002D3A02">
      <w:pPr>
        <w:pStyle w:val="RSCF02FootnotestoTitleAuthors"/>
        <w:spacing w:line="200" w:lineRule="exact"/>
        <w:rPr>
          <w:sz w:val="18"/>
          <w:szCs w:val="18"/>
        </w:rPr>
      </w:pPr>
      <w:r w:rsidRPr="002D3A02">
        <w:rPr>
          <w:sz w:val="18"/>
          <w:szCs w:val="18"/>
        </w:rPr>
        <w:t>9.</w:t>
      </w:r>
      <w:r w:rsidRPr="002D3A02">
        <w:rPr>
          <w:sz w:val="18"/>
          <w:szCs w:val="18"/>
        </w:rPr>
        <w:tab/>
        <w:t xml:space="preserve">T. Yamamoto, T. Nakamura, N. A. Noble, E. </w:t>
      </w:r>
      <w:proofErr w:type="spellStart"/>
      <w:r w:rsidRPr="002D3A02">
        <w:rPr>
          <w:sz w:val="18"/>
          <w:szCs w:val="18"/>
        </w:rPr>
        <w:t>Ruoslahti</w:t>
      </w:r>
      <w:proofErr w:type="spellEnd"/>
      <w:r w:rsidRPr="002D3A02">
        <w:rPr>
          <w:sz w:val="18"/>
          <w:szCs w:val="18"/>
        </w:rPr>
        <w:t xml:space="preserve"> and W. A. Border, Expression of transforming growth factor beta is elevated in human and experimental diabetic nephropathy, Proceedings of the National Academy of Sciences of the United States of America, 1993, 90, 1814-1818.</w:t>
      </w:r>
    </w:p>
    <w:p w:rsidR="002D3A02" w:rsidRPr="002D3A02" w:rsidRDefault="002D3A02" w:rsidP="002D3A02">
      <w:pPr>
        <w:pStyle w:val="RSCF02FootnotestoTitleAuthors"/>
        <w:spacing w:line="200" w:lineRule="exact"/>
        <w:rPr>
          <w:sz w:val="18"/>
          <w:szCs w:val="18"/>
        </w:rPr>
      </w:pPr>
      <w:r w:rsidRPr="002D3A02">
        <w:rPr>
          <w:sz w:val="18"/>
          <w:szCs w:val="18"/>
        </w:rPr>
        <w:t>10.</w:t>
      </w:r>
      <w:r w:rsidRPr="002D3A02">
        <w:rPr>
          <w:sz w:val="18"/>
          <w:szCs w:val="18"/>
        </w:rPr>
        <w:tab/>
        <w:t xml:space="preserve">A. V. </w:t>
      </w:r>
      <w:proofErr w:type="spellStart"/>
      <w:r w:rsidRPr="002D3A02">
        <w:rPr>
          <w:sz w:val="18"/>
          <w:szCs w:val="18"/>
        </w:rPr>
        <w:t>Bakin</w:t>
      </w:r>
      <w:proofErr w:type="spellEnd"/>
      <w:r w:rsidRPr="002D3A02">
        <w:rPr>
          <w:sz w:val="18"/>
          <w:szCs w:val="18"/>
        </w:rPr>
        <w:t xml:space="preserve">, N. V. </w:t>
      </w:r>
      <w:proofErr w:type="spellStart"/>
      <w:r w:rsidRPr="002D3A02">
        <w:rPr>
          <w:sz w:val="18"/>
          <w:szCs w:val="18"/>
        </w:rPr>
        <w:t>Stourman</w:t>
      </w:r>
      <w:proofErr w:type="spellEnd"/>
      <w:r w:rsidRPr="002D3A02">
        <w:rPr>
          <w:sz w:val="18"/>
          <w:szCs w:val="18"/>
        </w:rPr>
        <w:t xml:space="preserve">, K. R. Sekhar, C. Rinehart, X. Yan, M. J. Meredith, C. L. Arteaga and M. L. Freeman, Smad3-ATF3 </w:t>
      </w:r>
      <w:proofErr w:type="spellStart"/>
      <w:r w:rsidRPr="002D3A02">
        <w:rPr>
          <w:sz w:val="18"/>
          <w:szCs w:val="18"/>
        </w:rPr>
        <w:t>signaling</w:t>
      </w:r>
      <w:proofErr w:type="spellEnd"/>
      <w:r w:rsidRPr="002D3A02">
        <w:rPr>
          <w:sz w:val="18"/>
          <w:szCs w:val="18"/>
        </w:rPr>
        <w:t xml:space="preserve"> mediates TGF-beta suppression of genes encoding Phase II detoxifying proteins, Free </w:t>
      </w:r>
      <w:proofErr w:type="spellStart"/>
      <w:r w:rsidRPr="002D3A02">
        <w:rPr>
          <w:sz w:val="18"/>
          <w:szCs w:val="18"/>
        </w:rPr>
        <w:t>Radic</w:t>
      </w:r>
      <w:proofErr w:type="spellEnd"/>
      <w:r w:rsidRPr="002D3A02">
        <w:rPr>
          <w:sz w:val="18"/>
          <w:szCs w:val="18"/>
        </w:rPr>
        <w:t xml:space="preserve"> </w:t>
      </w:r>
      <w:proofErr w:type="spellStart"/>
      <w:r w:rsidRPr="002D3A02">
        <w:rPr>
          <w:sz w:val="18"/>
          <w:szCs w:val="18"/>
        </w:rPr>
        <w:t>Biol</w:t>
      </w:r>
      <w:proofErr w:type="spellEnd"/>
      <w:r w:rsidRPr="002D3A02">
        <w:rPr>
          <w:sz w:val="18"/>
          <w:szCs w:val="18"/>
        </w:rPr>
        <w:t xml:space="preserve"> Med, 2005, 38, 375-387.</w:t>
      </w:r>
    </w:p>
    <w:p w:rsidR="002D3A02" w:rsidRPr="002D3A02" w:rsidRDefault="002D3A02" w:rsidP="002D3A02">
      <w:pPr>
        <w:pStyle w:val="RSCF02FootnotestoTitleAuthors"/>
        <w:spacing w:line="200" w:lineRule="exact"/>
        <w:rPr>
          <w:sz w:val="18"/>
          <w:szCs w:val="18"/>
        </w:rPr>
      </w:pPr>
      <w:r w:rsidRPr="002D3A02">
        <w:rPr>
          <w:sz w:val="18"/>
          <w:szCs w:val="18"/>
        </w:rPr>
        <w:t>11.</w:t>
      </w:r>
      <w:r w:rsidRPr="002D3A02">
        <w:rPr>
          <w:sz w:val="18"/>
          <w:szCs w:val="18"/>
        </w:rPr>
        <w:tab/>
        <w:t xml:space="preserve">D. D. Zhang, Mechanistic studies of the Nrf2-Keap1 </w:t>
      </w:r>
      <w:proofErr w:type="spellStart"/>
      <w:r w:rsidRPr="002D3A02">
        <w:rPr>
          <w:sz w:val="18"/>
          <w:szCs w:val="18"/>
        </w:rPr>
        <w:t>signaling</w:t>
      </w:r>
      <w:proofErr w:type="spellEnd"/>
      <w:r w:rsidRPr="002D3A02">
        <w:rPr>
          <w:sz w:val="18"/>
          <w:szCs w:val="18"/>
        </w:rPr>
        <w:t xml:space="preserve"> pathway, Drug </w:t>
      </w:r>
      <w:proofErr w:type="spellStart"/>
      <w:r w:rsidRPr="002D3A02">
        <w:rPr>
          <w:sz w:val="18"/>
          <w:szCs w:val="18"/>
        </w:rPr>
        <w:t>Metab</w:t>
      </w:r>
      <w:proofErr w:type="spellEnd"/>
      <w:r w:rsidRPr="002D3A02">
        <w:rPr>
          <w:sz w:val="18"/>
          <w:szCs w:val="18"/>
        </w:rPr>
        <w:t xml:space="preserve"> Rev, 2006, 38, 769-789.</w:t>
      </w:r>
    </w:p>
    <w:p w:rsidR="002D3A02" w:rsidRPr="002D3A02" w:rsidRDefault="002D3A02" w:rsidP="002D3A02">
      <w:pPr>
        <w:pStyle w:val="RSCF02FootnotestoTitleAuthors"/>
        <w:spacing w:line="200" w:lineRule="exact"/>
        <w:rPr>
          <w:sz w:val="18"/>
          <w:szCs w:val="18"/>
        </w:rPr>
      </w:pPr>
      <w:r w:rsidRPr="002D3A02">
        <w:rPr>
          <w:sz w:val="18"/>
          <w:szCs w:val="18"/>
        </w:rPr>
        <w:t>12.</w:t>
      </w:r>
      <w:r w:rsidRPr="002D3A02">
        <w:rPr>
          <w:sz w:val="18"/>
          <w:szCs w:val="18"/>
        </w:rPr>
        <w:tab/>
        <w:t xml:space="preserve">W. Li, Y. Guo, C. Zhang, R. Wu, A. Y. Yang, J. Gaspar and A. N. Kong, Dietary Phytochemicals and Cancer Chemoprevention: A Perspective on Oxidative Stress, Inflammation, and Epigenetics, Chem Res </w:t>
      </w:r>
      <w:proofErr w:type="spellStart"/>
      <w:r w:rsidRPr="002D3A02">
        <w:rPr>
          <w:sz w:val="18"/>
          <w:szCs w:val="18"/>
        </w:rPr>
        <w:t>Toxicol</w:t>
      </w:r>
      <w:proofErr w:type="spellEnd"/>
      <w:r w:rsidRPr="002D3A02">
        <w:rPr>
          <w:sz w:val="18"/>
          <w:szCs w:val="18"/>
        </w:rPr>
        <w:t>, 2016, 29, 2071-2095.</w:t>
      </w:r>
    </w:p>
    <w:p w:rsidR="002D3A02" w:rsidRPr="002D3A02" w:rsidRDefault="002D3A02" w:rsidP="002D3A02">
      <w:pPr>
        <w:pStyle w:val="RSCF02FootnotestoTitleAuthors"/>
        <w:spacing w:line="200" w:lineRule="exact"/>
        <w:rPr>
          <w:sz w:val="18"/>
          <w:szCs w:val="18"/>
        </w:rPr>
      </w:pPr>
      <w:r w:rsidRPr="002D3A02">
        <w:rPr>
          <w:sz w:val="18"/>
          <w:szCs w:val="18"/>
        </w:rPr>
        <w:t>13.</w:t>
      </w:r>
      <w:r w:rsidRPr="002D3A02">
        <w:rPr>
          <w:sz w:val="18"/>
          <w:szCs w:val="18"/>
        </w:rPr>
        <w:tab/>
        <w:t xml:space="preserve">J. H. Lee, T. O. Khor, L. Shu, Z. Y. </w:t>
      </w:r>
      <w:proofErr w:type="spellStart"/>
      <w:r w:rsidRPr="002D3A02">
        <w:rPr>
          <w:sz w:val="18"/>
          <w:szCs w:val="18"/>
        </w:rPr>
        <w:t>Su</w:t>
      </w:r>
      <w:proofErr w:type="spellEnd"/>
      <w:r w:rsidRPr="002D3A02">
        <w:rPr>
          <w:sz w:val="18"/>
          <w:szCs w:val="18"/>
        </w:rPr>
        <w:t xml:space="preserve">, F. Fuentes and A. N. Kong, Dietary phytochemicals and cancer prevention: Nrf2 </w:t>
      </w:r>
      <w:proofErr w:type="spellStart"/>
      <w:r w:rsidRPr="002D3A02">
        <w:rPr>
          <w:sz w:val="18"/>
          <w:szCs w:val="18"/>
        </w:rPr>
        <w:t>signaling</w:t>
      </w:r>
      <w:proofErr w:type="spellEnd"/>
      <w:r w:rsidRPr="002D3A02">
        <w:rPr>
          <w:sz w:val="18"/>
          <w:szCs w:val="18"/>
        </w:rPr>
        <w:t xml:space="preserve">, epigenetics, and cell death mechanisms in blocking cancer initiation and progression, </w:t>
      </w:r>
      <w:proofErr w:type="spellStart"/>
      <w:r w:rsidRPr="002D3A02">
        <w:rPr>
          <w:sz w:val="18"/>
          <w:szCs w:val="18"/>
        </w:rPr>
        <w:t>Pharmacol</w:t>
      </w:r>
      <w:proofErr w:type="spellEnd"/>
      <w:r w:rsidRPr="002D3A02">
        <w:rPr>
          <w:sz w:val="18"/>
          <w:szCs w:val="18"/>
        </w:rPr>
        <w:t xml:space="preserve"> </w:t>
      </w:r>
      <w:proofErr w:type="spellStart"/>
      <w:r w:rsidRPr="002D3A02">
        <w:rPr>
          <w:sz w:val="18"/>
          <w:szCs w:val="18"/>
        </w:rPr>
        <w:t>Ther</w:t>
      </w:r>
      <w:proofErr w:type="spellEnd"/>
      <w:r w:rsidRPr="002D3A02">
        <w:rPr>
          <w:sz w:val="18"/>
          <w:szCs w:val="18"/>
        </w:rPr>
        <w:t>, 2013, 137, 153-171.</w:t>
      </w:r>
    </w:p>
    <w:p w:rsidR="002D3A02" w:rsidRPr="002D3A02" w:rsidRDefault="002D3A02" w:rsidP="002D3A02">
      <w:pPr>
        <w:pStyle w:val="RSCF02FootnotestoTitleAuthors"/>
        <w:spacing w:line="200" w:lineRule="exact"/>
        <w:rPr>
          <w:sz w:val="18"/>
          <w:szCs w:val="18"/>
        </w:rPr>
      </w:pPr>
      <w:r w:rsidRPr="002D3A02">
        <w:rPr>
          <w:sz w:val="18"/>
          <w:szCs w:val="18"/>
        </w:rPr>
        <w:t>14.</w:t>
      </w:r>
      <w:r w:rsidRPr="002D3A02">
        <w:rPr>
          <w:sz w:val="18"/>
          <w:szCs w:val="18"/>
        </w:rPr>
        <w:tab/>
        <w:t xml:space="preserve">Z. </w:t>
      </w:r>
      <w:proofErr w:type="spellStart"/>
      <w:r w:rsidRPr="002D3A02">
        <w:rPr>
          <w:sz w:val="18"/>
          <w:szCs w:val="18"/>
        </w:rPr>
        <w:t>Bahadoran</w:t>
      </w:r>
      <w:proofErr w:type="spellEnd"/>
      <w:r w:rsidRPr="002D3A02">
        <w:rPr>
          <w:sz w:val="18"/>
          <w:szCs w:val="18"/>
        </w:rPr>
        <w:t xml:space="preserve">, P. </w:t>
      </w:r>
      <w:proofErr w:type="spellStart"/>
      <w:r w:rsidRPr="002D3A02">
        <w:rPr>
          <w:sz w:val="18"/>
          <w:szCs w:val="18"/>
        </w:rPr>
        <w:t>Mirmiran</w:t>
      </w:r>
      <w:proofErr w:type="spellEnd"/>
      <w:r w:rsidRPr="002D3A02">
        <w:rPr>
          <w:sz w:val="18"/>
          <w:szCs w:val="18"/>
        </w:rPr>
        <w:t xml:space="preserve"> and F. Azizi, Potential efficacy of broccoli sprouts as a unique supplement for management of type 2 diabetes and its complications, Journal of medicinal food, 2013, 16, 375-382.</w:t>
      </w:r>
    </w:p>
    <w:p w:rsidR="002D3A02" w:rsidRPr="002D3A02" w:rsidRDefault="002D3A02" w:rsidP="002D3A02">
      <w:pPr>
        <w:pStyle w:val="RSCF02FootnotestoTitleAuthors"/>
        <w:spacing w:line="200" w:lineRule="exact"/>
        <w:rPr>
          <w:sz w:val="18"/>
          <w:szCs w:val="18"/>
        </w:rPr>
      </w:pPr>
      <w:r w:rsidRPr="002D3A02">
        <w:rPr>
          <w:sz w:val="18"/>
          <w:szCs w:val="18"/>
        </w:rPr>
        <w:t>15.</w:t>
      </w:r>
      <w:r w:rsidRPr="002D3A02">
        <w:rPr>
          <w:sz w:val="18"/>
          <w:szCs w:val="18"/>
        </w:rPr>
        <w:tab/>
        <w:t>A. S. Jimenez-Osorio, S. Gonzalez-Reyes and J. Pedraza-</w:t>
      </w:r>
      <w:proofErr w:type="spellStart"/>
      <w:r w:rsidRPr="002D3A02">
        <w:rPr>
          <w:sz w:val="18"/>
          <w:szCs w:val="18"/>
        </w:rPr>
        <w:t>Chaverri</w:t>
      </w:r>
      <w:proofErr w:type="spellEnd"/>
      <w:r w:rsidRPr="002D3A02">
        <w:rPr>
          <w:sz w:val="18"/>
          <w:szCs w:val="18"/>
        </w:rPr>
        <w:t xml:space="preserve">, Natural Nrf2 activators in diabetes, </w:t>
      </w:r>
      <w:proofErr w:type="spellStart"/>
      <w:r w:rsidRPr="002D3A02">
        <w:rPr>
          <w:sz w:val="18"/>
          <w:szCs w:val="18"/>
        </w:rPr>
        <w:t>Clinica</w:t>
      </w:r>
      <w:proofErr w:type="spellEnd"/>
      <w:r w:rsidRPr="002D3A02">
        <w:rPr>
          <w:sz w:val="18"/>
          <w:szCs w:val="18"/>
        </w:rPr>
        <w:t xml:space="preserve"> </w:t>
      </w:r>
      <w:proofErr w:type="spellStart"/>
      <w:r w:rsidRPr="002D3A02">
        <w:rPr>
          <w:sz w:val="18"/>
          <w:szCs w:val="18"/>
        </w:rPr>
        <w:t>chimica</w:t>
      </w:r>
      <w:proofErr w:type="spellEnd"/>
      <w:r w:rsidRPr="002D3A02">
        <w:rPr>
          <w:sz w:val="18"/>
          <w:szCs w:val="18"/>
        </w:rPr>
        <w:t xml:space="preserve"> acta; international journal of clinical chemistry, 2015, 448, 182-192.</w:t>
      </w:r>
    </w:p>
    <w:p w:rsidR="002D3A02" w:rsidRPr="002D3A02" w:rsidRDefault="002D3A02" w:rsidP="002D3A02">
      <w:pPr>
        <w:pStyle w:val="RSCF02FootnotestoTitleAuthors"/>
        <w:spacing w:line="200" w:lineRule="exact"/>
        <w:rPr>
          <w:sz w:val="18"/>
          <w:szCs w:val="18"/>
        </w:rPr>
      </w:pPr>
      <w:r w:rsidRPr="002D3A02">
        <w:rPr>
          <w:sz w:val="18"/>
          <w:szCs w:val="18"/>
        </w:rPr>
        <w:t>16.</w:t>
      </w:r>
      <w:r w:rsidRPr="002D3A02">
        <w:rPr>
          <w:sz w:val="18"/>
          <w:szCs w:val="18"/>
        </w:rPr>
        <w:tab/>
        <w:t xml:space="preserve">H. Zheng, S. A. Whitman, W. Wu, G. T. </w:t>
      </w:r>
      <w:proofErr w:type="spellStart"/>
      <w:r w:rsidRPr="002D3A02">
        <w:rPr>
          <w:sz w:val="18"/>
          <w:szCs w:val="18"/>
        </w:rPr>
        <w:t>Wondrak</w:t>
      </w:r>
      <w:proofErr w:type="spellEnd"/>
      <w:r w:rsidRPr="002D3A02">
        <w:rPr>
          <w:sz w:val="18"/>
          <w:szCs w:val="18"/>
        </w:rPr>
        <w:t>, P. K. Wong, D. Fang and D. D. Zhang, Therapeutic potential of Nrf2 activators in streptozotocin-induced diabetic nephropathy, Diabetes, 2011, 60, 3055-3066.</w:t>
      </w:r>
    </w:p>
    <w:p w:rsidR="002D3A02" w:rsidRPr="002D3A02" w:rsidRDefault="002D3A02" w:rsidP="002D3A02">
      <w:pPr>
        <w:pStyle w:val="RSCF02FootnotestoTitleAuthors"/>
        <w:spacing w:line="200" w:lineRule="exact"/>
        <w:rPr>
          <w:sz w:val="18"/>
          <w:szCs w:val="18"/>
        </w:rPr>
      </w:pPr>
      <w:r w:rsidRPr="002D3A02">
        <w:rPr>
          <w:sz w:val="18"/>
          <w:szCs w:val="18"/>
        </w:rPr>
        <w:t>17.</w:t>
      </w:r>
      <w:r w:rsidRPr="002D3A02">
        <w:rPr>
          <w:sz w:val="18"/>
          <w:szCs w:val="18"/>
        </w:rPr>
        <w:tab/>
        <w:t>S. Xu and P. Liu, Tanshinone II-A: new perspectives for old remedies, Expert opinion on therapeutic patents, 2013, 23, 149-153.</w:t>
      </w:r>
    </w:p>
    <w:p w:rsidR="002D3A02" w:rsidRPr="002D3A02" w:rsidRDefault="002D3A02" w:rsidP="002D3A02">
      <w:pPr>
        <w:pStyle w:val="RSCF02FootnotestoTitleAuthors"/>
        <w:spacing w:line="200" w:lineRule="exact"/>
        <w:rPr>
          <w:sz w:val="18"/>
          <w:szCs w:val="18"/>
        </w:rPr>
      </w:pPr>
      <w:r w:rsidRPr="002D3A02">
        <w:rPr>
          <w:sz w:val="18"/>
          <w:szCs w:val="18"/>
        </w:rPr>
        <w:t>18.</w:t>
      </w:r>
      <w:r w:rsidRPr="002D3A02">
        <w:rPr>
          <w:sz w:val="18"/>
          <w:szCs w:val="18"/>
        </w:rPr>
        <w:tab/>
        <w:t xml:space="preserve">L. An, L. Y. Peng, N. Y. Sun, Y. L. Yang, X. W. Zhang, B. Li, B. L. Liu, P. Li and J. Chen, Tanshinone IIA Activates Nuclear Factor-Erythroid 2-Related Factor 2 to Restrain Pulmonary Fibrosis via Regulation of Redox Homeostasis and </w:t>
      </w:r>
      <w:proofErr w:type="spellStart"/>
      <w:r w:rsidRPr="002D3A02">
        <w:rPr>
          <w:sz w:val="18"/>
          <w:szCs w:val="18"/>
        </w:rPr>
        <w:t>Glutaminolysis</w:t>
      </w:r>
      <w:proofErr w:type="spellEnd"/>
      <w:r w:rsidRPr="002D3A02">
        <w:rPr>
          <w:sz w:val="18"/>
          <w:szCs w:val="18"/>
        </w:rPr>
        <w:t xml:space="preserve">, </w:t>
      </w:r>
      <w:proofErr w:type="spellStart"/>
      <w:r w:rsidRPr="002D3A02">
        <w:rPr>
          <w:sz w:val="18"/>
          <w:szCs w:val="18"/>
        </w:rPr>
        <w:t>Antioxid</w:t>
      </w:r>
      <w:proofErr w:type="spellEnd"/>
      <w:r w:rsidRPr="002D3A02">
        <w:rPr>
          <w:sz w:val="18"/>
          <w:szCs w:val="18"/>
        </w:rPr>
        <w:t xml:space="preserve"> Redox Signal, 2018, DOI: 10.1089/ars.2018.7569.</w:t>
      </w:r>
    </w:p>
    <w:p w:rsidR="002D3A02" w:rsidRPr="002D3A02" w:rsidRDefault="002D3A02" w:rsidP="002D3A02">
      <w:pPr>
        <w:pStyle w:val="RSCF02FootnotestoTitleAuthors"/>
        <w:spacing w:line="200" w:lineRule="exact"/>
        <w:rPr>
          <w:sz w:val="18"/>
          <w:szCs w:val="18"/>
        </w:rPr>
      </w:pPr>
      <w:r w:rsidRPr="002D3A02">
        <w:rPr>
          <w:sz w:val="18"/>
          <w:szCs w:val="18"/>
        </w:rPr>
        <w:t>19.</w:t>
      </w:r>
      <w:r w:rsidRPr="002D3A02">
        <w:rPr>
          <w:sz w:val="18"/>
          <w:szCs w:val="18"/>
        </w:rPr>
        <w:tab/>
        <w:t xml:space="preserve">L. Wang, C. Zhang, Y. Guo, Z. Y. </w:t>
      </w:r>
      <w:proofErr w:type="spellStart"/>
      <w:r w:rsidRPr="002D3A02">
        <w:rPr>
          <w:sz w:val="18"/>
          <w:szCs w:val="18"/>
        </w:rPr>
        <w:t>Su</w:t>
      </w:r>
      <w:proofErr w:type="spellEnd"/>
      <w:r w:rsidRPr="002D3A02">
        <w:rPr>
          <w:sz w:val="18"/>
          <w:szCs w:val="18"/>
        </w:rPr>
        <w:t xml:space="preserve">, Y. Yang, L. Shu and A. N. Kong, Blocking of JB6 cell transformation by </w:t>
      </w:r>
      <w:proofErr w:type="spellStart"/>
      <w:r w:rsidRPr="002D3A02">
        <w:rPr>
          <w:sz w:val="18"/>
          <w:szCs w:val="18"/>
        </w:rPr>
        <w:t>tanshinone</w:t>
      </w:r>
      <w:proofErr w:type="spellEnd"/>
      <w:r w:rsidRPr="002D3A02">
        <w:rPr>
          <w:sz w:val="18"/>
          <w:szCs w:val="18"/>
        </w:rPr>
        <w:t xml:space="preserve"> IIA: epigenetic reactivation of Nrf2 antioxidative stress pathway, AAPS J, 2014, 16, 1214-1225.</w:t>
      </w:r>
    </w:p>
    <w:p w:rsidR="002D3A02" w:rsidRPr="002D3A02" w:rsidRDefault="002D3A02" w:rsidP="002D3A02">
      <w:pPr>
        <w:pStyle w:val="RSCF02FootnotestoTitleAuthors"/>
        <w:spacing w:line="200" w:lineRule="exact"/>
        <w:rPr>
          <w:sz w:val="18"/>
          <w:szCs w:val="18"/>
        </w:rPr>
      </w:pPr>
      <w:r w:rsidRPr="002D3A02">
        <w:rPr>
          <w:sz w:val="18"/>
          <w:szCs w:val="18"/>
        </w:rPr>
        <w:t>20.</w:t>
      </w:r>
      <w:r w:rsidRPr="002D3A02">
        <w:rPr>
          <w:sz w:val="18"/>
          <w:szCs w:val="18"/>
        </w:rPr>
        <w:tab/>
        <w:t>M. Cai, Y. Guo, S. Wang, H. Wei, S. Sun, G. Zhao and H. Dong, Tanshinone IIA Elicits Neuroprotective Effect Through Activating the Nuclear Factor Erythroid 2-Related Factor-Dependent Antioxidant Response, Rejuvenation research, 2017, 20, 286-297.</w:t>
      </w:r>
    </w:p>
    <w:p w:rsidR="002D3A02" w:rsidRPr="002D3A02" w:rsidRDefault="002D3A02" w:rsidP="002D3A02">
      <w:pPr>
        <w:pStyle w:val="RSCF02FootnotestoTitleAuthors"/>
        <w:spacing w:line="200" w:lineRule="exact"/>
        <w:rPr>
          <w:sz w:val="18"/>
          <w:szCs w:val="18"/>
        </w:rPr>
      </w:pPr>
      <w:r w:rsidRPr="002D3A02">
        <w:rPr>
          <w:sz w:val="18"/>
          <w:szCs w:val="18"/>
        </w:rPr>
        <w:t>21.</w:t>
      </w:r>
      <w:r w:rsidRPr="002D3A02">
        <w:rPr>
          <w:sz w:val="18"/>
          <w:szCs w:val="18"/>
        </w:rPr>
        <w:tab/>
        <w:t xml:space="preserve">H. Sui, J. Zhao, L. Zhou, H. Wen, W. Deng, C. Li, Q. Ji, X. Liu, Y. Feng, N. Chai, Q. Zhang, J. Cai and Q. Li, Tanshinone IIA inhibits beta-catenin/VEGF-mediated angiogenesis by targeting TGF-beta1 in </w:t>
      </w:r>
      <w:proofErr w:type="spellStart"/>
      <w:r w:rsidRPr="002D3A02">
        <w:rPr>
          <w:sz w:val="18"/>
          <w:szCs w:val="18"/>
        </w:rPr>
        <w:t>normoxic</w:t>
      </w:r>
      <w:proofErr w:type="spellEnd"/>
      <w:r w:rsidRPr="002D3A02">
        <w:rPr>
          <w:sz w:val="18"/>
          <w:szCs w:val="18"/>
        </w:rPr>
        <w:t xml:space="preserve"> and HIF-1alpha in hypoxic microenvironments in human colorectal cancer, Cancer letters, 2017, 403, 86-97.</w:t>
      </w:r>
    </w:p>
    <w:p w:rsidR="002D3A02" w:rsidRPr="002D3A02" w:rsidRDefault="002D3A02" w:rsidP="002D3A02">
      <w:pPr>
        <w:pStyle w:val="RSCF02FootnotestoTitleAuthors"/>
        <w:spacing w:line="200" w:lineRule="exact"/>
        <w:rPr>
          <w:sz w:val="18"/>
          <w:szCs w:val="18"/>
        </w:rPr>
      </w:pPr>
      <w:r w:rsidRPr="002D3A02">
        <w:rPr>
          <w:sz w:val="18"/>
          <w:szCs w:val="18"/>
        </w:rPr>
        <w:t>22.</w:t>
      </w:r>
      <w:r w:rsidRPr="002D3A02">
        <w:rPr>
          <w:sz w:val="18"/>
          <w:szCs w:val="18"/>
        </w:rPr>
        <w:tab/>
        <w:t xml:space="preserve">H. Gao, L. Huang, F. Ding, K. Yang, Y. Feng, H. Tang, Q. M. Xu, J. Feng and S. Yang, Simultaneous purification of dihydrotanshinone, </w:t>
      </w:r>
      <w:proofErr w:type="spellStart"/>
      <w:r w:rsidRPr="002D3A02">
        <w:rPr>
          <w:sz w:val="18"/>
          <w:szCs w:val="18"/>
        </w:rPr>
        <w:t>tanshinone</w:t>
      </w:r>
      <w:proofErr w:type="spellEnd"/>
      <w:r w:rsidRPr="002D3A02">
        <w:rPr>
          <w:sz w:val="18"/>
          <w:szCs w:val="18"/>
        </w:rPr>
        <w:t xml:space="preserve"> I, </w:t>
      </w:r>
      <w:proofErr w:type="spellStart"/>
      <w:r w:rsidRPr="002D3A02">
        <w:rPr>
          <w:sz w:val="18"/>
          <w:szCs w:val="18"/>
        </w:rPr>
        <w:t>cryptotanshinone</w:t>
      </w:r>
      <w:proofErr w:type="spellEnd"/>
      <w:r w:rsidRPr="002D3A02">
        <w:rPr>
          <w:sz w:val="18"/>
          <w:szCs w:val="18"/>
        </w:rPr>
        <w:t xml:space="preserve">, and </w:t>
      </w:r>
      <w:proofErr w:type="spellStart"/>
      <w:r w:rsidRPr="002D3A02">
        <w:rPr>
          <w:sz w:val="18"/>
          <w:szCs w:val="18"/>
        </w:rPr>
        <w:t>tanshinone</w:t>
      </w:r>
      <w:proofErr w:type="spellEnd"/>
      <w:r w:rsidRPr="002D3A02">
        <w:rPr>
          <w:sz w:val="18"/>
          <w:szCs w:val="18"/>
        </w:rPr>
        <w:t xml:space="preserve"> IIA from Salvia </w:t>
      </w:r>
      <w:proofErr w:type="spellStart"/>
      <w:r w:rsidRPr="002D3A02">
        <w:rPr>
          <w:sz w:val="18"/>
          <w:szCs w:val="18"/>
        </w:rPr>
        <w:t>miltiorrhiza</w:t>
      </w:r>
      <w:proofErr w:type="spellEnd"/>
      <w:r w:rsidRPr="002D3A02">
        <w:rPr>
          <w:sz w:val="18"/>
          <w:szCs w:val="18"/>
        </w:rPr>
        <w:t xml:space="preserve"> and their anti-inflammatory activities investigation, Scientific reports, 2018, 8, 8460.</w:t>
      </w:r>
    </w:p>
    <w:p w:rsidR="002D3A02" w:rsidRPr="002D3A02" w:rsidRDefault="002D3A02" w:rsidP="002D3A02">
      <w:pPr>
        <w:pStyle w:val="RSCF02FootnotestoTitleAuthors"/>
        <w:spacing w:line="200" w:lineRule="exact"/>
        <w:rPr>
          <w:sz w:val="18"/>
          <w:szCs w:val="18"/>
        </w:rPr>
      </w:pPr>
      <w:r w:rsidRPr="002D3A02">
        <w:rPr>
          <w:sz w:val="18"/>
          <w:szCs w:val="18"/>
        </w:rPr>
        <w:t>23.</w:t>
      </w:r>
      <w:r w:rsidRPr="002D3A02">
        <w:rPr>
          <w:sz w:val="18"/>
          <w:szCs w:val="18"/>
        </w:rPr>
        <w:tab/>
        <w:t xml:space="preserve">T. Liu, H. </w:t>
      </w:r>
      <w:proofErr w:type="spellStart"/>
      <w:r w:rsidRPr="002D3A02">
        <w:rPr>
          <w:sz w:val="18"/>
          <w:szCs w:val="18"/>
        </w:rPr>
        <w:t>Jin</w:t>
      </w:r>
      <w:proofErr w:type="spellEnd"/>
      <w:r w:rsidRPr="002D3A02">
        <w:rPr>
          <w:sz w:val="18"/>
          <w:szCs w:val="18"/>
        </w:rPr>
        <w:t xml:space="preserve">, Q. R. Sun, J. H. Xu and H. T. Hu, The neuroprotective effects of </w:t>
      </w:r>
      <w:proofErr w:type="spellStart"/>
      <w:r w:rsidRPr="002D3A02">
        <w:rPr>
          <w:sz w:val="18"/>
          <w:szCs w:val="18"/>
        </w:rPr>
        <w:t>tanshinone</w:t>
      </w:r>
      <w:proofErr w:type="spellEnd"/>
      <w:r w:rsidRPr="002D3A02">
        <w:rPr>
          <w:sz w:val="18"/>
          <w:szCs w:val="18"/>
        </w:rPr>
        <w:t xml:space="preserve"> IIA on beta-amyloid-induced toxicity in rat cortical neurons, Neuropharmacology, 2010, 59, 595-604.</w:t>
      </w:r>
    </w:p>
    <w:p w:rsidR="002D3A02" w:rsidRPr="002D3A02" w:rsidRDefault="002D3A02" w:rsidP="002D3A02">
      <w:pPr>
        <w:pStyle w:val="RSCF02FootnotestoTitleAuthors"/>
        <w:spacing w:line="200" w:lineRule="exact"/>
        <w:rPr>
          <w:sz w:val="18"/>
          <w:szCs w:val="18"/>
        </w:rPr>
      </w:pPr>
      <w:r w:rsidRPr="002D3A02">
        <w:rPr>
          <w:sz w:val="18"/>
          <w:szCs w:val="18"/>
        </w:rPr>
        <w:t>24.</w:t>
      </w:r>
      <w:r w:rsidRPr="002D3A02">
        <w:rPr>
          <w:sz w:val="18"/>
          <w:szCs w:val="18"/>
        </w:rPr>
        <w:tab/>
        <w:t xml:space="preserve">X. Chen, R. Wu, Y. Kong, Y. Yang, Y. Gao, D. Sun, Q. Liu, D. Dai, Z. Lu, N. Wang, S. Ge and F. Wang, Tanshinone IIA attenuates renal damage in STZ-induced diabetic rats via inhibiting oxidative stress and inflammation, </w:t>
      </w:r>
      <w:proofErr w:type="spellStart"/>
      <w:r w:rsidRPr="002D3A02">
        <w:rPr>
          <w:sz w:val="18"/>
          <w:szCs w:val="18"/>
        </w:rPr>
        <w:t>Oncotarget</w:t>
      </w:r>
      <w:proofErr w:type="spellEnd"/>
      <w:r w:rsidRPr="002D3A02">
        <w:rPr>
          <w:sz w:val="18"/>
          <w:szCs w:val="18"/>
        </w:rPr>
        <w:t>, 2017, 8, 31915-31922.</w:t>
      </w:r>
    </w:p>
    <w:p w:rsidR="002D3A02" w:rsidRPr="002D3A02" w:rsidRDefault="002D3A02" w:rsidP="002D3A02">
      <w:pPr>
        <w:pStyle w:val="RSCF02FootnotestoTitleAuthors"/>
        <w:spacing w:line="200" w:lineRule="exact"/>
        <w:rPr>
          <w:sz w:val="18"/>
          <w:szCs w:val="18"/>
        </w:rPr>
      </w:pPr>
      <w:r w:rsidRPr="002D3A02">
        <w:rPr>
          <w:sz w:val="18"/>
          <w:szCs w:val="18"/>
        </w:rPr>
        <w:t>25.</w:t>
      </w:r>
      <w:r w:rsidRPr="002D3A02">
        <w:rPr>
          <w:sz w:val="18"/>
          <w:szCs w:val="18"/>
        </w:rPr>
        <w:tab/>
        <w:t xml:space="preserve">K. Fan, S. Li, G. Liu, H. Yuan, L. Ma and P. Lu, Tanshinone IIA inhibits high </w:t>
      </w:r>
      <w:proofErr w:type="spellStart"/>
      <w:r w:rsidRPr="002D3A02">
        <w:rPr>
          <w:sz w:val="18"/>
          <w:szCs w:val="18"/>
        </w:rPr>
        <w:t>glucoseinduced</w:t>
      </w:r>
      <w:proofErr w:type="spellEnd"/>
      <w:r w:rsidRPr="002D3A02">
        <w:rPr>
          <w:sz w:val="18"/>
          <w:szCs w:val="18"/>
        </w:rPr>
        <w:t xml:space="preserve"> proliferation, migration and vascularization of human retinal endothelial cells, Molecular medicine reports, 2017, 16, 9023-9028.</w:t>
      </w:r>
    </w:p>
    <w:p w:rsidR="002D3A02" w:rsidRPr="002D3A02" w:rsidRDefault="002D3A02" w:rsidP="002D3A02">
      <w:pPr>
        <w:pStyle w:val="RSCF02FootnotestoTitleAuthors"/>
        <w:spacing w:line="200" w:lineRule="exact"/>
        <w:rPr>
          <w:sz w:val="18"/>
          <w:szCs w:val="18"/>
        </w:rPr>
      </w:pPr>
      <w:r w:rsidRPr="002D3A02">
        <w:rPr>
          <w:sz w:val="18"/>
          <w:szCs w:val="18"/>
        </w:rPr>
        <w:t>26.</w:t>
      </w:r>
      <w:r w:rsidRPr="002D3A02">
        <w:rPr>
          <w:sz w:val="18"/>
          <w:szCs w:val="18"/>
        </w:rPr>
        <w:tab/>
        <w:t xml:space="preserve">C. Jiang, W. Zhu, Q. Shao, X. Yan, B. </w:t>
      </w:r>
      <w:proofErr w:type="spellStart"/>
      <w:r w:rsidRPr="002D3A02">
        <w:rPr>
          <w:sz w:val="18"/>
          <w:szCs w:val="18"/>
        </w:rPr>
        <w:t>Jin</w:t>
      </w:r>
      <w:proofErr w:type="spellEnd"/>
      <w:r w:rsidRPr="002D3A02">
        <w:rPr>
          <w:sz w:val="18"/>
          <w:szCs w:val="18"/>
        </w:rPr>
        <w:t>, M. Zhang and B. Xu, Tanshinone IIA Protects Against Folic Acid-Induced Acute Kidney Injury, The American journal of Chinese medicine, 2016, 44, 737-753.</w:t>
      </w:r>
    </w:p>
    <w:p w:rsidR="002D3A02" w:rsidRPr="002D3A02" w:rsidRDefault="002D3A02" w:rsidP="002D3A02">
      <w:pPr>
        <w:pStyle w:val="RSCF02FootnotestoTitleAuthors"/>
        <w:spacing w:line="200" w:lineRule="exact"/>
        <w:rPr>
          <w:sz w:val="18"/>
          <w:szCs w:val="18"/>
        </w:rPr>
      </w:pPr>
      <w:r w:rsidRPr="002D3A02">
        <w:rPr>
          <w:sz w:val="18"/>
          <w:szCs w:val="18"/>
        </w:rPr>
        <w:t>27.</w:t>
      </w:r>
      <w:r w:rsidRPr="002D3A02">
        <w:rPr>
          <w:sz w:val="18"/>
          <w:szCs w:val="18"/>
        </w:rPr>
        <w:tab/>
        <w:t>C. Jiang, W. Zhu, X. Yan, Q. Shao, B. Xu, M. Zhang and R. Gong, Rescue therapy with Tanshinone IIA hinders transition of acute kidney injury to chronic kidney disease via targeting GSK3beta, Scientific reports, 2016, 6, 36698.</w:t>
      </w:r>
    </w:p>
    <w:p w:rsidR="002D3A02" w:rsidRPr="002D3A02" w:rsidRDefault="002D3A02" w:rsidP="002D3A02">
      <w:pPr>
        <w:pStyle w:val="RSCF02FootnotestoTitleAuthors"/>
        <w:spacing w:line="200" w:lineRule="exact"/>
        <w:rPr>
          <w:sz w:val="18"/>
          <w:szCs w:val="18"/>
        </w:rPr>
      </w:pPr>
      <w:r w:rsidRPr="002D3A02">
        <w:rPr>
          <w:sz w:val="18"/>
          <w:szCs w:val="18"/>
        </w:rPr>
        <w:t>28.</w:t>
      </w:r>
      <w:r w:rsidRPr="002D3A02">
        <w:rPr>
          <w:sz w:val="18"/>
          <w:szCs w:val="18"/>
        </w:rPr>
        <w:tab/>
        <w:t xml:space="preserve">Y. M. </w:t>
      </w:r>
      <w:proofErr w:type="spellStart"/>
      <w:r w:rsidRPr="002D3A02">
        <w:rPr>
          <w:sz w:val="18"/>
          <w:szCs w:val="18"/>
        </w:rPr>
        <w:t>Ahn</w:t>
      </w:r>
      <w:proofErr w:type="spellEnd"/>
      <w:r w:rsidRPr="002D3A02">
        <w:rPr>
          <w:sz w:val="18"/>
          <w:szCs w:val="18"/>
        </w:rPr>
        <w:t xml:space="preserve">, S. K. Kim, S. H. Lee, S. Y. </w:t>
      </w:r>
      <w:proofErr w:type="spellStart"/>
      <w:r w:rsidRPr="002D3A02">
        <w:rPr>
          <w:sz w:val="18"/>
          <w:szCs w:val="18"/>
        </w:rPr>
        <w:t>Ahn</w:t>
      </w:r>
      <w:proofErr w:type="spellEnd"/>
      <w:r w:rsidRPr="002D3A02">
        <w:rPr>
          <w:sz w:val="18"/>
          <w:szCs w:val="18"/>
        </w:rPr>
        <w:t xml:space="preserve">, S. W. Kang, J. H. Chung, S. D. Kim and B. C. Lee, </w:t>
      </w:r>
      <w:proofErr w:type="spellStart"/>
      <w:r w:rsidRPr="002D3A02">
        <w:rPr>
          <w:sz w:val="18"/>
          <w:szCs w:val="18"/>
        </w:rPr>
        <w:t>Renoprotective</w:t>
      </w:r>
      <w:proofErr w:type="spellEnd"/>
      <w:r w:rsidRPr="002D3A02">
        <w:rPr>
          <w:sz w:val="18"/>
          <w:szCs w:val="18"/>
        </w:rPr>
        <w:t xml:space="preserve"> effect of Tanshinone IIA, an active component of Salvia </w:t>
      </w:r>
      <w:proofErr w:type="spellStart"/>
      <w:r w:rsidRPr="002D3A02">
        <w:rPr>
          <w:sz w:val="18"/>
          <w:szCs w:val="18"/>
        </w:rPr>
        <w:t>miltiorrhiza</w:t>
      </w:r>
      <w:proofErr w:type="spellEnd"/>
      <w:r w:rsidRPr="002D3A02">
        <w:rPr>
          <w:sz w:val="18"/>
          <w:szCs w:val="18"/>
        </w:rPr>
        <w:t xml:space="preserve">, on rats with chronic kidney disease, </w:t>
      </w:r>
      <w:proofErr w:type="spellStart"/>
      <w:r w:rsidRPr="002D3A02">
        <w:rPr>
          <w:sz w:val="18"/>
          <w:szCs w:val="18"/>
        </w:rPr>
        <w:t>Phytotherapy</w:t>
      </w:r>
      <w:proofErr w:type="spellEnd"/>
      <w:r w:rsidRPr="002D3A02">
        <w:rPr>
          <w:sz w:val="18"/>
          <w:szCs w:val="18"/>
        </w:rPr>
        <w:t xml:space="preserve"> research: PTR, 2010, 24, 1886-1892.</w:t>
      </w:r>
    </w:p>
    <w:p w:rsidR="002D3A02" w:rsidRPr="002D3A02" w:rsidRDefault="002D3A02" w:rsidP="002D3A02">
      <w:pPr>
        <w:pStyle w:val="RSCF02FootnotestoTitleAuthors"/>
        <w:spacing w:line="200" w:lineRule="exact"/>
        <w:rPr>
          <w:sz w:val="18"/>
          <w:szCs w:val="18"/>
        </w:rPr>
      </w:pPr>
      <w:r w:rsidRPr="002D3A02">
        <w:rPr>
          <w:sz w:val="18"/>
          <w:szCs w:val="18"/>
        </w:rPr>
        <w:t>29.</w:t>
      </w:r>
      <w:r w:rsidRPr="002D3A02">
        <w:rPr>
          <w:sz w:val="18"/>
          <w:szCs w:val="18"/>
        </w:rPr>
        <w:tab/>
        <w:t xml:space="preserve">C. Jiang, Q. Shao, B. </w:t>
      </w:r>
      <w:proofErr w:type="spellStart"/>
      <w:r w:rsidRPr="002D3A02">
        <w:rPr>
          <w:sz w:val="18"/>
          <w:szCs w:val="18"/>
        </w:rPr>
        <w:t>Jin</w:t>
      </w:r>
      <w:proofErr w:type="spellEnd"/>
      <w:r w:rsidRPr="002D3A02">
        <w:rPr>
          <w:sz w:val="18"/>
          <w:szCs w:val="18"/>
        </w:rPr>
        <w:t>, R. Gong, M. Zhang and B. Xu, Tanshinone IIA Attenuates Renal Fibrosis after Acute Kidney Injury in a Mouse Model through Inhibition of Fibrocytes Recruitment, BioMed research international, 2015, 2015, 867140.</w:t>
      </w:r>
    </w:p>
    <w:p w:rsidR="002D3A02" w:rsidRPr="002D3A02" w:rsidRDefault="002D3A02" w:rsidP="002D3A02">
      <w:pPr>
        <w:pStyle w:val="RSCF02FootnotestoTitleAuthors"/>
        <w:spacing w:line="200" w:lineRule="exact"/>
        <w:rPr>
          <w:sz w:val="18"/>
          <w:szCs w:val="18"/>
        </w:rPr>
      </w:pPr>
      <w:r w:rsidRPr="002D3A02">
        <w:rPr>
          <w:sz w:val="18"/>
          <w:szCs w:val="18"/>
        </w:rPr>
        <w:t>30.</w:t>
      </w:r>
      <w:r w:rsidRPr="002D3A02">
        <w:rPr>
          <w:sz w:val="18"/>
          <w:szCs w:val="18"/>
        </w:rPr>
        <w:tab/>
        <w:t xml:space="preserve">G. Chen, X. Zhang, C. Li, Y. Lin, Y. Meng and S. Tang, Role of the </w:t>
      </w:r>
      <w:proofErr w:type="spellStart"/>
      <w:r w:rsidRPr="002D3A02">
        <w:rPr>
          <w:sz w:val="18"/>
          <w:szCs w:val="18"/>
        </w:rPr>
        <w:t>TGFbeta</w:t>
      </w:r>
      <w:proofErr w:type="spellEnd"/>
      <w:r w:rsidRPr="002D3A02">
        <w:rPr>
          <w:sz w:val="18"/>
          <w:szCs w:val="18"/>
        </w:rPr>
        <w:t xml:space="preserve">/p65 pathway in </w:t>
      </w:r>
      <w:proofErr w:type="spellStart"/>
      <w:r w:rsidRPr="002D3A02">
        <w:rPr>
          <w:sz w:val="18"/>
          <w:szCs w:val="18"/>
        </w:rPr>
        <w:t>tanshinone</w:t>
      </w:r>
      <w:proofErr w:type="spellEnd"/>
      <w:r w:rsidRPr="002D3A02">
        <w:rPr>
          <w:sz w:val="18"/>
          <w:szCs w:val="18"/>
        </w:rPr>
        <w:t xml:space="preserve"> A-treated HBZY1 cells, Molecular medicine reports, 2014, 10, 2471-2476.</w:t>
      </w:r>
    </w:p>
    <w:p w:rsidR="002D3A02" w:rsidRPr="002D3A02" w:rsidRDefault="002D3A02" w:rsidP="002D3A02">
      <w:pPr>
        <w:pStyle w:val="RSCF02FootnotestoTitleAuthors"/>
        <w:spacing w:line="200" w:lineRule="exact"/>
        <w:rPr>
          <w:sz w:val="18"/>
          <w:szCs w:val="18"/>
        </w:rPr>
      </w:pPr>
      <w:r w:rsidRPr="002D3A02">
        <w:rPr>
          <w:sz w:val="18"/>
          <w:szCs w:val="18"/>
        </w:rPr>
        <w:t>31.</w:t>
      </w:r>
      <w:r w:rsidRPr="002D3A02">
        <w:rPr>
          <w:sz w:val="18"/>
          <w:szCs w:val="18"/>
        </w:rPr>
        <w:tab/>
        <w:t>S. K. Kim, K. H. Jung and B. C. Lee, Protective effect of Tanshinone IIA on the early stage of experimental diabetic nephropathy, Biological &amp; pharmaceutical bulletin, 2009, 32, 220-224.</w:t>
      </w:r>
    </w:p>
    <w:p w:rsidR="002D3A02" w:rsidRPr="002D3A02" w:rsidRDefault="002D3A02" w:rsidP="002D3A02">
      <w:pPr>
        <w:pStyle w:val="RSCF02FootnotestoTitleAuthors"/>
        <w:spacing w:line="200" w:lineRule="exact"/>
        <w:rPr>
          <w:sz w:val="18"/>
          <w:szCs w:val="18"/>
        </w:rPr>
      </w:pPr>
      <w:r w:rsidRPr="002D3A02">
        <w:rPr>
          <w:sz w:val="18"/>
          <w:szCs w:val="18"/>
        </w:rPr>
        <w:t>32.</w:t>
      </w:r>
      <w:r w:rsidRPr="002D3A02">
        <w:rPr>
          <w:sz w:val="18"/>
          <w:szCs w:val="18"/>
        </w:rPr>
        <w:tab/>
        <w:t>M. J. Hadden and A. Advani, Histone Deacetylase Inhibitors and Diabetic Kidney Disease, International journal of molecular sciences, 2018, 19.</w:t>
      </w:r>
    </w:p>
    <w:p w:rsidR="002D3A02" w:rsidRPr="002D3A02" w:rsidRDefault="002D3A02" w:rsidP="002D3A02">
      <w:pPr>
        <w:pStyle w:val="RSCF02FootnotestoTitleAuthors"/>
        <w:spacing w:line="200" w:lineRule="exact"/>
        <w:rPr>
          <w:sz w:val="18"/>
          <w:szCs w:val="18"/>
        </w:rPr>
      </w:pPr>
      <w:r w:rsidRPr="002D3A02">
        <w:rPr>
          <w:sz w:val="18"/>
          <w:szCs w:val="18"/>
        </w:rPr>
        <w:t>33.</w:t>
      </w:r>
      <w:r w:rsidRPr="002D3A02">
        <w:rPr>
          <w:sz w:val="18"/>
          <w:szCs w:val="18"/>
        </w:rPr>
        <w:tab/>
        <w:t xml:space="preserve">S. T. Keating, J. A. van </w:t>
      </w:r>
      <w:proofErr w:type="spellStart"/>
      <w:r w:rsidRPr="002D3A02">
        <w:rPr>
          <w:sz w:val="18"/>
          <w:szCs w:val="18"/>
        </w:rPr>
        <w:t>Diepen</w:t>
      </w:r>
      <w:proofErr w:type="spellEnd"/>
      <w:r w:rsidRPr="002D3A02">
        <w:rPr>
          <w:sz w:val="18"/>
          <w:szCs w:val="18"/>
        </w:rPr>
        <w:t xml:space="preserve">, N. P. </w:t>
      </w:r>
      <w:proofErr w:type="spellStart"/>
      <w:r w:rsidRPr="002D3A02">
        <w:rPr>
          <w:sz w:val="18"/>
          <w:szCs w:val="18"/>
        </w:rPr>
        <w:t>Riksen</w:t>
      </w:r>
      <w:proofErr w:type="spellEnd"/>
      <w:r w:rsidRPr="002D3A02">
        <w:rPr>
          <w:sz w:val="18"/>
          <w:szCs w:val="18"/>
        </w:rPr>
        <w:t xml:space="preserve"> and A. El-</w:t>
      </w:r>
      <w:proofErr w:type="spellStart"/>
      <w:r w:rsidRPr="002D3A02">
        <w:rPr>
          <w:sz w:val="18"/>
          <w:szCs w:val="18"/>
        </w:rPr>
        <w:t>Osta</w:t>
      </w:r>
      <w:proofErr w:type="spellEnd"/>
      <w:r w:rsidRPr="002D3A02">
        <w:rPr>
          <w:sz w:val="18"/>
          <w:szCs w:val="18"/>
        </w:rPr>
        <w:t xml:space="preserve">, Epigenetics in diabetic nephropathy, immunity and metabolism, </w:t>
      </w:r>
      <w:proofErr w:type="spellStart"/>
      <w:r w:rsidRPr="002D3A02">
        <w:rPr>
          <w:sz w:val="18"/>
          <w:szCs w:val="18"/>
        </w:rPr>
        <w:t>Diabetologia</w:t>
      </w:r>
      <w:proofErr w:type="spellEnd"/>
      <w:r w:rsidRPr="002D3A02">
        <w:rPr>
          <w:sz w:val="18"/>
          <w:szCs w:val="18"/>
        </w:rPr>
        <w:t>, 2018, 61, 6-20.</w:t>
      </w:r>
    </w:p>
    <w:p w:rsidR="002D3A02" w:rsidRPr="002D3A02" w:rsidRDefault="002D3A02" w:rsidP="002D3A02">
      <w:pPr>
        <w:pStyle w:val="RSCF02FootnotestoTitleAuthors"/>
        <w:spacing w:line="200" w:lineRule="exact"/>
        <w:rPr>
          <w:sz w:val="18"/>
          <w:szCs w:val="18"/>
        </w:rPr>
      </w:pPr>
      <w:r w:rsidRPr="002D3A02">
        <w:rPr>
          <w:sz w:val="18"/>
          <w:szCs w:val="18"/>
        </w:rPr>
        <w:t>34.</w:t>
      </w:r>
      <w:r w:rsidRPr="002D3A02">
        <w:rPr>
          <w:sz w:val="18"/>
          <w:szCs w:val="18"/>
        </w:rPr>
        <w:tab/>
        <w:t xml:space="preserve">F. </w:t>
      </w:r>
      <w:proofErr w:type="spellStart"/>
      <w:r w:rsidRPr="002D3A02">
        <w:rPr>
          <w:sz w:val="18"/>
          <w:szCs w:val="18"/>
        </w:rPr>
        <w:t>Leti</w:t>
      </w:r>
      <w:proofErr w:type="spellEnd"/>
      <w:r w:rsidRPr="002D3A02">
        <w:rPr>
          <w:sz w:val="18"/>
          <w:szCs w:val="18"/>
        </w:rPr>
        <w:t>, E. Morrison and J. K. DiStefano, Long noncoding RNAs in the pathogenesis of diabetic kidney disease: implications for novel therapeutic strategies, Personalized medicine, 2017, 14, 271-278.</w:t>
      </w:r>
    </w:p>
    <w:p w:rsidR="002D3A02" w:rsidRPr="002D3A02" w:rsidRDefault="002D3A02" w:rsidP="002D3A02">
      <w:pPr>
        <w:pStyle w:val="RSCF02FootnotestoTitleAuthors"/>
        <w:spacing w:line="200" w:lineRule="exact"/>
        <w:rPr>
          <w:sz w:val="18"/>
          <w:szCs w:val="18"/>
        </w:rPr>
      </w:pPr>
      <w:r w:rsidRPr="002D3A02">
        <w:rPr>
          <w:sz w:val="18"/>
          <w:szCs w:val="18"/>
        </w:rPr>
        <w:t>35.</w:t>
      </w:r>
      <w:r w:rsidRPr="002D3A02">
        <w:rPr>
          <w:sz w:val="18"/>
          <w:szCs w:val="18"/>
        </w:rPr>
        <w:tab/>
        <w:t xml:space="preserve">J. Long, S. S. Badal, Z. Ye, Y. Wang, B. A. </w:t>
      </w:r>
      <w:proofErr w:type="spellStart"/>
      <w:r w:rsidRPr="002D3A02">
        <w:rPr>
          <w:sz w:val="18"/>
          <w:szCs w:val="18"/>
        </w:rPr>
        <w:t>Ayanga</w:t>
      </w:r>
      <w:proofErr w:type="spellEnd"/>
      <w:r w:rsidRPr="002D3A02">
        <w:rPr>
          <w:sz w:val="18"/>
          <w:szCs w:val="18"/>
        </w:rPr>
        <w:t xml:space="preserve">, D. L. Galvan, N. H. Green, B. H. Chang, P. A. </w:t>
      </w:r>
      <w:proofErr w:type="spellStart"/>
      <w:r w:rsidRPr="002D3A02">
        <w:rPr>
          <w:sz w:val="18"/>
          <w:szCs w:val="18"/>
        </w:rPr>
        <w:t>Overbeek</w:t>
      </w:r>
      <w:proofErr w:type="spellEnd"/>
      <w:r w:rsidRPr="002D3A02">
        <w:rPr>
          <w:sz w:val="18"/>
          <w:szCs w:val="18"/>
        </w:rPr>
        <w:t xml:space="preserve"> and F. R. </w:t>
      </w:r>
      <w:proofErr w:type="spellStart"/>
      <w:r w:rsidRPr="002D3A02">
        <w:rPr>
          <w:sz w:val="18"/>
          <w:szCs w:val="18"/>
        </w:rPr>
        <w:t>Danesh</w:t>
      </w:r>
      <w:proofErr w:type="spellEnd"/>
      <w:r w:rsidRPr="002D3A02">
        <w:rPr>
          <w:sz w:val="18"/>
          <w:szCs w:val="18"/>
        </w:rPr>
        <w:t xml:space="preserve">, </w:t>
      </w:r>
      <w:proofErr w:type="gramStart"/>
      <w:r w:rsidRPr="002D3A02">
        <w:rPr>
          <w:sz w:val="18"/>
          <w:szCs w:val="18"/>
        </w:rPr>
        <w:t>Long</w:t>
      </w:r>
      <w:proofErr w:type="gramEnd"/>
      <w:r w:rsidRPr="002D3A02">
        <w:rPr>
          <w:sz w:val="18"/>
          <w:szCs w:val="18"/>
        </w:rPr>
        <w:t xml:space="preserve"> noncoding RNA Tug1 regulates mitochondrial bioenergetics in diabetic nephropathy, The Journal of clinical investigation, 2016, 126, 4205-4218.</w:t>
      </w:r>
    </w:p>
    <w:p w:rsidR="002D3A02" w:rsidRPr="002D3A02" w:rsidRDefault="002D3A02" w:rsidP="002D3A02">
      <w:pPr>
        <w:pStyle w:val="RSCF02FootnotestoTitleAuthors"/>
        <w:spacing w:line="200" w:lineRule="exact"/>
        <w:rPr>
          <w:sz w:val="18"/>
          <w:szCs w:val="18"/>
        </w:rPr>
      </w:pPr>
      <w:r w:rsidRPr="002D3A02">
        <w:rPr>
          <w:sz w:val="18"/>
          <w:szCs w:val="18"/>
        </w:rPr>
        <w:t>36.</w:t>
      </w:r>
      <w:r w:rsidRPr="002D3A02">
        <w:rPr>
          <w:sz w:val="18"/>
          <w:szCs w:val="18"/>
        </w:rPr>
        <w:tab/>
        <w:t xml:space="preserve">A. Rubin, A. C. </w:t>
      </w:r>
      <w:proofErr w:type="spellStart"/>
      <w:r w:rsidRPr="002D3A02">
        <w:rPr>
          <w:sz w:val="18"/>
          <w:szCs w:val="18"/>
        </w:rPr>
        <w:t>Salzberg</w:t>
      </w:r>
      <w:proofErr w:type="spellEnd"/>
      <w:r w:rsidRPr="002D3A02">
        <w:rPr>
          <w:sz w:val="18"/>
          <w:szCs w:val="18"/>
        </w:rPr>
        <w:t xml:space="preserve">, Y. Imamura, A. </w:t>
      </w:r>
      <w:proofErr w:type="spellStart"/>
      <w:r w:rsidRPr="002D3A02">
        <w:rPr>
          <w:sz w:val="18"/>
          <w:szCs w:val="18"/>
        </w:rPr>
        <w:t>Grivitishvilli</w:t>
      </w:r>
      <w:proofErr w:type="spellEnd"/>
      <w:r w:rsidRPr="002D3A02">
        <w:rPr>
          <w:sz w:val="18"/>
          <w:szCs w:val="18"/>
        </w:rPr>
        <w:t xml:space="preserve"> and J. </w:t>
      </w:r>
      <w:proofErr w:type="spellStart"/>
      <w:r w:rsidRPr="002D3A02">
        <w:rPr>
          <w:sz w:val="18"/>
          <w:szCs w:val="18"/>
        </w:rPr>
        <w:t>Tombran-Tink</w:t>
      </w:r>
      <w:proofErr w:type="spellEnd"/>
      <w:r w:rsidRPr="002D3A02">
        <w:rPr>
          <w:sz w:val="18"/>
          <w:szCs w:val="18"/>
        </w:rPr>
        <w:t>, Identification of novel targets of diabetic nephropathy and PEDF peptide treatment using RNA-</w:t>
      </w:r>
      <w:proofErr w:type="spellStart"/>
      <w:r w:rsidRPr="002D3A02">
        <w:rPr>
          <w:sz w:val="18"/>
          <w:szCs w:val="18"/>
        </w:rPr>
        <w:t>seq</w:t>
      </w:r>
      <w:proofErr w:type="spellEnd"/>
      <w:r w:rsidRPr="002D3A02">
        <w:rPr>
          <w:sz w:val="18"/>
          <w:szCs w:val="18"/>
        </w:rPr>
        <w:t>, BMC genomics, 2016, 17, 936.</w:t>
      </w:r>
    </w:p>
    <w:p w:rsidR="002D3A02" w:rsidRPr="002D3A02" w:rsidRDefault="002D3A02" w:rsidP="002D3A02">
      <w:pPr>
        <w:pStyle w:val="RSCF02FootnotestoTitleAuthors"/>
        <w:spacing w:line="200" w:lineRule="exact"/>
        <w:rPr>
          <w:sz w:val="18"/>
          <w:szCs w:val="18"/>
        </w:rPr>
      </w:pPr>
      <w:r w:rsidRPr="002D3A02">
        <w:rPr>
          <w:sz w:val="18"/>
          <w:szCs w:val="18"/>
        </w:rPr>
        <w:t>37.</w:t>
      </w:r>
      <w:r w:rsidRPr="002D3A02">
        <w:rPr>
          <w:sz w:val="18"/>
          <w:szCs w:val="18"/>
        </w:rPr>
        <w:tab/>
        <w:t xml:space="preserve">S. Andrews, </w:t>
      </w:r>
      <w:proofErr w:type="spellStart"/>
      <w:r w:rsidRPr="002D3A02">
        <w:rPr>
          <w:sz w:val="18"/>
          <w:szCs w:val="18"/>
        </w:rPr>
        <w:t>FastQC</w:t>
      </w:r>
      <w:proofErr w:type="spellEnd"/>
      <w:r w:rsidRPr="002D3A02">
        <w:rPr>
          <w:sz w:val="18"/>
          <w:szCs w:val="18"/>
        </w:rPr>
        <w:t>: a quality control tool for high throughput sequence data, 2010.</w:t>
      </w:r>
    </w:p>
    <w:p w:rsidR="002D3A02" w:rsidRPr="002D3A02" w:rsidRDefault="002D3A02" w:rsidP="002D3A02">
      <w:pPr>
        <w:pStyle w:val="RSCF02FootnotestoTitleAuthors"/>
        <w:spacing w:line="200" w:lineRule="exact"/>
        <w:rPr>
          <w:sz w:val="18"/>
          <w:szCs w:val="18"/>
        </w:rPr>
      </w:pPr>
      <w:r w:rsidRPr="002D3A02">
        <w:rPr>
          <w:sz w:val="18"/>
          <w:szCs w:val="18"/>
        </w:rPr>
        <w:t>38.</w:t>
      </w:r>
      <w:r w:rsidRPr="002D3A02">
        <w:rPr>
          <w:sz w:val="18"/>
          <w:szCs w:val="18"/>
        </w:rPr>
        <w:tab/>
        <w:t xml:space="preserve">H. Li, B. </w:t>
      </w:r>
      <w:proofErr w:type="spellStart"/>
      <w:r w:rsidRPr="002D3A02">
        <w:rPr>
          <w:sz w:val="18"/>
          <w:szCs w:val="18"/>
        </w:rPr>
        <w:t>Handsaker</w:t>
      </w:r>
      <w:proofErr w:type="spellEnd"/>
      <w:r w:rsidRPr="002D3A02">
        <w:rPr>
          <w:sz w:val="18"/>
          <w:szCs w:val="18"/>
        </w:rPr>
        <w:t xml:space="preserve">, A. </w:t>
      </w:r>
      <w:proofErr w:type="spellStart"/>
      <w:r w:rsidRPr="002D3A02">
        <w:rPr>
          <w:sz w:val="18"/>
          <w:szCs w:val="18"/>
        </w:rPr>
        <w:t>Wysoker</w:t>
      </w:r>
      <w:proofErr w:type="spellEnd"/>
      <w:r w:rsidRPr="002D3A02">
        <w:rPr>
          <w:sz w:val="18"/>
          <w:szCs w:val="18"/>
        </w:rPr>
        <w:t xml:space="preserve">, T. Fennell, J. </w:t>
      </w:r>
      <w:proofErr w:type="spellStart"/>
      <w:r w:rsidRPr="002D3A02">
        <w:rPr>
          <w:sz w:val="18"/>
          <w:szCs w:val="18"/>
        </w:rPr>
        <w:t>Ruan</w:t>
      </w:r>
      <w:proofErr w:type="spellEnd"/>
      <w:r w:rsidRPr="002D3A02">
        <w:rPr>
          <w:sz w:val="18"/>
          <w:szCs w:val="18"/>
        </w:rPr>
        <w:t xml:space="preserve">, N. Homer, G. Marth, G. </w:t>
      </w:r>
      <w:proofErr w:type="spellStart"/>
      <w:r w:rsidRPr="002D3A02">
        <w:rPr>
          <w:sz w:val="18"/>
          <w:szCs w:val="18"/>
        </w:rPr>
        <w:t>Abecasis</w:t>
      </w:r>
      <w:proofErr w:type="spellEnd"/>
      <w:r w:rsidRPr="002D3A02">
        <w:rPr>
          <w:sz w:val="18"/>
          <w:szCs w:val="18"/>
        </w:rPr>
        <w:t xml:space="preserve">, R. Durbin and S. Genome Project Data Processing, The Sequence Alignment/Map format and </w:t>
      </w:r>
      <w:proofErr w:type="spellStart"/>
      <w:r w:rsidRPr="002D3A02">
        <w:rPr>
          <w:sz w:val="18"/>
          <w:szCs w:val="18"/>
        </w:rPr>
        <w:t>SAMtools</w:t>
      </w:r>
      <w:proofErr w:type="spellEnd"/>
      <w:r w:rsidRPr="002D3A02">
        <w:rPr>
          <w:sz w:val="18"/>
          <w:szCs w:val="18"/>
        </w:rPr>
        <w:t>, Bioinformatics, 2009, 25, 2078-2079.</w:t>
      </w:r>
    </w:p>
    <w:p w:rsidR="002D3A02" w:rsidRPr="002D3A02" w:rsidRDefault="002D3A02" w:rsidP="002D3A02">
      <w:pPr>
        <w:pStyle w:val="RSCF02FootnotestoTitleAuthors"/>
        <w:spacing w:line="200" w:lineRule="exact"/>
        <w:rPr>
          <w:sz w:val="18"/>
          <w:szCs w:val="18"/>
        </w:rPr>
      </w:pPr>
      <w:r w:rsidRPr="002D3A02">
        <w:rPr>
          <w:sz w:val="18"/>
          <w:szCs w:val="18"/>
        </w:rPr>
        <w:t>39.</w:t>
      </w:r>
      <w:r w:rsidRPr="002D3A02">
        <w:rPr>
          <w:sz w:val="18"/>
          <w:szCs w:val="18"/>
        </w:rPr>
        <w:tab/>
        <w:t xml:space="preserve">D. Kim, B. Langmead and S. L. </w:t>
      </w:r>
      <w:proofErr w:type="spellStart"/>
      <w:r w:rsidRPr="002D3A02">
        <w:rPr>
          <w:sz w:val="18"/>
          <w:szCs w:val="18"/>
        </w:rPr>
        <w:t>Salzberg</w:t>
      </w:r>
      <w:proofErr w:type="spellEnd"/>
      <w:r w:rsidRPr="002D3A02">
        <w:rPr>
          <w:sz w:val="18"/>
          <w:szCs w:val="18"/>
        </w:rPr>
        <w:t xml:space="preserve">, HISAT: a </w:t>
      </w:r>
      <w:proofErr w:type="gramStart"/>
      <w:r w:rsidRPr="002D3A02">
        <w:rPr>
          <w:sz w:val="18"/>
          <w:szCs w:val="18"/>
        </w:rPr>
        <w:t>fast</w:t>
      </w:r>
      <w:r w:rsidR="009168DA">
        <w:rPr>
          <w:sz w:val="18"/>
          <w:szCs w:val="18"/>
        </w:rPr>
        <w:t xml:space="preserve"> </w:t>
      </w:r>
      <w:r w:rsidRPr="002D3A02">
        <w:rPr>
          <w:sz w:val="18"/>
          <w:szCs w:val="18"/>
        </w:rPr>
        <w:t>spliced</w:t>
      </w:r>
      <w:proofErr w:type="gramEnd"/>
      <w:r w:rsidRPr="002D3A02">
        <w:rPr>
          <w:sz w:val="18"/>
          <w:szCs w:val="18"/>
        </w:rPr>
        <w:t xml:space="preserve"> aligner with low memory requirements, Nat Methods, 2015, 12, 357-360.</w:t>
      </w:r>
    </w:p>
    <w:p w:rsidR="002D3A02" w:rsidRPr="002D3A02" w:rsidRDefault="002D3A02" w:rsidP="002D3A02">
      <w:pPr>
        <w:pStyle w:val="RSCF02FootnotestoTitleAuthors"/>
        <w:spacing w:line="200" w:lineRule="exact"/>
        <w:rPr>
          <w:sz w:val="18"/>
          <w:szCs w:val="18"/>
        </w:rPr>
      </w:pPr>
      <w:r w:rsidRPr="002D3A02">
        <w:rPr>
          <w:sz w:val="18"/>
          <w:szCs w:val="18"/>
        </w:rPr>
        <w:t>40.</w:t>
      </w:r>
      <w:r w:rsidRPr="002D3A02">
        <w:rPr>
          <w:sz w:val="18"/>
          <w:szCs w:val="18"/>
        </w:rPr>
        <w:tab/>
        <w:t xml:space="preserve">F. Krueger and S. R. Andrews, </w:t>
      </w:r>
      <w:proofErr w:type="spellStart"/>
      <w:r w:rsidRPr="002D3A02">
        <w:rPr>
          <w:sz w:val="18"/>
          <w:szCs w:val="18"/>
        </w:rPr>
        <w:t>Bismark</w:t>
      </w:r>
      <w:proofErr w:type="spellEnd"/>
      <w:r w:rsidRPr="002D3A02">
        <w:rPr>
          <w:sz w:val="18"/>
          <w:szCs w:val="18"/>
        </w:rPr>
        <w:t xml:space="preserve">: a flexible aligner and methylation caller for </w:t>
      </w:r>
      <w:proofErr w:type="spellStart"/>
      <w:r w:rsidRPr="002D3A02">
        <w:rPr>
          <w:sz w:val="18"/>
          <w:szCs w:val="18"/>
        </w:rPr>
        <w:t>Bisulfite-Seq</w:t>
      </w:r>
      <w:proofErr w:type="spellEnd"/>
      <w:r w:rsidRPr="002D3A02">
        <w:rPr>
          <w:sz w:val="18"/>
          <w:szCs w:val="18"/>
        </w:rPr>
        <w:t xml:space="preserve"> applications, bioinformatics, 2011, 27, 1571-1572.</w:t>
      </w:r>
    </w:p>
    <w:p w:rsidR="002D3A02" w:rsidRPr="002D3A02" w:rsidRDefault="002D3A02" w:rsidP="002D3A02">
      <w:pPr>
        <w:pStyle w:val="RSCF02FootnotestoTitleAuthors"/>
        <w:spacing w:line="200" w:lineRule="exact"/>
        <w:rPr>
          <w:sz w:val="18"/>
          <w:szCs w:val="18"/>
        </w:rPr>
      </w:pPr>
      <w:r w:rsidRPr="002D3A02">
        <w:rPr>
          <w:sz w:val="18"/>
          <w:szCs w:val="18"/>
        </w:rPr>
        <w:t>41.</w:t>
      </w:r>
      <w:r w:rsidRPr="002D3A02">
        <w:rPr>
          <w:sz w:val="18"/>
          <w:szCs w:val="18"/>
        </w:rPr>
        <w:tab/>
        <w:t>R. C. Team, R: A language and environment for statistical computing, 2013.</w:t>
      </w:r>
      <w:bookmarkStart w:id="2" w:name="_GoBack"/>
      <w:bookmarkEnd w:id="2"/>
    </w:p>
    <w:p w:rsidR="002D3A02" w:rsidRPr="002D3A02" w:rsidRDefault="002D3A02" w:rsidP="002D3A02">
      <w:pPr>
        <w:pStyle w:val="RSCF02FootnotestoTitleAuthors"/>
        <w:spacing w:line="200" w:lineRule="exact"/>
        <w:rPr>
          <w:sz w:val="18"/>
          <w:szCs w:val="18"/>
        </w:rPr>
      </w:pPr>
      <w:r w:rsidRPr="002D3A02">
        <w:rPr>
          <w:sz w:val="18"/>
          <w:szCs w:val="18"/>
        </w:rPr>
        <w:t>42.</w:t>
      </w:r>
      <w:r w:rsidRPr="002D3A02">
        <w:rPr>
          <w:sz w:val="18"/>
          <w:szCs w:val="18"/>
        </w:rPr>
        <w:tab/>
        <w:t xml:space="preserve">L. Wang, Z. Feng, X. Wang, X. Wang and X. Zhang, </w:t>
      </w:r>
      <w:proofErr w:type="spellStart"/>
      <w:r w:rsidRPr="002D3A02">
        <w:rPr>
          <w:sz w:val="18"/>
          <w:szCs w:val="18"/>
        </w:rPr>
        <w:t>DEGseq</w:t>
      </w:r>
      <w:proofErr w:type="spellEnd"/>
      <w:r w:rsidRPr="002D3A02">
        <w:rPr>
          <w:sz w:val="18"/>
          <w:szCs w:val="18"/>
        </w:rPr>
        <w:t xml:space="preserve">: </w:t>
      </w:r>
      <w:proofErr w:type="gramStart"/>
      <w:r w:rsidRPr="002D3A02">
        <w:rPr>
          <w:sz w:val="18"/>
          <w:szCs w:val="18"/>
        </w:rPr>
        <w:t>an</w:t>
      </w:r>
      <w:proofErr w:type="gramEnd"/>
      <w:r w:rsidR="009168DA">
        <w:rPr>
          <w:sz w:val="18"/>
          <w:szCs w:val="18"/>
        </w:rPr>
        <w:t xml:space="preserve"> </w:t>
      </w:r>
      <w:r w:rsidRPr="002D3A02">
        <w:rPr>
          <w:sz w:val="18"/>
          <w:szCs w:val="18"/>
        </w:rPr>
        <w:t>R package for identifying differentially expressed genes from RNA-</w:t>
      </w:r>
      <w:proofErr w:type="spellStart"/>
      <w:r w:rsidRPr="002D3A02">
        <w:rPr>
          <w:sz w:val="18"/>
          <w:szCs w:val="18"/>
        </w:rPr>
        <w:t>seq</w:t>
      </w:r>
      <w:proofErr w:type="spellEnd"/>
      <w:r w:rsidRPr="002D3A02">
        <w:rPr>
          <w:sz w:val="18"/>
          <w:szCs w:val="18"/>
        </w:rPr>
        <w:t xml:space="preserve"> data, Bioinformatics, 2010, 26, 136-138.</w:t>
      </w:r>
    </w:p>
    <w:p w:rsidR="002D3A02" w:rsidRPr="002D3A02" w:rsidRDefault="002D3A02" w:rsidP="002D3A02">
      <w:pPr>
        <w:pStyle w:val="RSCF02FootnotestoTitleAuthors"/>
        <w:spacing w:line="200" w:lineRule="exact"/>
        <w:rPr>
          <w:sz w:val="18"/>
          <w:szCs w:val="18"/>
        </w:rPr>
      </w:pPr>
      <w:r w:rsidRPr="002D3A02">
        <w:rPr>
          <w:sz w:val="18"/>
          <w:szCs w:val="18"/>
        </w:rPr>
        <w:t>43.</w:t>
      </w:r>
      <w:r w:rsidRPr="002D3A02">
        <w:rPr>
          <w:sz w:val="18"/>
          <w:szCs w:val="18"/>
        </w:rPr>
        <w:tab/>
        <w:t>J. D. Storey, The positive false discovery rate: a Bayesian interpretation and the q-value, The Annals of Statistics, 2003, 31, 2013-2035.</w:t>
      </w:r>
    </w:p>
    <w:p w:rsidR="002D3A02" w:rsidRPr="002D3A02" w:rsidRDefault="002D3A02" w:rsidP="002D3A02">
      <w:pPr>
        <w:pStyle w:val="RSCF02FootnotestoTitleAuthors"/>
        <w:spacing w:line="200" w:lineRule="exact"/>
        <w:rPr>
          <w:sz w:val="18"/>
          <w:szCs w:val="18"/>
        </w:rPr>
      </w:pPr>
      <w:r w:rsidRPr="002D3A02">
        <w:rPr>
          <w:sz w:val="18"/>
          <w:szCs w:val="18"/>
        </w:rPr>
        <w:t>44.</w:t>
      </w:r>
      <w:r w:rsidRPr="002D3A02">
        <w:rPr>
          <w:sz w:val="18"/>
          <w:szCs w:val="18"/>
        </w:rPr>
        <w:tab/>
        <w:t xml:space="preserve">J. M. Gaspar and R. P. Hart, DMRfinder: efficiently identifying differentially methylated regions from </w:t>
      </w:r>
      <w:proofErr w:type="spellStart"/>
      <w:r w:rsidRPr="002D3A02">
        <w:rPr>
          <w:sz w:val="18"/>
          <w:szCs w:val="18"/>
        </w:rPr>
        <w:t>MethylC-seq</w:t>
      </w:r>
      <w:proofErr w:type="spellEnd"/>
      <w:r w:rsidRPr="002D3A02">
        <w:rPr>
          <w:sz w:val="18"/>
          <w:szCs w:val="18"/>
        </w:rPr>
        <w:t xml:space="preserve"> data, BMC Bioinformatics, 2017, 18, 528.</w:t>
      </w:r>
    </w:p>
    <w:p w:rsidR="002D3A02" w:rsidRPr="002D3A02" w:rsidRDefault="002D3A02" w:rsidP="002D3A02">
      <w:pPr>
        <w:pStyle w:val="RSCF02FootnotestoTitleAuthors"/>
        <w:spacing w:line="200" w:lineRule="exact"/>
        <w:rPr>
          <w:sz w:val="18"/>
          <w:szCs w:val="18"/>
        </w:rPr>
      </w:pPr>
      <w:r w:rsidRPr="002D3A02">
        <w:rPr>
          <w:sz w:val="18"/>
          <w:szCs w:val="18"/>
        </w:rPr>
        <w:t>45.</w:t>
      </w:r>
      <w:r w:rsidRPr="002D3A02">
        <w:rPr>
          <w:sz w:val="18"/>
          <w:szCs w:val="18"/>
        </w:rPr>
        <w:tab/>
        <w:t xml:space="preserve">G. Yu, L. G. Wang and Q. Y. He, </w:t>
      </w:r>
      <w:proofErr w:type="spellStart"/>
      <w:r w:rsidRPr="002D3A02">
        <w:rPr>
          <w:sz w:val="18"/>
          <w:szCs w:val="18"/>
        </w:rPr>
        <w:t>ChIPseeker</w:t>
      </w:r>
      <w:proofErr w:type="spellEnd"/>
      <w:r w:rsidRPr="002D3A02">
        <w:rPr>
          <w:sz w:val="18"/>
          <w:szCs w:val="18"/>
        </w:rPr>
        <w:t xml:space="preserve">: </w:t>
      </w:r>
      <w:proofErr w:type="gramStart"/>
      <w:r w:rsidRPr="002D3A02">
        <w:rPr>
          <w:sz w:val="18"/>
          <w:szCs w:val="18"/>
        </w:rPr>
        <w:t>an</w:t>
      </w:r>
      <w:proofErr w:type="gramEnd"/>
      <w:r w:rsidRPr="002D3A02">
        <w:rPr>
          <w:sz w:val="18"/>
          <w:szCs w:val="18"/>
        </w:rPr>
        <w:t xml:space="preserve"> R/Bioconductor package for </w:t>
      </w:r>
      <w:proofErr w:type="spellStart"/>
      <w:r w:rsidRPr="002D3A02">
        <w:rPr>
          <w:sz w:val="18"/>
          <w:szCs w:val="18"/>
        </w:rPr>
        <w:t>ChIP</w:t>
      </w:r>
      <w:proofErr w:type="spellEnd"/>
      <w:r w:rsidRPr="002D3A02">
        <w:rPr>
          <w:sz w:val="18"/>
          <w:szCs w:val="18"/>
        </w:rPr>
        <w:t xml:space="preserve"> peak annotation, comparison and visualization, Bioinformatics, 2015, 31, 2382-2383.</w:t>
      </w:r>
    </w:p>
    <w:p w:rsidR="002D3A02" w:rsidRPr="002D3A02" w:rsidRDefault="002D3A02" w:rsidP="002D3A02">
      <w:pPr>
        <w:pStyle w:val="RSCF02FootnotestoTitleAuthors"/>
        <w:spacing w:line="200" w:lineRule="exact"/>
        <w:rPr>
          <w:sz w:val="18"/>
          <w:szCs w:val="18"/>
        </w:rPr>
      </w:pPr>
      <w:r w:rsidRPr="002D3A02">
        <w:rPr>
          <w:sz w:val="18"/>
          <w:szCs w:val="18"/>
        </w:rPr>
        <w:t>46.</w:t>
      </w:r>
      <w:r w:rsidRPr="002D3A02">
        <w:rPr>
          <w:sz w:val="18"/>
          <w:szCs w:val="18"/>
        </w:rPr>
        <w:tab/>
        <w:t xml:space="preserve">S. Zhou, A. E. Treloar and M. </w:t>
      </w:r>
      <w:proofErr w:type="spellStart"/>
      <w:r w:rsidRPr="002D3A02">
        <w:rPr>
          <w:sz w:val="18"/>
          <w:szCs w:val="18"/>
        </w:rPr>
        <w:t>Lupien</w:t>
      </w:r>
      <w:proofErr w:type="spellEnd"/>
      <w:r w:rsidRPr="002D3A02">
        <w:rPr>
          <w:sz w:val="18"/>
          <w:szCs w:val="18"/>
        </w:rPr>
        <w:t xml:space="preserve">, Emergence of the Noncoding Cancer Genome: A Target of Genetic and Epigenetic Alterations, Cancer </w:t>
      </w:r>
      <w:proofErr w:type="spellStart"/>
      <w:r w:rsidRPr="002D3A02">
        <w:rPr>
          <w:sz w:val="18"/>
          <w:szCs w:val="18"/>
        </w:rPr>
        <w:t>Discov</w:t>
      </w:r>
      <w:proofErr w:type="spellEnd"/>
      <w:r w:rsidRPr="002D3A02">
        <w:rPr>
          <w:sz w:val="18"/>
          <w:szCs w:val="18"/>
        </w:rPr>
        <w:t>, 2016, 6, 1215-1229.</w:t>
      </w:r>
    </w:p>
    <w:p w:rsidR="002D3A02" w:rsidRPr="002D3A02" w:rsidRDefault="002D3A02" w:rsidP="002D3A02">
      <w:pPr>
        <w:pStyle w:val="RSCF02FootnotestoTitleAuthors"/>
        <w:spacing w:line="200" w:lineRule="exact"/>
        <w:rPr>
          <w:sz w:val="18"/>
          <w:szCs w:val="18"/>
        </w:rPr>
      </w:pPr>
      <w:r w:rsidRPr="002D3A02">
        <w:rPr>
          <w:sz w:val="18"/>
          <w:szCs w:val="18"/>
        </w:rPr>
        <w:t>47.</w:t>
      </w:r>
      <w:r w:rsidRPr="002D3A02">
        <w:rPr>
          <w:sz w:val="18"/>
          <w:szCs w:val="18"/>
        </w:rPr>
        <w:tab/>
        <w:t>S. E. Wenzel, Arachidonic acid metabolites: mediators of inflammation in asthma, Pharmacotherapy, 1997, 17, 3S-12S.</w:t>
      </w:r>
    </w:p>
    <w:p w:rsidR="002D3A02" w:rsidRPr="002D3A02" w:rsidRDefault="002D3A02" w:rsidP="002D3A02">
      <w:pPr>
        <w:pStyle w:val="RSCF02FootnotestoTitleAuthors"/>
        <w:spacing w:line="200" w:lineRule="exact"/>
        <w:rPr>
          <w:sz w:val="18"/>
          <w:szCs w:val="18"/>
        </w:rPr>
      </w:pPr>
      <w:r w:rsidRPr="002D3A02">
        <w:rPr>
          <w:sz w:val="18"/>
          <w:szCs w:val="18"/>
        </w:rPr>
        <w:t>48.</w:t>
      </w:r>
      <w:r w:rsidRPr="002D3A02">
        <w:rPr>
          <w:sz w:val="18"/>
          <w:szCs w:val="18"/>
        </w:rPr>
        <w:tab/>
        <w:t>M. Peters-Golden, C. Canetti, P. Mancuso and M. J. Coffey, Leukotrienes: underappreciated mediators of innate immune responses, J Immunol, 2005, 174, 589-594.</w:t>
      </w:r>
    </w:p>
    <w:p w:rsidR="002D3A02" w:rsidRPr="002D3A02" w:rsidRDefault="002D3A02" w:rsidP="002D3A02">
      <w:pPr>
        <w:pStyle w:val="RSCF02FootnotestoTitleAuthors"/>
        <w:spacing w:line="200" w:lineRule="exact"/>
        <w:rPr>
          <w:sz w:val="18"/>
          <w:szCs w:val="18"/>
        </w:rPr>
      </w:pPr>
      <w:r w:rsidRPr="002D3A02">
        <w:rPr>
          <w:sz w:val="18"/>
          <w:szCs w:val="18"/>
        </w:rPr>
        <w:t>49.</w:t>
      </w:r>
      <w:r w:rsidRPr="002D3A02">
        <w:rPr>
          <w:sz w:val="18"/>
          <w:szCs w:val="18"/>
        </w:rPr>
        <w:tab/>
        <w:t xml:space="preserve">E. M. Smyth and G. A. Fitzgerald, The eicosanoids: prostaglandins, </w:t>
      </w:r>
      <w:proofErr w:type="spellStart"/>
      <w:r w:rsidRPr="002D3A02">
        <w:rPr>
          <w:sz w:val="18"/>
          <w:szCs w:val="18"/>
        </w:rPr>
        <w:t>thromboxanes</w:t>
      </w:r>
      <w:proofErr w:type="spellEnd"/>
      <w:r w:rsidRPr="002D3A02">
        <w:rPr>
          <w:sz w:val="18"/>
          <w:szCs w:val="18"/>
        </w:rPr>
        <w:t>, leukotrienes, and related compounds, Basic and clinical pharmacology. 12th edition. McGraw Hill Medical, 2009, 313-329.</w:t>
      </w:r>
    </w:p>
    <w:p w:rsidR="002D3A02" w:rsidRPr="002D3A02" w:rsidRDefault="002D3A02" w:rsidP="002D3A02">
      <w:pPr>
        <w:pStyle w:val="RSCF02FootnotestoTitleAuthors"/>
        <w:spacing w:line="200" w:lineRule="exact"/>
        <w:rPr>
          <w:sz w:val="18"/>
          <w:szCs w:val="18"/>
        </w:rPr>
      </w:pPr>
      <w:r w:rsidRPr="002D3A02">
        <w:rPr>
          <w:sz w:val="18"/>
          <w:szCs w:val="18"/>
        </w:rPr>
        <w:t>50.</w:t>
      </w:r>
      <w:r w:rsidRPr="002D3A02">
        <w:rPr>
          <w:sz w:val="18"/>
          <w:szCs w:val="18"/>
        </w:rPr>
        <w:tab/>
        <w:t xml:space="preserve">E. M. Smyth, T. Grosser, M. Wang, Y. Yu and G. A. FitzGerald, </w:t>
      </w:r>
      <w:proofErr w:type="spellStart"/>
      <w:r w:rsidRPr="002D3A02">
        <w:rPr>
          <w:sz w:val="18"/>
          <w:szCs w:val="18"/>
        </w:rPr>
        <w:t>Prostanoids</w:t>
      </w:r>
      <w:proofErr w:type="spellEnd"/>
      <w:r w:rsidRPr="002D3A02">
        <w:rPr>
          <w:sz w:val="18"/>
          <w:szCs w:val="18"/>
        </w:rPr>
        <w:t xml:space="preserve"> in health and disease, Journal of lipid research, 2009, 50, S423-S428.</w:t>
      </w:r>
    </w:p>
    <w:p w:rsidR="002D3A02" w:rsidRPr="002D3A02" w:rsidRDefault="002D3A02" w:rsidP="002D3A02">
      <w:pPr>
        <w:pStyle w:val="RSCF02FootnotestoTitleAuthors"/>
        <w:spacing w:line="200" w:lineRule="exact"/>
        <w:rPr>
          <w:sz w:val="18"/>
          <w:szCs w:val="18"/>
        </w:rPr>
      </w:pPr>
      <w:r w:rsidRPr="002D3A02">
        <w:rPr>
          <w:sz w:val="18"/>
          <w:szCs w:val="18"/>
        </w:rPr>
        <w:t>51.</w:t>
      </w:r>
      <w:r w:rsidRPr="002D3A02">
        <w:rPr>
          <w:sz w:val="18"/>
          <w:szCs w:val="18"/>
        </w:rPr>
        <w:tab/>
        <w:t xml:space="preserve">M. </w:t>
      </w:r>
      <w:proofErr w:type="spellStart"/>
      <w:r w:rsidRPr="002D3A02">
        <w:rPr>
          <w:sz w:val="18"/>
          <w:szCs w:val="18"/>
        </w:rPr>
        <w:t>Makishima</w:t>
      </w:r>
      <w:proofErr w:type="spellEnd"/>
      <w:r w:rsidRPr="002D3A02">
        <w:rPr>
          <w:sz w:val="18"/>
          <w:szCs w:val="18"/>
        </w:rPr>
        <w:t>, Nuclear receptors as targets for drug development: regulation of cholesterol and bile acid metabolism by nuclear receptors, Journal of pharmacological sciences, 2005, 97, 177-183.</w:t>
      </w:r>
    </w:p>
    <w:p w:rsidR="002D3A02" w:rsidRPr="002D3A02" w:rsidRDefault="002D3A02" w:rsidP="002D3A02">
      <w:pPr>
        <w:pStyle w:val="RSCF02FootnotestoTitleAuthors"/>
        <w:spacing w:line="200" w:lineRule="exact"/>
        <w:rPr>
          <w:sz w:val="18"/>
          <w:szCs w:val="18"/>
        </w:rPr>
      </w:pPr>
      <w:r w:rsidRPr="002D3A02">
        <w:rPr>
          <w:sz w:val="18"/>
          <w:szCs w:val="18"/>
        </w:rPr>
        <w:t>52.</w:t>
      </w:r>
      <w:r w:rsidRPr="002D3A02">
        <w:rPr>
          <w:sz w:val="18"/>
          <w:szCs w:val="18"/>
        </w:rPr>
        <w:tab/>
        <w:t>D. Burg and G. J. Mulder, Glutathione conjugates and their synthetic derivatives as inhibitors of glutathione-dependent enzymes involved in cancer and drug resistance, Drug metabolism reviews, 2002, 34, 821-863.</w:t>
      </w:r>
    </w:p>
    <w:p w:rsidR="002D3A02" w:rsidRPr="002D3A02" w:rsidRDefault="002D3A02" w:rsidP="002D3A02">
      <w:pPr>
        <w:pStyle w:val="RSCF02FootnotestoTitleAuthors"/>
        <w:spacing w:line="200" w:lineRule="exact"/>
        <w:rPr>
          <w:sz w:val="18"/>
          <w:szCs w:val="18"/>
        </w:rPr>
      </w:pPr>
      <w:r w:rsidRPr="002D3A02">
        <w:rPr>
          <w:sz w:val="18"/>
          <w:szCs w:val="18"/>
        </w:rPr>
        <w:t>53.</w:t>
      </w:r>
      <w:r w:rsidRPr="002D3A02">
        <w:rPr>
          <w:sz w:val="18"/>
          <w:szCs w:val="18"/>
        </w:rPr>
        <w:tab/>
        <w:t xml:space="preserve">S. </w:t>
      </w:r>
      <w:proofErr w:type="spellStart"/>
      <w:r w:rsidRPr="002D3A02">
        <w:rPr>
          <w:sz w:val="18"/>
          <w:szCs w:val="18"/>
        </w:rPr>
        <w:t>Budhiraja</w:t>
      </w:r>
      <w:proofErr w:type="spellEnd"/>
      <w:r w:rsidRPr="002D3A02">
        <w:rPr>
          <w:sz w:val="18"/>
          <w:szCs w:val="18"/>
        </w:rPr>
        <w:t xml:space="preserve"> and A. </w:t>
      </w:r>
      <w:proofErr w:type="spellStart"/>
      <w:r w:rsidRPr="002D3A02">
        <w:rPr>
          <w:sz w:val="18"/>
          <w:szCs w:val="18"/>
        </w:rPr>
        <w:t>Chugh</w:t>
      </w:r>
      <w:proofErr w:type="spellEnd"/>
      <w:r w:rsidRPr="002D3A02">
        <w:rPr>
          <w:sz w:val="18"/>
          <w:szCs w:val="18"/>
        </w:rPr>
        <w:t xml:space="preserve">, </w:t>
      </w:r>
      <w:proofErr w:type="spellStart"/>
      <w:r w:rsidRPr="002D3A02">
        <w:rPr>
          <w:sz w:val="18"/>
          <w:szCs w:val="18"/>
        </w:rPr>
        <w:t>Neuromedin</w:t>
      </w:r>
      <w:proofErr w:type="spellEnd"/>
      <w:r w:rsidRPr="002D3A02">
        <w:rPr>
          <w:sz w:val="18"/>
          <w:szCs w:val="18"/>
        </w:rPr>
        <w:t xml:space="preserve"> U: physiology, pharmacology and therapeutic potential, </w:t>
      </w:r>
      <w:proofErr w:type="spellStart"/>
      <w:r w:rsidRPr="002D3A02">
        <w:rPr>
          <w:sz w:val="18"/>
          <w:szCs w:val="18"/>
        </w:rPr>
        <w:t>Fundam</w:t>
      </w:r>
      <w:proofErr w:type="spellEnd"/>
      <w:r w:rsidRPr="002D3A02">
        <w:rPr>
          <w:sz w:val="18"/>
          <w:szCs w:val="18"/>
        </w:rPr>
        <w:t xml:space="preserve"> Clin </w:t>
      </w:r>
      <w:proofErr w:type="spellStart"/>
      <w:r w:rsidRPr="002D3A02">
        <w:rPr>
          <w:sz w:val="18"/>
          <w:szCs w:val="18"/>
        </w:rPr>
        <w:t>Pharmacol</w:t>
      </w:r>
      <w:proofErr w:type="spellEnd"/>
      <w:r w:rsidRPr="002D3A02">
        <w:rPr>
          <w:sz w:val="18"/>
          <w:szCs w:val="18"/>
        </w:rPr>
        <w:t>, 2009, 23, 149-157.</w:t>
      </w:r>
    </w:p>
    <w:p w:rsidR="002D3A02" w:rsidRPr="002D3A02" w:rsidRDefault="002D3A02" w:rsidP="002D3A02">
      <w:pPr>
        <w:pStyle w:val="RSCF02FootnotestoTitleAuthors"/>
        <w:spacing w:line="200" w:lineRule="exact"/>
        <w:rPr>
          <w:sz w:val="18"/>
          <w:szCs w:val="18"/>
        </w:rPr>
      </w:pPr>
      <w:r w:rsidRPr="002D3A02">
        <w:rPr>
          <w:sz w:val="18"/>
          <w:szCs w:val="18"/>
        </w:rPr>
        <w:t>54.</w:t>
      </w:r>
      <w:r w:rsidRPr="002D3A02">
        <w:rPr>
          <w:sz w:val="18"/>
          <w:szCs w:val="18"/>
        </w:rPr>
        <w:tab/>
        <w:t xml:space="preserve">W. Zhang, H. Sakoda, A. Miura, K. Shimizu, K. Mori, M. Miyazato, K. Takayama, Y. Hayashi and M. </w:t>
      </w:r>
      <w:proofErr w:type="spellStart"/>
      <w:r w:rsidRPr="002D3A02">
        <w:rPr>
          <w:sz w:val="18"/>
          <w:szCs w:val="18"/>
        </w:rPr>
        <w:t>Nakazato</w:t>
      </w:r>
      <w:proofErr w:type="spellEnd"/>
      <w:r w:rsidRPr="002D3A02">
        <w:rPr>
          <w:sz w:val="18"/>
          <w:szCs w:val="18"/>
        </w:rPr>
        <w:t xml:space="preserve">, </w:t>
      </w:r>
      <w:proofErr w:type="spellStart"/>
      <w:r w:rsidRPr="002D3A02">
        <w:rPr>
          <w:sz w:val="18"/>
          <w:szCs w:val="18"/>
        </w:rPr>
        <w:t>Neuromedin</w:t>
      </w:r>
      <w:proofErr w:type="spellEnd"/>
      <w:r w:rsidRPr="002D3A02">
        <w:rPr>
          <w:sz w:val="18"/>
          <w:szCs w:val="18"/>
        </w:rPr>
        <w:t xml:space="preserve"> U suppresses glucose-stimulated insulin secretion in pancreatic β cells, Biochemical and biophysical research communications, 2017, 493, 677-683.</w:t>
      </w:r>
    </w:p>
    <w:p w:rsidR="002D3A02" w:rsidRPr="002D3A02" w:rsidRDefault="002D3A02" w:rsidP="002D3A02">
      <w:pPr>
        <w:pStyle w:val="RSCF02FootnotestoTitleAuthors"/>
        <w:spacing w:line="200" w:lineRule="exact"/>
        <w:rPr>
          <w:sz w:val="18"/>
          <w:szCs w:val="18"/>
        </w:rPr>
      </w:pPr>
      <w:r w:rsidRPr="002D3A02">
        <w:rPr>
          <w:sz w:val="18"/>
          <w:szCs w:val="18"/>
        </w:rPr>
        <w:t>55.</w:t>
      </w:r>
      <w:r w:rsidRPr="002D3A02">
        <w:rPr>
          <w:sz w:val="18"/>
          <w:szCs w:val="18"/>
        </w:rPr>
        <w:tab/>
        <w:t xml:space="preserve">G. </w:t>
      </w:r>
      <w:proofErr w:type="spellStart"/>
      <w:r w:rsidRPr="002D3A02">
        <w:rPr>
          <w:sz w:val="18"/>
          <w:szCs w:val="18"/>
        </w:rPr>
        <w:t>Su</w:t>
      </w:r>
      <w:proofErr w:type="spellEnd"/>
      <w:r w:rsidRPr="002D3A02">
        <w:rPr>
          <w:sz w:val="18"/>
          <w:szCs w:val="18"/>
        </w:rPr>
        <w:t xml:space="preserve">, K. Liu, Y. Wang, J. Wang, X. Li, W. Li, Y. Liao and Z. Wang, Fibrinogen-like protein 2 expression correlates with </w:t>
      </w:r>
      <w:proofErr w:type="spellStart"/>
      <w:r w:rsidRPr="002D3A02">
        <w:rPr>
          <w:sz w:val="18"/>
          <w:szCs w:val="18"/>
        </w:rPr>
        <w:t>microthrombosis</w:t>
      </w:r>
      <w:proofErr w:type="spellEnd"/>
      <w:r w:rsidRPr="002D3A02">
        <w:rPr>
          <w:sz w:val="18"/>
          <w:szCs w:val="18"/>
        </w:rPr>
        <w:t xml:space="preserve"> in rats with type 2 diabetic nephropathy, J Biomed Res, 2011, 25, 120-127.</w:t>
      </w:r>
    </w:p>
    <w:p w:rsidR="002D3A02" w:rsidRPr="002D3A02" w:rsidRDefault="002D3A02" w:rsidP="002D3A02">
      <w:pPr>
        <w:pStyle w:val="RSCF02FootnotestoTitleAuthors"/>
        <w:spacing w:line="200" w:lineRule="exact"/>
        <w:rPr>
          <w:sz w:val="18"/>
          <w:szCs w:val="18"/>
        </w:rPr>
      </w:pPr>
      <w:r w:rsidRPr="002D3A02">
        <w:rPr>
          <w:sz w:val="18"/>
          <w:szCs w:val="18"/>
        </w:rPr>
        <w:t>56.</w:t>
      </w:r>
      <w:r w:rsidRPr="002D3A02">
        <w:rPr>
          <w:sz w:val="18"/>
          <w:szCs w:val="18"/>
        </w:rPr>
        <w:tab/>
        <w:t xml:space="preserve">M. </w:t>
      </w:r>
      <w:proofErr w:type="spellStart"/>
      <w:r w:rsidRPr="002D3A02">
        <w:rPr>
          <w:sz w:val="18"/>
          <w:szCs w:val="18"/>
        </w:rPr>
        <w:t>Kashiba</w:t>
      </w:r>
      <w:proofErr w:type="spellEnd"/>
      <w:r w:rsidRPr="002D3A02">
        <w:rPr>
          <w:sz w:val="18"/>
          <w:szCs w:val="18"/>
        </w:rPr>
        <w:t xml:space="preserve">, J. Oka, R. Ichikawa, E. Kasahara, T. </w:t>
      </w:r>
      <w:proofErr w:type="spellStart"/>
      <w:r w:rsidRPr="002D3A02">
        <w:rPr>
          <w:sz w:val="18"/>
          <w:szCs w:val="18"/>
        </w:rPr>
        <w:t>Inayama</w:t>
      </w:r>
      <w:proofErr w:type="spellEnd"/>
      <w:r w:rsidRPr="002D3A02">
        <w:rPr>
          <w:sz w:val="18"/>
          <w:szCs w:val="18"/>
        </w:rPr>
        <w:t xml:space="preserve">, A. </w:t>
      </w:r>
      <w:proofErr w:type="spellStart"/>
      <w:r w:rsidRPr="002D3A02">
        <w:rPr>
          <w:sz w:val="18"/>
          <w:szCs w:val="18"/>
        </w:rPr>
        <w:t>Kageyama</w:t>
      </w:r>
      <w:proofErr w:type="spellEnd"/>
      <w:r w:rsidRPr="002D3A02">
        <w:rPr>
          <w:sz w:val="18"/>
          <w:szCs w:val="18"/>
        </w:rPr>
        <w:t xml:space="preserve">, H. </w:t>
      </w:r>
      <w:proofErr w:type="spellStart"/>
      <w:r w:rsidRPr="002D3A02">
        <w:rPr>
          <w:sz w:val="18"/>
          <w:szCs w:val="18"/>
        </w:rPr>
        <w:t>Kageyama</w:t>
      </w:r>
      <w:proofErr w:type="spellEnd"/>
      <w:r w:rsidRPr="002D3A02">
        <w:rPr>
          <w:sz w:val="18"/>
          <w:szCs w:val="18"/>
        </w:rPr>
        <w:t xml:space="preserve">, T. Osaka, K. </w:t>
      </w:r>
      <w:proofErr w:type="spellStart"/>
      <w:r w:rsidRPr="002D3A02">
        <w:rPr>
          <w:sz w:val="18"/>
          <w:szCs w:val="18"/>
        </w:rPr>
        <w:t>Umegaki</w:t>
      </w:r>
      <w:proofErr w:type="spellEnd"/>
      <w:r w:rsidRPr="002D3A02">
        <w:rPr>
          <w:sz w:val="18"/>
          <w:szCs w:val="18"/>
        </w:rPr>
        <w:t xml:space="preserve">, A. Matsumoto, T. Ishikawa, M. </w:t>
      </w:r>
      <w:proofErr w:type="spellStart"/>
      <w:r w:rsidRPr="002D3A02">
        <w:rPr>
          <w:sz w:val="18"/>
          <w:szCs w:val="18"/>
        </w:rPr>
        <w:t>Nishikimi</w:t>
      </w:r>
      <w:proofErr w:type="spellEnd"/>
      <w:r w:rsidRPr="002D3A02">
        <w:rPr>
          <w:sz w:val="18"/>
          <w:szCs w:val="18"/>
        </w:rPr>
        <w:t xml:space="preserve">, M. Inoue and S. Inoue, Impaired ascorbic acid metabolism in streptozotocin-induced diabetic rats, Free </w:t>
      </w:r>
      <w:proofErr w:type="spellStart"/>
      <w:r w:rsidRPr="002D3A02">
        <w:rPr>
          <w:sz w:val="18"/>
          <w:szCs w:val="18"/>
        </w:rPr>
        <w:t>Radic</w:t>
      </w:r>
      <w:proofErr w:type="spellEnd"/>
      <w:r w:rsidRPr="002D3A02">
        <w:rPr>
          <w:sz w:val="18"/>
          <w:szCs w:val="18"/>
        </w:rPr>
        <w:t xml:space="preserve"> </w:t>
      </w:r>
      <w:proofErr w:type="spellStart"/>
      <w:r w:rsidRPr="002D3A02">
        <w:rPr>
          <w:sz w:val="18"/>
          <w:szCs w:val="18"/>
        </w:rPr>
        <w:t>Biol</w:t>
      </w:r>
      <w:proofErr w:type="spellEnd"/>
      <w:r w:rsidRPr="002D3A02">
        <w:rPr>
          <w:sz w:val="18"/>
          <w:szCs w:val="18"/>
        </w:rPr>
        <w:t xml:space="preserve"> Med, 2002, 33, 1221-1230.</w:t>
      </w:r>
    </w:p>
    <w:p w:rsidR="002D3A02" w:rsidRPr="002D3A02" w:rsidRDefault="002D3A02" w:rsidP="002D3A02">
      <w:pPr>
        <w:pStyle w:val="RSCF02FootnotestoTitleAuthors"/>
        <w:spacing w:line="200" w:lineRule="exact"/>
        <w:rPr>
          <w:sz w:val="18"/>
          <w:szCs w:val="18"/>
        </w:rPr>
      </w:pPr>
      <w:r w:rsidRPr="002D3A02">
        <w:rPr>
          <w:sz w:val="18"/>
          <w:szCs w:val="18"/>
        </w:rPr>
        <w:t>57.</w:t>
      </w:r>
      <w:r w:rsidRPr="002D3A02">
        <w:rPr>
          <w:sz w:val="18"/>
          <w:szCs w:val="18"/>
        </w:rPr>
        <w:tab/>
        <w:t xml:space="preserve">T. Sato, T. Kobayashi, A. </w:t>
      </w:r>
      <w:proofErr w:type="spellStart"/>
      <w:r w:rsidRPr="002D3A02">
        <w:rPr>
          <w:sz w:val="18"/>
          <w:szCs w:val="18"/>
        </w:rPr>
        <w:t>Kuno</w:t>
      </w:r>
      <w:proofErr w:type="spellEnd"/>
      <w:r w:rsidRPr="002D3A02">
        <w:rPr>
          <w:sz w:val="18"/>
          <w:szCs w:val="18"/>
        </w:rPr>
        <w:t xml:space="preserve">, T. Miki, M. </w:t>
      </w:r>
      <w:proofErr w:type="spellStart"/>
      <w:r w:rsidRPr="002D3A02">
        <w:rPr>
          <w:sz w:val="18"/>
          <w:szCs w:val="18"/>
        </w:rPr>
        <w:t>Tanno</w:t>
      </w:r>
      <w:proofErr w:type="spellEnd"/>
      <w:r w:rsidRPr="002D3A02">
        <w:rPr>
          <w:sz w:val="18"/>
          <w:szCs w:val="18"/>
        </w:rPr>
        <w:t xml:space="preserve">, H. </w:t>
      </w:r>
      <w:proofErr w:type="spellStart"/>
      <w:r w:rsidRPr="002D3A02">
        <w:rPr>
          <w:sz w:val="18"/>
          <w:szCs w:val="18"/>
        </w:rPr>
        <w:t>Kouzu</w:t>
      </w:r>
      <w:proofErr w:type="spellEnd"/>
      <w:r w:rsidRPr="002D3A02">
        <w:rPr>
          <w:sz w:val="18"/>
          <w:szCs w:val="18"/>
        </w:rPr>
        <w:t xml:space="preserve">, T. Itoh, S. Ishikawa, T. Kojima, T. Miura and N. </w:t>
      </w:r>
      <w:proofErr w:type="spellStart"/>
      <w:r w:rsidRPr="002D3A02">
        <w:rPr>
          <w:sz w:val="18"/>
          <w:szCs w:val="18"/>
        </w:rPr>
        <w:t>Tohse</w:t>
      </w:r>
      <w:proofErr w:type="spellEnd"/>
      <w:r w:rsidRPr="002D3A02">
        <w:rPr>
          <w:sz w:val="18"/>
          <w:szCs w:val="18"/>
        </w:rPr>
        <w:t xml:space="preserve">, Type 2 diabetes induces </w:t>
      </w:r>
      <w:proofErr w:type="spellStart"/>
      <w:r w:rsidRPr="002D3A02">
        <w:rPr>
          <w:sz w:val="18"/>
          <w:szCs w:val="18"/>
        </w:rPr>
        <w:t>subendocardium</w:t>
      </w:r>
      <w:proofErr w:type="spellEnd"/>
      <w:r w:rsidRPr="002D3A02">
        <w:rPr>
          <w:sz w:val="18"/>
          <w:szCs w:val="18"/>
        </w:rPr>
        <w:t>-predominant reduction in transient outward K+ current with downregulation of Kv4.2 and KChIP2, American journal of physiology. Heart and circulatory physiology, 2014, 306, H1054-1065.</w:t>
      </w:r>
    </w:p>
    <w:p w:rsidR="00F157DD" w:rsidRPr="00241ACD" w:rsidRDefault="00F157DD" w:rsidP="002D3A02">
      <w:pPr>
        <w:pStyle w:val="RSCF02FootnotestoTitleAuthors"/>
        <w:spacing w:line="200" w:lineRule="exact"/>
      </w:pPr>
    </w:p>
    <w:sectPr w:rsidR="00F157DD" w:rsidRPr="00241ACD" w:rsidSect="00C97186">
      <w:headerReference w:type="even" r:id="rId8"/>
      <w:headerReference w:type="default" r:id="rId9"/>
      <w:footerReference w:type="even" r:id="rId10"/>
      <w:footerReference w:type="default" r:id="rId11"/>
      <w:headerReference w:type="first" r:id="rId12"/>
      <w:footerReference w:type="first" r:id="rId13"/>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7711" w:rsidRDefault="00377711" w:rsidP="00E547DB">
      <w:pPr>
        <w:spacing w:after="0" w:line="240" w:lineRule="auto"/>
      </w:pPr>
      <w:r>
        <w:separator/>
      </w:r>
    </w:p>
    <w:p w:rsidR="00377711" w:rsidRDefault="00377711"/>
    <w:p w:rsidR="00377711" w:rsidRDefault="00377711"/>
    <w:p w:rsidR="00377711" w:rsidRDefault="00377711"/>
    <w:p w:rsidR="00377711" w:rsidRDefault="00377711"/>
    <w:p w:rsidR="00377711" w:rsidRDefault="00377711"/>
  </w:endnote>
  <w:endnote w:type="continuationSeparator" w:id="0">
    <w:p w:rsidR="00377711" w:rsidRDefault="00377711" w:rsidP="00E547DB">
      <w:pPr>
        <w:spacing w:after="0" w:line="240" w:lineRule="auto"/>
      </w:pPr>
      <w:r>
        <w:continuationSeparator/>
      </w:r>
    </w:p>
    <w:p w:rsidR="00377711" w:rsidRDefault="00377711"/>
    <w:p w:rsidR="00377711" w:rsidRDefault="00377711"/>
    <w:p w:rsidR="00377711" w:rsidRDefault="00377711"/>
    <w:p w:rsidR="00377711" w:rsidRDefault="00377711"/>
    <w:p w:rsidR="00377711" w:rsidRDefault="003777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CB17904-D113-4E6B-A5B3-9591CED00C7E}"/>
    <w:embedBold r:id="rId2" w:fontKey="{4DC8848C-0D93-4DCE-838C-CAD85D4DFF3F}"/>
    <w:embedItalic r:id="rId3" w:fontKey="{BB2E8747-0309-4BB3-8E99-5F6E00DC5284}"/>
  </w:font>
  <w:font w:name="Tahoma">
    <w:panose1 w:val="020B0604030504040204"/>
    <w:charset w:val="00"/>
    <w:family w:val="swiss"/>
    <w:pitch w:val="variable"/>
    <w:sig w:usb0="E1002EFF" w:usb1="C000605B" w:usb2="00000029" w:usb3="00000000" w:csb0="000101FF" w:csb1="00000000"/>
    <w:embedRegular r:id="rId4" w:fontKey="{D367E304-A7B5-4C42-861D-0CC3EB266754}"/>
  </w:font>
  <w:font w:name="MS Gothic">
    <w:altName w:val="ＭＳ ゴシック"/>
    <w:panose1 w:val="020B0609070205080204"/>
    <w:charset w:val="80"/>
    <w:family w:val="modern"/>
    <w:pitch w:val="fixed"/>
    <w:sig w:usb0="E00002FF" w:usb1="6AC7FDFB" w:usb2="00000012" w:usb3="00000000" w:csb0="0002009F" w:csb1="00000000"/>
    <w:embedBold r:id="rId5" w:subsetted="1" w:fontKey="{7DA8E141-7293-4850-B9D1-72F78F548356}"/>
  </w:font>
  <w:font w:name="Cambria">
    <w:panose1 w:val="02040503050406030204"/>
    <w:charset w:val="00"/>
    <w:family w:val="roman"/>
    <w:pitch w:val="variable"/>
    <w:sig w:usb0="E00002FF" w:usb1="400004FF" w:usb2="00000000" w:usb3="00000000" w:csb0="0000019F" w:csb1="00000000"/>
    <w:embedRegular r:id="rId6" w:fontKey="{F5814124-CB8D-474C-BFD9-D44E0C5EB5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0DCE" w:rsidRPr="006602F1" w:rsidRDefault="00E70DCE"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A05364">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5A3A71">
      <w:rPr>
        <w:i/>
        <w:noProof/>
        <w:spacing w:val="10"/>
        <w:sz w:val="16"/>
        <w:szCs w:val="16"/>
      </w:rPr>
      <w:t>Food &amp; Function</w:t>
    </w:r>
    <w:r w:rsidRPr="006602F1">
      <w:rPr>
        <w:noProof/>
        <w:spacing w:val="10"/>
        <w:sz w:val="16"/>
        <w:szCs w:val="16"/>
      </w:rPr>
      <w:t xml:space="preserve"> 201</w:t>
    </w:r>
    <w:r w:rsidR="005A3A71">
      <w:rPr>
        <w:noProof/>
        <w:spacing w:val="10"/>
        <w:sz w:val="16"/>
        <w:szCs w:val="16"/>
      </w:rPr>
      <w:t>9</w:t>
    </w:r>
    <w:r w:rsidRPr="006602F1">
      <w:rPr>
        <w:noProof/>
        <w:spacing w:val="10"/>
        <w:sz w:val="16"/>
        <w:szCs w:val="16"/>
      </w:rPr>
      <w:t xml:space="preserve">,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5A3A71">
      <w:rPr>
        <w:noProof/>
        <w:spacing w:val="2"/>
        <w:sz w:val="16"/>
        <w:szCs w:val="16"/>
      </w:rPr>
      <w:t>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77C8" w:rsidRPr="006602F1" w:rsidRDefault="00180ABE" w:rsidP="00D45ADF">
    <w:pPr>
      <w:pStyle w:val="Footer"/>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F157DD">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0DCE" w:rsidRPr="006602F1" w:rsidRDefault="00514CBA" w:rsidP="00D45ADF">
    <w:pPr>
      <w:pStyle w:val="Footer"/>
      <w:tabs>
        <w:tab w:val="clear" w:pos="4513"/>
        <w:tab w:val="clear" w:pos="9026"/>
        <w:tab w:val="right" w:pos="10206"/>
      </w:tabs>
      <w:spacing w:before="480"/>
      <w:rPr>
        <w:sz w:val="16"/>
        <w:szCs w:val="16"/>
      </w:rPr>
    </w:pPr>
    <w:r>
      <w:rPr>
        <w:noProof/>
        <w:lang w:eastAsia="en-GB"/>
      </w:rPr>
      <mc:AlternateContent>
        <mc:Choice Requires="wps">
          <w:drawing>
            <wp:anchor distT="0" distB="0" distL="114300" distR="114300" simplePos="0" relativeHeight="251664384" behindDoc="0" locked="0" layoutInCell="1" allowOverlap="1" wp14:anchorId="797DAFAE" wp14:editId="65C98D16">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97DAFAE" id="_x0000_t202" coordsize="21600,21600" o:spt="202" path="m,l,21600r21600,l21600,xe">
              <v:stroke joinstyle="miter"/>
              <v:path gradientshapeok="t" o:connecttype="rect"/>
            </v:shapetype>
            <v:shape id="_x0000_s1032"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7UbuWD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p>
                </w:txbxContent>
              </v:textbox>
              <w10:wrap anchory="page"/>
            </v:shape>
          </w:pict>
        </mc:Fallback>
      </mc:AlternateContent>
    </w:r>
    <w:r w:rsidR="00E70DCE" w:rsidRPr="006602F1">
      <w:rPr>
        <w:i/>
        <w:noProof/>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7711" w:rsidRDefault="00377711" w:rsidP="00E547DB">
      <w:pPr>
        <w:spacing w:after="0" w:line="240" w:lineRule="auto"/>
      </w:pPr>
      <w:r>
        <w:separator/>
      </w:r>
    </w:p>
    <w:p w:rsidR="00377711" w:rsidRDefault="00377711"/>
    <w:p w:rsidR="00377711" w:rsidRDefault="00377711"/>
    <w:p w:rsidR="00377711" w:rsidRDefault="00377711"/>
    <w:p w:rsidR="00377711" w:rsidRDefault="00377711"/>
    <w:p w:rsidR="00377711" w:rsidRDefault="00377711"/>
  </w:footnote>
  <w:footnote w:type="continuationSeparator" w:id="0">
    <w:p w:rsidR="00377711" w:rsidRDefault="00377711" w:rsidP="00E547DB">
      <w:pPr>
        <w:spacing w:after="0" w:line="240" w:lineRule="auto"/>
      </w:pPr>
      <w:r>
        <w:continuationSeparator/>
      </w:r>
    </w:p>
    <w:p w:rsidR="00377711" w:rsidRDefault="00377711"/>
    <w:p w:rsidR="00377711" w:rsidRDefault="00377711"/>
    <w:p w:rsidR="00377711" w:rsidRDefault="00377711"/>
    <w:p w:rsidR="00377711" w:rsidRDefault="00377711"/>
    <w:p w:rsidR="00377711" w:rsidRDefault="003777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16A6" w:rsidRPr="00E70DCE" w:rsidRDefault="00514CBA" w:rsidP="00D45ADF">
    <w:pPr>
      <w:pStyle w:val="Header"/>
      <w:tabs>
        <w:tab w:val="clear" w:pos="4513"/>
        <w:tab w:val="clear" w:pos="9026"/>
        <w:tab w:val="right" w:pos="10206"/>
      </w:tabs>
      <w:spacing w:after="240"/>
      <w:rPr>
        <w:rFonts w:cstheme="minorHAnsi"/>
        <w:color w:val="999999"/>
        <w:sz w:val="20"/>
        <w:szCs w:val="20"/>
      </w:rPr>
    </w:pPr>
    <w:r>
      <w:rPr>
        <w:noProof/>
        <w:lang w:eastAsia="en-GB"/>
      </w:rPr>
      <mc:AlternateContent>
        <mc:Choice Requires="wps">
          <w:drawing>
            <wp:anchor distT="0" distB="0" distL="114300" distR="114300" simplePos="0" relativeHeight="251668480" behindDoc="0" locked="0" layoutInCell="1" allowOverlap="1" wp14:anchorId="5947067A" wp14:editId="14D06B36">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947067A" id="_x0000_t202" coordsize="21600,21600" o:spt="202" path="m,l,21600r21600,l21600,xe">
              <v:stroke joinstyle="miter"/>
              <v:path gradientshapeok="t" o:connecttype="rect"/>
            </v:shapetype>
            <v:shape id="_x0000_s1027"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" fillcolor="#a5a5a5 [2092]" stroked="f">
              <v:textbox>
                <w:txbxContent>
                  <w:p w:rsidR="00514CBA" w:rsidRPr="00F20A7C" w:rsidRDefault="00514CBA" w:rsidP="00514CBA">
                    <w:pPr>
                      <w:spacing w:after="0"/>
                      <w:jc w:val="center"/>
                      <w:rPr>
                        <w:color w:val="FFFFFF" w:themeColor="background1"/>
                      </w:rPr>
                    </w:pPr>
                  </w:p>
                </w:txbxContent>
              </v:textbox>
              <w10:wrap anchory="page"/>
            </v:shape>
          </w:pict>
        </mc:Fallback>
      </mc:AlternateContent>
    </w:r>
    <w:r>
      <w:rPr>
        <w:noProof/>
        <w:lang w:eastAsia="en-GB"/>
      </w:rPr>
      <mc:AlternateContent>
        <mc:Choice Requires="wps">
          <w:drawing>
            <wp:anchor distT="0" distB="0" distL="114300" distR="114300" simplePos="0" relativeHeight="251666432" behindDoc="0" locked="0" layoutInCell="1" allowOverlap="1" wp14:anchorId="1AADB7E2" wp14:editId="15741499">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ADB7E2" id="_x0000_s1028"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YiQ2qj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p>
                </w:txbxContent>
              </v:textbox>
              <w10:wrap anchory="page"/>
            </v:shape>
          </w:pict>
        </mc:Fallback>
      </mc:AlternateContent>
    </w:r>
    <w:r w:rsidR="00F157DD">
      <w:rPr>
        <w:rFonts w:cstheme="minorHAnsi"/>
        <w:b/>
        <w:color w:val="999999"/>
        <w:sz w:val="20"/>
        <w:szCs w:val="20"/>
      </w:rPr>
      <w:t>ARTICLE</w:t>
    </w:r>
    <w:r w:rsidR="0052630A" w:rsidRPr="00E70DCE">
      <w:rPr>
        <w:rFonts w:cstheme="minorHAnsi"/>
        <w:color w:val="999999"/>
        <w:sz w:val="20"/>
        <w:szCs w:val="20"/>
      </w:rPr>
      <w:tab/>
    </w:r>
    <w:r w:rsidR="00672928">
      <w:rPr>
        <w:rFonts w:cstheme="minorHAnsi"/>
        <w:b/>
        <w:color w:val="999999"/>
        <w:sz w:val="20"/>
        <w:szCs w:val="20"/>
      </w:rPr>
      <w:t>Journal 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16A6" w:rsidRPr="009316A6" w:rsidRDefault="00514CBA" w:rsidP="00D45ADF">
    <w:pPr>
      <w:pStyle w:val="Header"/>
      <w:tabs>
        <w:tab w:val="clear" w:pos="4513"/>
        <w:tab w:val="clear" w:pos="9026"/>
        <w:tab w:val="right" w:pos="10206"/>
      </w:tabs>
      <w:spacing w:after="240"/>
      <w:rPr>
        <w:rFonts w:cstheme="minorHAnsi"/>
        <w:b/>
        <w:color w:val="999999"/>
        <w:sz w:val="20"/>
        <w:szCs w:val="20"/>
      </w:rPr>
    </w:pPr>
    <w:r>
      <w:rPr>
        <w:noProof/>
        <w:lang w:eastAsia="en-GB"/>
      </w:rPr>
      <mc:AlternateContent>
        <mc:Choice Requires="wps">
          <w:drawing>
            <wp:anchor distT="0" distB="0" distL="114300" distR="114300" simplePos="0" relativeHeight="251672576" behindDoc="0" locked="0" layoutInCell="1" allowOverlap="1" wp14:anchorId="2146ED9A" wp14:editId="3915F361">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146ED9A" id="_x0000_t202" coordsize="21600,21600" o:spt="202" path="m,l,21600r21600,l21600,xe">
              <v:stroke joinstyle="miter"/>
              <v:path gradientshapeok="t" o:connecttype="rect"/>
            </v:shapetype>
            <v:shape id="_x0000_s1029"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NnScb4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p>
                </w:txbxContent>
              </v:textbox>
              <w10:wrap anchory="page"/>
            </v:shape>
          </w:pict>
        </mc:Fallback>
      </mc:AlternateContent>
    </w:r>
    <w:r w:rsidR="005A3A71">
      <w:rPr>
        <w:rFonts w:cstheme="minorHAnsi"/>
        <w:b/>
        <w:color w:val="999999"/>
        <w:sz w:val="20"/>
        <w:szCs w:val="20"/>
      </w:rPr>
      <w:t>Foo</w:t>
    </w:r>
    <w:r>
      <w:rPr>
        <w:noProof/>
        <w:lang w:eastAsia="en-GB"/>
      </w:rPr>
      <mc:AlternateContent>
        <mc:Choice Requires="wps">
          <w:drawing>
            <wp:anchor distT="0" distB="0" distL="114300" distR="114300" simplePos="0" relativeHeight="251670528" behindDoc="0" locked="0" layoutInCell="1" allowOverlap="1" wp14:anchorId="1A26A030" wp14:editId="56DC2402">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26A030" id="_x0000_s1030"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" fillcolor="#a5a5a5 [2092]" stroked="f">
              <v:textbox>
                <w:txbxContent>
                  <w:p w:rsidR="00514CBA" w:rsidRPr="00F20A7C" w:rsidRDefault="00514CBA" w:rsidP="00514CBA">
                    <w:pPr>
                      <w:spacing w:after="0"/>
                      <w:jc w:val="center"/>
                      <w:rPr>
                        <w:color w:val="FFFFFF" w:themeColor="background1"/>
                      </w:rPr>
                    </w:pPr>
                  </w:p>
                </w:txbxContent>
              </v:textbox>
              <w10:wrap anchory="page"/>
            </v:shape>
          </w:pict>
        </mc:Fallback>
      </mc:AlternateContent>
    </w:r>
    <w:r w:rsidR="005A3A71">
      <w:rPr>
        <w:rFonts w:cstheme="minorHAnsi"/>
        <w:b/>
        <w:color w:val="999999"/>
        <w:sz w:val="20"/>
        <w:szCs w:val="20"/>
      </w:rPr>
      <w:t>d &amp; Function</w: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F157DD">
      <w:rPr>
        <w:rFonts w:cstheme="minorHAnsi"/>
        <w:b/>
        <w:color w:val="999999"/>
        <w:sz w:val="20"/>
        <w:szCs w:val="20"/>
      </w:rPr>
      <w:t>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ABE" w:rsidRDefault="00514CBA" w:rsidP="00180ABE">
    <w:pPr>
      <w:pStyle w:val="Header"/>
      <w:shd w:val="clear" w:color="auto" w:fill="FFFFFF" w:themeFill="background1"/>
      <w:tabs>
        <w:tab w:val="clear" w:pos="4513"/>
        <w:tab w:val="clear" w:pos="9026"/>
        <w:tab w:val="right" w:pos="10205"/>
      </w:tabs>
      <w:spacing w:after="240"/>
      <w:rPr>
        <w:b/>
        <w:noProof/>
        <w:sz w:val="32"/>
        <w:szCs w:val="32"/>
        <w:lang w:eastAsia="en-GB"/>
      </w:rPr>
    </w:pPr>
    <w:r>
      <w:rPr>
        <w:noProof/>
        <w:lang w:eastAsia="en-GB"/>
      </w:rPr>
      <mc:AlternateContent>
        <mc:Choice Requires="wps">
          <w:drawing>
            <wp:anchor distT="0" distB="0" distL="114300" distR="114300" simplePos="0" relativeHeight="251662336" behindDoc="0" locked="0" layoutInCell="1" allowOverlap="1" wp14:anchorId="565E4102" wp14:editId="78F0D339">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5E4102" id="_x0000_t202" coordsize="21600,21600" o:spt="202" path="m,l,21600r21600,l21600,xe">
              <v:stroke joinstyle="miter"/>
              <v:path gradientshapeok="t" o:connecttype="rect"/>
            </v:shapetype>
            <v:shape id="_x0000_s1031"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K9Zzls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p>
                </w:txbxContent>
              </v:textbox>
              <w10:wrap anchory="page"/>
            </v:shape>
          </w:pict>
        </mc:Fallback>
      </mc:AlternateContent>
    </w:r>
    <w:r w:rsidR="00180ABE">
      <w:rPr>
        <w:b/>
        <w:sz w:val="32"/>
        <w:szCs w:val="32"/>
      </w:rPr>
      <w:tab/>
    </w:r>
  </w:p>
  <w:p w:rsidR="00BA42DD" w:rsidRDefault="00BA42DD" w:rsidP="00180ABE">
    <w:pPr>
      <w:pStyle w:val="Header"/>
      <w:shd w:val="clear" w:color="auto" w:fill="FFFFFF" w:themeFill="background1"/>
      <w:tabs>
        <w:tab w:val="clear" w:pos="4513"/>
        <w:tab w:val="clear" w:pos="9026"/>
        <w:tab w:val="right" w:pos="10205"/>
      </w:tabs>
      <w:spacing w:after="240"/>
      <w:rPr>
        <w:b/>
        <w:sz w:val="32"/>
        <w:szCs w:val="32"/>
      </w:rPr>
    </w:pPr>
  </w:p>
  <w:p w:rsidR="00180ABE" w:rsidRPr="00180ABE" w:rsidRDefault="00B70B18"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Pr>
        <w:rFonts w:cstheme="minorHAnsi"/>
        <w:color w:val="FFFFFF" w:themeColor="background1"/>
        <w:sz w:val="32"/>
        <w:szCs w:val="32"/>
      </w:rPr>
      <w:t>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4064A"/>
    <w:multiLevelType w:val="hybridMultilevel"/>
    <w:tmpl w:val="CFE8A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45245CC"/>
    <w:multiLevelType w:val="hybridMultilevel"/>
    <w:tmpl w:val="6658D52E"/>
    <w:lvl w:ilvl="0" w:tplc="9760E38E">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7"/>
  </w:num>
  <w:num w:numId="5">
    <w:abstractNumId w:val="6"/>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stylePaneSortMethod w:val="0000"/>
  <w:defaultTabStop w:val="284"/>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5A0"/>
    <w:rsid w:val="00005B8A"/>
    <w:rsid w:val="00022D8A"/>
    <w:rsid w:val="00026E6F"/>
    <w:rsid w:val="0003744F"/>
    <w:rsid w:val="000622D1"/>
    <w:rsid w:val="00071E41"/>
    <w:rsid w:val="00073639"/>
    <w:rsid w:val="00084527"/>
    <w:rsid w:val="000A2670"/>
    <w:rsid w:val="000C0A9D"/>
    <w:rsid w:val="000D2FAC"/>
    <w:rsid w:val="000D5891"/>
    <w:rsid w:val="000D6963"/>
    <w:rsid w:val="000E7A32"/>
    <w:rsid w:val="000F0959"/>
    <w:rsid w:val="000F3A41"/>
    <w:rsid w:val="00120227"/>
    <w:rsid w:val="00126027"/>
    <w:rsid w:val="001508E9"/>
    <w:rsid w:val="001633D9"/>
    <w:rsid w:val="00180ABE"/>
    <w:rsid w:val="001923AB"/>
    <w:rsid w:val="001C1EB8"/>
    <w:rsid w:val="001E5265"/>
    <w:rsid w:val="00206A82"/>
    <w:rsid w:val="00214BEC"/>
    <w:rsid w:val="00235A47"/>
    <w:rsid w:val="00237C8A"/>
    <w:rsid w:val="0024022C"/>
    <w:rsid w:val="00241ACD"/>
    <w:rsid w:val="00253551"/>
    <w:rsid w:val="00270DD5"/>
    <w:rsid w:val="00271235"/>
    <w:rsid w:val="00272D6F"/>
    <w:rsid w:val="00274635"/>
    <w:rsid w:val="002753DE"/>
    <w:rsid w:val="002843F3"/>
    <w:rsid w:val="002A5421"/>
    <w:rsid w:val="002C0803"/>
    <w:rsid w:val="002C251C"/>
    <w:rsid w:val="002C3D7C"/>
    <w:rsid w:val="002D3A02"/>
    <w:rsid w:val="002E5B1D"/>
    <w:rsid w:val="002F52C3"/>
    <w:rsid w:val="00310A72"/>
    <w:rsid w:val="00312BEF"/>
    <w:rsid w:val="00317C74"/>
    <w:rsid w:val="00352029"/>
    <w:rsid w:val="00352AA4"/>
    <w:rsid w:val="00354579"/>
    <w:rsid w:val="00356F00"/>
    <w:rsid w:val="003725EE"/>
    <w:rsid w:val="00377481"/>
    <w:rsid w:val="00377711"/>
    <w:rsid w:val="00381FCD"/>
    <w:rsid w:val="00385965"/>
    <w:rsid w:val="003A7E95"/>
    <w:rsid w:val="003B739C"/>
    <w:rsid w:val="003C6313"/>
    <w:rsid w:val="003D4ECA"/>
    <w:rsid w:val="003D6715"/>
    <w:rsid w:val="003E55B2"/>
    <w:rsid w:val="0041453A"/>
    <w:rsid w:val="0043180D"/>
    <w:rsid w:val="004414A5"/>
    <w:rsid w:val="0044700B"/>
    <w:rsid w:val="00466FE6"/>
    <w:rsid w:val="00467171"/>
    <w:rsid w:val="00467C80"/>
    <w:rsid w:val="00474052"/>
    <w:rsid w:val="00483B2A"/>
    <w:rsid w:val="004877C8"/>
    <w:rsid w:val="004901D3"/>
    <w:rsid w:val="004B5EA4"/>
    <w:rsid w:val="004B7AD6"/>
    <w:rsid w:val="004C531E"/>
    <w:rsid w:val="004C6C90"/>
    <w:rsid w:val="00500E27"/>
    <w:rsid w:val="005037CD"/>
    <w:rsid w:val="00504795"/>
    <w:rsid w:val="00514CBA"/>
    <w:rsid w:val="0052630A"/>
    <w:rsid w:val="0053177A"/>
    <w:rsid w:val="00533EA1"/>
    <w:rsid w:val="005615DD"/>
    <w:rsid w:val="005771C3"/>
    <w:rsid w:val="00577B54"/>
    <w:rsid w:val="00590F6D"/>
    <w:rsid w:val="005A3A71"/>
    <w:rsid w:val="005A5A6D"/>
    <w:rsid w:val="005A5ED7"/>
    <w:rsid w:val="005C1A41"/>
    <w:rsid w:val="005C4565"/>
    <w:rsid w:val="005E05CD"/>
    <w:rsid w:val="005F7F72"/>
    <w:rsid w:val="00602105"/>
    <w:rsid w:val="00604ED2"/>
    <w:rsid w:val="00611B32"/>
    <w:rsid w:val="0061572F"/>
    <w:rsid w:val="00620C8E"/>
    <w:rsid w:val="0062394A"/>
    <w:rsid w:val="00631441"/>
    <w:rsid w:val="00641030"/>
    <w:rsid w:val="00645D52"/>
    <w:rsid w:val="0065133B"/>
    <w:rsid w:val="006556AC"/>
    <w:rsid w:val="006602F1"/>
    <w:rsid w:val="00670ED4"/>
    <w:rsid w:val="00672928"/>
    <w:rsid w:val="00674A86"/>
    <w:rsid w:val="00677E9A"/>
    <w:rsid w:val="006A69C8"/>
    <w:rsid w:val="006A733E"/>
    <w:rsid w:val="006B2660"/>
    <w:rsid w:val="006B41CE"/>
    <w:rsid w:val="006D6163"/>
    <w:rsid w:val="006E0DB2"/>
    <w:rsid w:val="006E58B1"/>
    <w:rsid w:val="006F01C4"/>
    <w:rsid w:val="006F487B"/>
    <w:rsid w:val="006F4A87"/>
    <w:rsid w:val="006F740B"/>
    <w:rsid w:val="00744A41"/>
    <w:rsid w:val="00752775"/>
    <w:rsid w:val="00780A41"/>
    <w:rsid w:val="00794787"/>
    <w:rsid w:val="007A37D8"/>
    <w:rsid w:val="007C3D03"/>
    <w:rsid w:val="007D1EFA"/>
    <w:rsid w:val="007D5FE4"/>
    <w:rsid w:val="008125A0"/>
    <w:rsid w:val="00841844"/>
    <w:rsid w:val="008560DE"/>
    <w:rsid w:val="008670E9"/>
    <w:rsid w:val="008710F9"/>
    <w:rsid w:val="0088525A"/>
    <w:rsid w:val="008A0D60"/>
    <w:rsid w:val="008C1387"/>
    <w:rsid w:val="008C682F"/>
    <w:rsid w:val="008E509B"/>
    <w:rsid w:val="008F4146"/>
    <w:rsid w:val="008F4811"/>
    <w:rsid w:val="008F525A"/>
    <w:rsid w:val="009026D4"/>
    <w:rsid w:val="009168DA"/>
    <w:rsid w:val="0092763E"/>
    <w:rsid w:val="009316A6"/>
    <w:rsid w:val="00936114"/>
    <w:rsid w:val="009400E9"/>
    <w:rsid w:val="00946830"/>
    <w:rsid w:val="00962779"/>
    <w:rsid w:val="009654EC"/>
    <w:rsid w:val="009918D9"/>
    <w:rsid w:val="009A392D"/>
    <w:rsid w:val="009A4F2A"/>
    <w:rsid w:val="009C1879"/>
    <w:rsid w:val="009D17C3"/>
    <w:rsid w:val="009D47C2"/>
    <w:rsid w:val="009E51F8"/>
    <w:rsid w:val="009F2649"/>
    <w:rsid w:val="00A05364"/>
    <w:rsid w:val="00A074D7"/>
    <w:rsid w:val="00A17D23"/>
    <w:rsid w:val="00A208E1"/>
    <w:rsid w:val="00A521AB"/>
    <w:rsid w:val="00A56CD0"/>
    <w:rsid w:val="00A61D3E"/>
    <w:rsid w:val="00A7643E"/>
    <w:rsid w:val="00A83804"/>
    <w:rsid w:val="00A9649E"/>
    <w:rsid w:val="00AA1341"/>
    <w:rsid w:val="00AA380C"/>
    <w:rsid w:val="00AB16D0"/>
    <w:rsid w:val="00AB2C1B"/>
    <w:rsid w:val="00AC3BF2"/>
    <w:rsid w:val="00AD5483"/>
    <w:rsid w:val="00AF0249"/>
    <w:rsid w:val="00AF150F"/>
    <w:rsid w:val="00AF4737"/>
    <w:rsid w:val="00B0470A"/>
    <w:rsid w:val="00B06775"/>
    <w:rsid w:val="00B2364D"/>
    <w:rsid w:val="00B53582"/>
    <w:rsid w:val="00B6239D"/>
    <w:rsid w:val="00B67630"/>
    <w:rsid w:val="00B70B18"/>
    <w:rsid w:val="00B722DE"/>
    <w:rsid w:val="00B80DDB"/>
    <w:rsid w:val="00B81EE1"/>
    <w:rsid w:val="00B9392D"/>
    <w:rsid w:val="00BA42DD"/>
    <w:rsid w:val="00BA761E"/>
    <w:rsid w:val="00BB3FBE"/>
    <w:rsid w:val="00BC268E"/>
    <w:rsid w:val="00BC603D"/>
    <w:rsid w:val="00C03CE1"/>
    <w:rsid w:val="00C22962"/>
    <w:rsid w:val="00C3016F"/>
    <w:rsid w:val="00C31922"/>
    <w:rsid w:val="00C32EDF"/>
    <w:rsid w:val="00C405FD"/>
    <w:rsid w:val="00C42573"/>
    <w:rsid w:val="00C5024A"/>
    <w:rsid w:val="00C57107"/>
    <w:rsid w:val="00C62C2D"/>
    <w:rsid w:val="00C9227C"/>
    <w:rsid w:val="00C9557D"/>
    <w:rsid w:val="00C97186"/>
    <w:rsid w:val="00CA2740"/>
    <w:rsid w:val="00CC12E6"/>
    <w:rsid w:val="00CC2E25"/>
    <w:rsid w:val="00CC7C64"/>
    <w:rsid w:val="00CD0B47"/>
    <w:rsid w:val="00CD16BB"/>
    <w:rsid w:val="00CF5F1A"/>
    <w:rsid w:val="00D010E8"/>
    <w:rsid w:val="00D02C04"/>
    <w:rsid w:val="00D138E8"/>
    <w:rsid w:val="00D20259"/>
    <w:rsid w:val="00D208BA"/>
    <w:rsid w:val="00D21668"/>
    <w:rsid w:val="00D216BC"/>
    <w:rsid w:val="00D306B8"/>
    <w:rsid w:val="00D42F8F"/>
    <w:rsid w:val="00D45ADF"/>
    <w:rsid w:val="00DA07F1"/>
    <w:rsid w:val="00DC4D92"/>
    <w:rsid w:val="00DD06F4"/>
    <w:rsid w:val="00DD38D2"/>
    <w:rsid w:val="00DD500F"/>
    <w:rsid w:val="00DF53E4"/>
    <w:rsid w:val="00E17D1A"/>
    <w:rsid w:val="00E2136E"/>
    <w:rsid w:val="00E25AF8"/>
    <w:rsid w:val="00E31A6A"/>
    <w:rsid w:val="00E46BDF"/>
    <w:rsid w:val="00E547DB"/>
    <w:rsid w:val="00E555BF"/>
    <w:rsid w:val="00E61949"/>
    <w:rsid w:val="00E70DCE"/>
    <w:rsid w:val="00EA446A"/>
    <w:rsid w:val="00EA7DC1"/>
    <w:rsid w:val="00EB5BA2"/>
    <w:rsid w:val="00EB5C28"/>
    <w:rsid w:val="00EE3AFB"/>
    <w:rsid w:val="00EF0D19"/>
    <w:rsid w:val="00EF1577"/>
    <w:rsid w:val="00EF6BD4"/>
    <w:rsid w:val="00F02A47"/>
    <w:rsid w:val="00F05C18"/>
    <w:rsid w:val="00F157DD"/>
    <w:rsid w:val="00F15F90"/>
    <w:rsid w:val="00F21465"/>
    <w:rsid w:val="00F6065C"/>
    <w:rsid w:val="00F61EB1"/>
    <w:rsid w:val="00F62C8B"/>
    <w:rsid w:val="00F802D4"/>
    <w:rsid w:val="00F91982"/>
    <w:rsid w:val="00F92680"/>
    <w:rsid w:val="00FA2DA2"/>
    <w:rsid w:val="00FA311A"/>
    <w:rsid w:val="00FB16A8"/>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00098"/>
  <w15:docId w15:val="{832BB04B-C88E-45BB-9BE4-22D412A4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C26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RSCH01PaperTitle">
    <w:name w:val="RSC H01 Paper Title"/>
    <w:basedOn w:val="Normal"/>
    <w:next w:val="Normal"/>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Normal"/>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Normal"/>
    <w:link w:val="RSCB01ARTAbstractChar"/>
    <w:qFormat/>
    <w:rsid w:val="00FA2DA2"/>
    <w:pPr>
      <w:spacing w:line="240" w:lineRule="exact"/>
      <w:jc w:val="both"/>
    </w:pPr>
    <w:rPr>
      <w:noProof/>
      <w:sz w:val="16"/>
      <w:lang w:eastAsia="en-GB"/>
    </w:rPr>
  </w:style>
  <w:style w:type="table" w:styleId="TableGrid">
    <w:name w:val="Table Grid"/>
    <w:basedOn w:val="TableNormal"/>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DefaultParagraphFont"/>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Normal"/>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Normal"/>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Normal"/>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Normal"/>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Normal"/>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DefaultParagraphFont"/>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DefaultParagraphFont"/>
    <w:link w:val="RSCF02FootnotestoTitleAuthors"/>
    <w:rsid w:val="006556AC"/>
    <w:rPr>
      <w:rFonts w:cs="Times New Roman"/>
      <w:w w:val="105"/>
      <w:sz w:val="14"/>
      <w:szCs w:val="14"/>
    </w:rPr>
  </w:style>
  <w:style w:type="paragraph" w:styleId="NoSpacing">
    <w:name w:val="No Spacing"/>
    <w:uiPriority w:val="1"/>
    <w:rsid w:val="00272D6F"/>
    <w:pPr>
      <w:spacing w:after="0" w:line="240" w:lineRule="auto"/>
    </w:pPr>
  </w:style>
  <w:style w:type="character" w:customStyle="1" w:styleId="RSCR02ReferencesChar">
    <w:name w:val="RSC R02 References Char"/>
    <w:basedOn w:val="DefaultParagraphFont"/>
    <w:link w:val="RSCR02References"/>
    <w:rsid w:val="00CF5F1A"/>
    <w:rPr>
      <w:rFonts w:cs="Times New Roman"/>
      <w:w w:val="105"/>
      <w:sz w:val="18"/>
      <w:szCs w:val="18"/>
    </w:rPr>
  </w:style>
  <w:style w:type="paragraph" w:customStyle="1" w:styleId="RSCB04AHeadingSection">
    <w:name w:val="RSC B04 A Heading (Section)"/>
    <w:basedOn w:val="Normal"/>
    <w:link w:val="RSCB04AHeadingSectionChar"/>
    <w:qFormat/>
    <w:rsid w:val="00EF6BD4"/>
    <w:pPr>
      <w:spacing w:before="400" w:after="80" w:line="240" w:lineRule="auto"/>
    </w:pPr>
    <w:rPr>
      <w:b/>
      <w:sz w:val="24"/>
    </w:rPr>
  </w:style>
  <w:style w:type="character" w:customStyle="1" w:styleId="RSCH01PaperTitleChar">
    <w:name w:val="RSC H01 Paper Title Char"/>
    <w:basedOn w:val="DefaultParagraphFont"/>
    <w:link w:val="RSCH01PaperTitle"/>
    <w:rsid w:val="00C32EDF"/>
    <w:rPr>
      <w:rFonts w:cs="Times New Roman"/>
      <w:b/>
      <w:sz w:val="29"/>
      <w:szCs w:val="32"/>
    </w:rPr>
  </w:style>
  <w:style w:type="character" w:customStyle="1" w:styleId="RSCH02PaperAuthorsandBylineChar">
    <w:name w:val="RSC H02 Paper Authors and Byline Char"/>
    <w:basedOn w:val="DefaultParagraphFont"/>
    <w:link w:val="RSCH02PaperAuthorsandByline"/>
    <w:rsid w:val="001633D9"/>
    <w:rPr>
      <w:rFonts w:cs="Times New Roman"/>
      <w:sz w:val="20"/>
    </w:rPr>
  </w:style>
  <w:style w:type="character" w:customStyle="1" w:styleId="RSCB01ARTAbstractChar">
    <w:name w:val="RSC B01 ART Abstract Char"/>
    <w:basedOn w:val="DefaultParagraphFont"/>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DefaultParagraphFont"/>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Normal"/>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DefaultParagraphFont"/>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DefaultParagraphFont"/>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DefaultParagraphFont"/>
    <w:link w:val="RSCI03FigureSchemeChartUncaptioned"/>
    <w:rsid w:val="006556AC"/>
    <w:rPr>
      <w:rFonts w:cs="Times New Roman"/>
      <w:sz w:val="16"/>
      <w:szCs w:val="16"/>
    </w:rPr>
  </w:style>
  <w:style w:type="character" w:customStyle="1" w:styleId="RSCB03MathematicsGreeketcChar">
    <w:name w:val="RSC B03 Mathematics/Greek etc Char"/>
    <w:basedOn w:val="DefaultParagraphFont"/>
    <w:link w:val="RSCB03MathematicsGreeketc"/>
    <w:rsid w:val="007A37D8"/>
    <w:rPr>
      <w:rFonts w:ascii="Times New Roman" w:hAnsi="Times New Roman"/>
      <w:sz w:val="18"/>
    </w:rPr>
  </w:style>
  <w:style w:type="paragraph" w:customStyle="1" w:styleId="RSCT03TableBody">
    <w:name w:val="RSC T03 Table Body"/>
    <w:basedOn w:val="Normal"/>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DefaultParagraphFont"/>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Normal"/>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DefaultParagraphFont"/>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DefaultParagraphFont"/>
    <w:link w:val="RSCT04TableFootnotewithbottombar"/>
    <w:rsid w:val="006556AC"/>
    <w:rPr>
      <w:rFonts w:eastAsia="Times New Roman" w:cs="Times New Roman"/>
      <w:sz w:val="15"/>
      <w:szCs w:val="20"/>
      <w:lang w:eastAsia="en-GB"/>
    </w:rPr>
  </w:style>
  <w:style w:type="character" w:styleId="Hyperlink">
    <w:name w:val="Hyperlink"/>
    <w:basedOn w:val="DefaultParagraphFont"/>
    <w:uiPriority w:val="99"/>
    <w:unhideWhenUsed/>
    <w:rsid w:val="005037CD"/>
    <w:rPr>
      <w:color w:val="0000FF" w:themeColor="hyperlink"/>
      <w:u w:val="single"/>
    </w:rPr>
  </w:style>
  <w:style w:type="paragraph" w:styleId="ListParagraph">
    <w:name w:val="List Paragraph"/>
    <w:basedOn w:val="Normal"/>
    <w:uiPriority w:val="34"/>
    <w:qFormat/>
    <w:rsid w:val="00F15F90"/>
    <w:pPr>
      <w:ind w:left="720"/>
      <w:contextualSpacing/>
    </w:pPr>
  </w:style>
  <w:style w:type="paragraph" w:styleId="Revision">
    <w:name w:val="Revision"/>
    <w:hidden/>
    <w:uiPriority w:val="99"/>
    <w:semiHidden/>
    <w:rsid w:val="000D5891"/>
    <w:pPr>
      <w:spacing w:after="0" w:line="240" w:lineRule="auto"/>
    </w:pPr>
  </w:style>
  <w:style w:type="paragraph" w:styleId="FootnoteText">
    <w:name w:val="footnote text"/>
    <w:basedOn w:val="Normal"/>
    <w:link w:val="FootnoteTextChar"/>
    <w:uiPriority w:val="99"/>
    <w:semiHidden/>
    <w:unhideWhenUsed/>
    <w:rsid w:val="00CA27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40"/>
    <w:rPr>
      <w:sz w:val="20"/>
      <w:szCs w:val="20"/>
    </w:rPr>
  </w:style>
  <w:style w:type="character" w:styleId="FootnoteReference">
    <w:name w:val="footnote reference"/>
    <w:basedOn w:val="DefaultParagraphFont"/>
    <w:uiPriority w:val="99"/>
    <w:semiHidden/>
    <w:unhideWhenUsed/>
    <w:rsid w:val="00CA2740"/>
    <w:rPr>
      <w:vertAlign w:val="superscript"/>
    </w:rPr>
  </w:style>
  <w:style w:type="paragraph" w:styleId="NormalWeb">
    <w:name w:val="Normal (Web)"/>
    <w:basedOn w:val="Normal"/>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DefaultParagraphFont"/>
    <w:link w:val="RSCI04CaptiontoFigureSchemeChart"/>
    <w:rsid w:val="006556AC"/>
    <w:rPr>
      <w:bCs/>
      <w:sz w:val="14"/>
      <w:szCs w:val="18"/>
    </w:rPr>
  </w:style>
  <w:style w:type="paragraph" w:customStyle="1" w:styleId="RSCM01ReceivedAccepted">
    <w:name w:val="RSC M01 Received/Accepted"/>
    <w:basedOn w:val="Normal"/>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Normal"/>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DefaultParagraphFont"/>
    <w:link w:val="RSCM01ReceivedAccepted"/>
    <w:rsid w:val="004C531E"/>
    <w:rPr>
      <w:rFonts w:eastAsiaTheme="minorEastAsia"/>
      <w:noProof/>
      <w:sz w:val="14"/>
      <w:szCs w:val="14"/>
      <w:lang w:eastAsia="en-GB"/>
    </w:rPr>
  </w:style>
  <w:style w:type="paragraph" w:customStyle="1" w:styleId="RSCM03Website">
    <w:name w:val="RSC M03 Website"/>
    <w:basedOn w:val="Normal"/>
    <w:link w:val="RSCM03WebsiteChar"/>
    <w:qFormat/>
    <w:rsid w:val="004C531E"/>
    <w:pPr>
      <w:spacing w:line="400" w:lineRule="exact"/>
    </w:pPr>
    <w:rPr>
      <w:b/>
      <w:sz w:val="14"/>
      <w:szCs w:val="14"/>
    </w:rPr>
  </w:style>
  <w:style w:type="character" w:customStyle="1" w:styleId="RSCM02DOIChar">
    <w:name w:val="RSC M02 DOI Char"/>
    <w:basedOn w:val="DefaultParagraphFont"/>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DefaultParagraphFont"/>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DefaultParagraphFont"/>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DefaultParagraphFont"/>
    <w:link w:val="RSCB07BHeadingSub-Section-standalone"/>
    <w:rsid w:val="00EF6BD4"/>
    <w:rPr>
      <w:b/>
      <w:sz w:val="18"/>
    </w:rPr>
  </w:style>
  <w:style w:type="character" w:customStyle="1" w:styleId="RSCB08CHeadingIn-lineChar">
    <w:name w:val="RSC B08 C Heading (In-line) Char"/>
    <w:basedOn w:val="DefaultParagraphFont"/>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Normal"/>
    <w:next w:val="Normal"/>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Normal"/>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 w:type="character" w:styleId="FollowedHyperlink">
    <w:name w:val="FollowedHyperlink"/>
    <w:basedOn w:val="DefaultParagraphFont"/>
    <w:uiPriority w:val="99"/>
    <w:semiHidden/>
    <w:unhideWhenUsed/>
    <w:rsid w:val="0024022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3697">
      <w:bodyDiv w:val="1"/>
      <w:marLeft w:val="0"/>
      <w:marRight w:val="0"/>
      <w:marTop w:val="0"/>
      <w:marBottom w:val="0"/>
      <w:divBdr>
        <w:top w:val="none" w:sz="0" w:space="0" w:color="auto"/>
        <w:left w:val="none" w:sz="0" w:space="0" w:color="auto"/>
        <w:bottom w:val="none" w:sz="0" w:space="0" w:color="auto"/>
        <w:right w:val="none" w:sz="0" w:space="0" w:color="auto"/>
      </w:divBdr>
    </w:div>
    <w:div w:id="130054262">
      <w:bodyDiv w:val="1"/>
      <w:marLeft w:val="0"/>
      <w:marRight w:val="0"/>
      <w:marTop w:val="0"/>
      <w:marBottom w:val="0"/>
      <w:divBdr>
        <w:top w:val="none" w:sz="0" w:space="0" w:color="auto"/>
        <w:left w:val="none" w:sz="0" w:space="0" w:color="auto"/>
        <w:bottom w:val="none" w:sz="0" w:space="0" w:color="auto"/>
        <w:right w:val="none" w:sz="0" w:space="0" w:color="auto"/>
      </w:divBdr>
    </w:div>
    <w:div w:id="255360505">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11451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710960423">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604457870">
      <w:bodyDiv w:val="1"/>
      <w:marLeft w:val="0"/>
      <w:marRight w:val="0"/>
      <w:marTop w:val="0"/>
      <w:marBottom w:val="0"/>
      <w:divBdr>
        <w:top w:val="none" w:sz="0" w:space="0" w:color="auto"/>
        <w:left w:val="none" w:sz="0" w:space="0" w:color="auto"/>
        <w:bottom w:val="none" w:sz="0" w:space="0" w:color="auto"/>
        <w:right w:val="none" w:sz="0" w:space="0" w:color="auto"/>
      </w:divBdr>
    </w:div>
    <w:div w:id="209867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EBBA4-037F-420C-BAD6-656A9197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7</Pages>
  <Words>5957</Words>
  <Characters>33961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39839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Kate McCallum</dc:creator>
  <cp:lastModifiedBy>Sargsyan, Davit [JRDUS]</cp:lastModifiedBy>
  <cp:revision>38</cp:revision>
  <cp:lastPrinted>2014-10-09T15:34:00Z</cp:lastPrinted>
  <dcterms:created xsi:type="dcterms:W3CDTF">2019-03-04T18:45:00Z</dcterms:created>
  <dcterms:modified xsi:type="dcterms:W3CDTF">2019-03-06T12:59:00Z</dcterms:modified>
</cp:coreProperties>
</file>