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360"/>
        <w:jc w:val="center"/>
      </w:pPr>
      <w:r>
        <w:rPr>
          <w:rFonts w:ascii="Microsoft YaHei" w:hAnsi="Microsoft YaHei" w:eastAsia="Microsoft YaHei"/>
          <w:b/>
          <w:color w:val="000000"/>
          <w:sz w:val="52"/>
        </w:rPr>
        <w:t>FPGA 双目摄像头路标识别</w:t>
      </w:r>
    </w:p>
    <w:p>
      <w:pPr>
        <w:spacing w:after="560"/>
        <w:jc w:val="center"/>
      </w:pPr>
      <w:r>
        <w:rPr>
          <w:rFonts w:ascii="Microsoft YaHei" w:hAnsi="Microsoft YaHei" w:eastAsia="Microsoft YaHei"/>
          <w:b/>
          <w:color w:val="000000"/>
          <w:sz w:val="40"/>
        </w:rPr>
        <w:t>模型训练与前处理设计文档</w:t>
      </w:r>
    </w:p>
    <w:p>
      <w:pPr>
        <w:spacing w:after="840"/>
        <w:jc w:val="center"/>
      </w:pPr>
      <w:r>
        <w:rPr>
          <w:rFonts w:ascii="Microsoft YaHei" w:hAnsi="Microsoft YaHei" w:eastAsia="Microsoft YaHei"/>
          <w:color w:val="595959"/>
          <w:sz w:val="23"/>
        </w:rPr>
        <w:t>供 AI 算法工程师 FPGA 工程师和 NPU 部署工程师共同实施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48"/>
        <w:gridCol w:w="4748"/>
      </w:tblGrid>
      <w:tr>
        <w:trPr>
          <w:tblHeader w:val="true"/>
          <w:cantSplit/>
        </w:trPr>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9"/>
              </w:rPr>
              <w:t>项目</w:t>
            </w:r>
          </w:p>
        </w:tc>
        <w:tc>
          <w:tcPr>
            <w:tcW w:type="dxa" w:w="5782"/>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9"/>
              </w:rPr>
              <w:t>内容</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9"/>
              </w:rPr>
              <w:t>文档版本</w:t>
            </w:r>
          </w:p>
        </w:tc>
        <w:tc>
          <w:tcPr>
            <w:tcW w:type="dxa" w:w="5782"/>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9"/>
              </w:rPr>
              <w:t>V0.2 仓库核验补充版</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9"/>
              </w:rPr>
              <w:t>文档日期</w:t>
            </w:r>
          </w:p>
        </w:tc>
        <w:tc>
          <w:tcPr>
            <w:tcW w:type="dxa" w:w="5782"/>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9"/>
              </w:rPr>
              <w:t>2026 年 10 月 2 日</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9"/>
              </w:rPr>
              <w:t>项目阶段</w:t>
            </w:r>
          </w:p>
        </w:tc>
        <w:tc>
          <w:tcPr>
            <w:tcW w:type="dxa" w:w="5782"/>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9"/>
              </w:rPr>
              <w:t>双目采集与扩大视野架构设计  单目链路作为调试基线</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9"/>
              </w:rPr>
              <w:t>当前性能基线</w:t>
            </w:r>
          </w:p>
        </w:tc>
        <w:tc>
          <w:tcPr>
            <w:tcW w:type="dxa" w:w="5782"/>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9"/>
              </w:rPr>
              <w:t>15 FPS  单帧周期约 66.7 ms</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9"/>
              </w:rPr>
              <w:t>文档状态</w:t>
            </w:r>
          </w:p>
        </w:tc>
        <w:tc>
          <w:tcPr>
            <w:tcW w:type="dxa" w:w="5782"/>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9"/>
              </w:rPr>
              <w:t>待项目负责人 算法负责人 FPGA 负责人共同确认</w:t>
            </w:r>
          </w:p>
        </w:tc>
      </w:tr>
    </w:tbl>
    <w:p>
      <w:pPr>
        <w:spacing w:after="20"/>
      </w:pPr>
    </w:p>
    <w:p>
      <w:pPr>
        <w:spacing w:before="300" w:after="0"/>
        <w:jc w:val="center"/>
      </w:pPr>
      <w:r>
        <w:rPr>
          <w:rFonts w:ascii="Microsoft YaHei" w:hAnsi="Microsoft YaHei" w:eastAsia="Microsoft YaHei"/>
          <w:color w:val="595959"/>
          <w:sz w:val="18"/>
        </w:rPr>
        <w:t>说明  文中未由当前对话确认的参数均标记为待确认或建议值</w:t>
      </w:r>
    </w:p>
    <w:p>
      <w:r>
        <w:br w:type="page"/>
      </w:r>
    </w:p>
    <w:p>
      <w:pPr>
        <w:pStyle w:val="Heading1"/>
        <w:keepNext/>
        <w:spacing w:before="180" w:after="100"/>
      </w:pPr>
      <w:r>
        <w:rPr>
          <w:rFonts w:ascii="Microsoft YaHei" w:hAnsi="Microsoft YaHei" w:eastAsia="Microsoft YaHei"/>
          <w:b/>
          <w:color w:val="000000"/>
          <w:sz w:val="32"/>
        </w:rPr>
        <w:t>文档使用说明</w:t>
      </w:r>
    </w:p>
    <w:p>
      <w:pPr>
        <w:spacing w:before="0" w:after="100" w:line="300" w:lineRule="auto"/>
        <w:keepLines/>
      </w:pPr>
      <w:r>
        <w:rPr>
          <w:rFonts w:ascii="Microsoft YaHei" w:hAnsi="Microsoft YaHei" w:eastAsia="Microsoft YaHei"/>
          <w:color w:val="000000"/>
          <w:sz w:val="21"/>
        </w:rPr>
        <w:t>本文档用于把路标识别模型的训练要求、输入前处理、量化和 FPGA NPU 部署约束固化为可执行接口。算法工程师应按本文档产出模型、配置、样例张量和评估报告；FPGA 与 NPU 工程师应补齐硬件约束，并共同完成板端验收。</w:t>
      </w:r>
    </w:p>
    <w:p>
      <w:pPr>
        <w:spacing w:before="0" w:after="100" w:line="300" w:lineRule="auto"/>
        <w:keepLines/>
      </w:pPr>
      <w:r>
        <w:rPr>
          <w:rFonts w:ascii="Microsoft YaHei" w:hAnsi="Microsoft YaHei" w:eastAsia="Microsoft YaHei"/>
          <w:color w:val="000000"/>
          <w:sz w:val="21"/>
        </w:rPr>
        <w:t>本版本结合当前对话和本机 Git 工作树核验结果编写。双目主要用途已由项目方确认为扩大视野；当前 PDS 工程器件配置确认为 Logos2 PG2L200H FBB676 速度等级 -6。摄像头分辨率、像素格式和帧率仍须通过寄存器配置、抓帧文件和硬件日志复核。当前可见仓库尚未提供 NPU 专用指令集或算子白名单，也未提供正式类别映射表，因此这两项继续标记为待确认，绝不以 CPU 指令集或示例类别代替。</w:t>
      </w:r>
    </w:p>
    <w:p>
      <w:pPr>
        <w:pStyle w:val="Heading2"/>
        <w:keepNext/>
        <w:spacing w:before="140" w:after="100"/>
      </w:pPr>
      <w:r>
        <w:rPr>
          <w:rFonts w:ascii="Microsoft YaHei" w:hAnsi="Microsoft YaHei" w:eastAsia="Microsoft YaHei"/>
          <w:b/>
          <w:color w:val="000000"/>
          <w:sz w:val="26"/>
        </w:rPr>
        <w:t>状态标记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36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标记</w:t>
            </w:r>
          </w:p>
        </w:tc>
        <w:tc>
          <w:tcPr>
            <w:tcW w:type="dxa" w:w="243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含义</w:t>
            </w:r>
          </w:p>
        </w:tc>
        <w:tc>
          <w:tcPr>
            <w:tcW w:type="dxa" w:w="425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使用规则</w:t>
            </w:r>
          </w:p>
        </w:tc>
      </w:tr>
      <w:tr>
        <w:trPr>
          <w:cantSplit/>
        </w:trPr>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已知基线</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当前对话已经明确</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可据此设计，但量产前仍应以实机记录复核</w:t>
            </w:r>
          </w:p>
        </w:tc>
      </w:tr>
      <w:tr>
        <w:trPr>
          <w:cantSplit/>
        </w:trPr>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待确认</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缺少项目事实或负责人决策</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不得由实施方自行补写为最终值</w:t>
            </w:r>
          </w:p>
        </w:tc>
      </w:tr>
      <w:tr>
        <w:trPr>
          <w:cantSplit/>
        </w:trPr>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建议值</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为便于启动工作给出的工程建议</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需要评审后才能转为正式要求</w:t>
            </w:r>
          </w:p>
        </w:tc>
      </w:tr>
      <w:tr>
        <w:trPr>
          <w:cantSplit/>
        </w:trPr>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实测值</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通过脚本或板端测量获得</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必须记录环境、版本、样本量和测量方法</w:t>
            </w:r>
          </w:p>
        </w:tc>
      </w:tr>
    </w:tbl>
    <w:p>
      <w:pPr>
        <w:spacing w:after="20"/>
      </w:pPr>
    </w:p>
    <w:p>
      <w:pPr>
        <w:pStyle w:val="Heading2"/>
        <w:keepNext/>
        <w:spacing w:before="140" w:after="100"/>
      </w:pPr>
      <w:r>
        <w:rPr>
          <w:rFonts w:ascii="Microsoft YaHei" w:hAnsi="Microsoft YaHei" w:eastAsia="Microsoft YaHei"/>
          <w:b/>
          <w:color w:val="000000"/>
          <w:sz w:val="26"/>
        </w:rPr>
        <w:t>阅读导航</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读者</w:t>
            </w:r>
          </w:p>
        </w:tc>
        <w:tc>
          <w:tcPr>
            <w:tcW w:type="dxa" w:w="294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优先阅读章节</w:t>
            </w:r>
          </w:p>
        </w:tc>
        <w:tc>
          <w:tcPr>
            <w:tcW w:type="dxa" w:w="340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需要完成的工作</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项目负责人</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项目目标 验收指标 待确认事项</w:t>
            </w:r>
          </w:p>
        </w:tc>
        <w:tc>
          <w:tcPr>
            <w:tcW w:type="dxa" w:w="340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确认业务范围、类别、精度、进度和责任人</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AI 算法工程师</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数据集 训练 前处理 量化 导出</w:t>
            </w:r>
          </w:p>
        </w:tc>
        <w:tc>
          <w:tcPr>
            <w:tcW w:type="dxa" w:w="340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提交可复现训练包、模型包和评估报告</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FPGA 工程师</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硬件链路 缓冲 前处理 接口 资源预算</w:t>
            </w:r>
          </w:p>
        </w:tc>
        <w:tc>
          <w:tcPr>
            <w:tcW w:type="dxa" w:w="340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确认数据格式、时序、缓存、DMA 和资源边界</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NPU 工程师</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算子约束 量化 部署 性能验收</w:t>
            </w:r>
          </w:p>
        </w:tc>
        <w:tc>
          <w:tcPr>
            <w:tcW w:type="dxa" w:w="340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提交算子支持矩阵、编译报告和板端性能</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测试工程师</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验收指标 测试矩阵 版本管理</w:t>
            </w:r>
          </w:p>
        </w:tc>
        <w:tc>
          <w:tcPr>
            <w:tcW w:type="dxa" w:w="340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建立离线、板端和长稳测试记录</w:t>
            </w:r>
          </w:p>
        </w:tc>
      </w:tr>
    </w:tbl>
    <w:p>
      <w:pPr>
        <w:spacing w:after="20"/>
      </w:pPr>
    </w:p>
    <w:p>
      <w:pPr>
        <w:pStyle w:val="Heading2"/>
        <w:keepNext/>
        <w:spacing w:before="140" w:after="100"/>
      </w:pPr>
      <w:r>
        <w:rPr>
          <w:rFonts w:ascii="Microsoft YaHei" w:hAnsi="Microsoft YaHei" w:eastAsia="Microsoft YaHei"/>
          <w:b/>
          <w:color w:val="000000"/>
          <w:sz w:val="26"/>
        </w:rPr>
        <w:t>版本记录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13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版本</w:t>
            </w:r>
          </w:p>
        </w:tc>
        <w:tc>
          <w:tcPr>
            <w:tcW w:type="dxa" w:w="14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日期</w:t>
            </w:r>
          </w:p>
        </w:tc>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状态</w:t>
            </w:r>
          </w:p>
        </w:tc>
        <w:tc>
          <w:tcPr>
            <w:tcW w:type="dxa" w:w="425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变更摘要</w:t>
            </w:r>
          </w:p>
        </w:tc>
      </w:tr>
      <w:tr>
        <w:trPr>
          <w:cantSplit/>
        </w:trPr>
        <w:tc>
          <w:tcPr>
            <w:tcW w:type="dxa" w:w="113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V0.2</w:t>
            </w:r>
          </w:p>
        </w:tc>
        <w:tc>
          <w:tcPr>
            <w:tcW w:type="dxa" w:w="1474"/>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2026 10 02</w:t>
            </w:r>
          </w:p>
        </w:tc>
        <w:tc>
          <w:tcPr>
            <w:tcW w:type="dxa" w:w="119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仓库核验</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确认 FPGA 器件和双目扩大视野用途 区分 CPU ISA 与 NPU 能力 记录类别表缺口</w:t>
            </w:r>
          </w:p>
        </w:tc>
      </w:tr>
      <w:tr>
        <w:trPr>
          <w:cantSplit/>
        </w:trPr>
        <w:tc>
          <w:tcPr>
            <w:tcW w:type="dxa" w:w="113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V0.1</w:t>
            </w:r>
          </w:p>
        </w:tc>
        <w:tc>
          <w:tcPr>
            <w:tcW w:type="dxa" w:w="1474"/>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2026 10 02</w:t>
            </w:r>
          </w:p>
        </w:tc>
        <w:tc>
          <w:tcPr>
            <w:tcW w:type="dxa" w:w="119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初稿</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建立模型训练 前处理 量化 NPU 部署和双目扩展的完整需求基线</w:t>
            </w:r>
          </w:p>
        </w:tc>
      </w:tr>
    </w:tbl>
    <w:p>
      <w:pPr>
        <w:spacing w:after="20"/>
      </w:pPr>
    </w:p>
    <w:p>
      <w:pPr>
        <w:pStyle w:val="Heading2"/>
        <w:keepNext/>
        <w:spacing w:before="140" w:after="100"/>
      </w:pPr>
      <w:r>
        <w:rPr>
          <w:rFonts w:ascii="Microsoft YaHei" w:hAnsi="Microsoft YaHei" w:eastAsia="Microsoft YaHei"/>
          <w:b/>
          <w:color w:val="000000"/>
          <w:sz w:val="26"/>
        </w:rPr>
        <w:t>仓库核验基线</w:t>
      </w:r>
    </w:p>
    <w:p>
      <w:pPr>
        <w:spacing w:before="0" w:after="100" w:line="300" w:lineRule="auto"/>
        <w:keepLines/>
      </w:pPr>
      <w:r>
        <w:rPr>
          <w:rFonts w:ascii="Microsoft YaHei" w:hAnsi="Microsoft YaHei" w:eastAsia="Microsoft YaHei"/>
          <w:color w:val="000000"/>
          <w:sz w:val="21"/>
        </w:rPr>
        <w:t>核验对象包括本机当前 PDS 工程、source 仓库和 vsrc 仓库。source 分支为 small_eyes，HEAD 为 777bd43ab3f7fac449f2141ee3a25387a7d537f8；vsrc 分支为 main，HEAD 为 8ea1fe04e2780a3deb02306f1841d591eb689ec9。核验只读取现有文件；两个工作树均存在未提交变更，因此本表记录的是本机当前工作树，不代表已发布版本。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4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5"/>
              </w:rPr>
              <w:t>项目</w:t>
            </w:r>
          </w:p>
        </w:tc>
        <w:tc>
          <w:tcPr>
            <w:tcW w:type="dxa" w:w="294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5"/>
              </w:rPr>
              <w:t>核验结论</w:t>
            </w:r>
          </w:p>
        </w:tc>
        <w:tc>
          <w:tcPr>
            <w:tcW w:type="dxa" w:w="249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5"/>
              </w:rPr>
              <w:t>证据</w:t>
            </w:r>
          </w:p>
        </w:tc>
        <w:tc>
          <w:tcPr>
            <w:tcW w:type="dxa" w:w="124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5"/>
              </w:rPr>
              <w:t>处理</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FPGA 器件</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Logos2 PG2L200H FBB676 速度等级 -6</w:t>
            </w:r>
          </w:p>
        </w:tc>
        <w:tc>
          <w:tcPr>
            <w:tcW w:type="dxa" w:w="249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small-eyes1.pds 第 12 至 16 行；impl.tcl 第 3 行；IP 生成日志交叉验证</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作为本版硬件基线</w:t>
            </w:r>
          </w:p>
        </w:tc>
      </w:tr>
      <w:tr>
        <w:trPr>
          <w:cantSplit/>
        </w:trPr>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CPU ISA</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RV32I 加 M 扩展</w:t>
            </w:r>
          </w:p>
        </w:tc>
        <w:tc>
          <w:tcPr>
            <w:tcW w:type="dxa" w:w="249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source/rtl/soc/config.v 第 48 至 52 行；source/README.md 第 9 行</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仅描述 SoC CPU 不等同于 NPU 指令集</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NPU 指令集</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当前仓库未发现 NPU RTL 专用指令编码 编译器规范或算子白名单</w:t>
            </w:r>
          </w:p>
        </w:tc>
        <w:tc>
          <w:tcPr>
            <w:tcW w:type="dxa" w:w="249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Hfpga_jtag_soc 顶层仅连接 CPU LED UART FPIOA；关键词检索未命中 AI 推理模块</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保持待确认 由 NPU 负责人提供正式规范</w:t>
            </w:r>
          </w:p>
        </w:tc>
      </w:tr>
      <w:tr>
        <w:trPr>
          <w:cantSplit/>
        </w:trPr>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双目实现</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项目需求已确认扩大视野 但 CPU SoC 仓库未展示双路采集 同步 拼接或前处理 RTL</w:t>
            </w:r>
          </w:p>
        </w:tc>
        <w:tc>
          <w:tcPr>
            <w:tcW w:type="dxa" w:w="249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当前顶层端口为时钟 复位 JTAG 和 FPIOA；配套资料另有 OV5640 双目例程</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5"/>
              </w:rPr>
              <w:t>例程只作参考 不视为当前集成完成</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类别清单</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当前可见仓库未发现 class_id 名称映射 数据集 YAML 或标签定义</w:t>
            </w:r>
          </w:p>
        </w:tc>
        <w:tc>
          <w:tcPr>
            <w:tcW w:type="dxa" w:w="249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检索 class_id label dataset YOLO GTSRB 路标 类别未命中</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5"/>
              </w:rPr>
              <w:t>继续作为训练前 P0 输入</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一 项目背景与目标</w:t>
      </w:r>
    </w:p>
    <w:p>
      <w:pPr>
        <w:pStyle w:val="Heading2"/>
        <w:keepNext/>
        <w:spacing w:before="140" w:after="100"/>
      </w:pPr>
      <w:r>
        <w:rPr>
          <w:rFonts w:ascii="Microsoft YaHei" w:hAnsi="Microsoft YaHei" w:eastAsia="Microsoft YaHei"/>
          <w:b/>
          <w:color w:val="000000"/>
          <w:sz w:val="26"/>
        </w:rPr>
        <w:t>一 一 项目背景</w:t>
      </w:r>
    </w:p>
    <w:p>
      <w:pPr>
        <w:spacing w:before="0" w:after="100" w:line="300" w:lineRule="auto"/>
        <w:keepLines/>
      </w:pPr>
      <w:r>
        <w:rPr>
          <w:rFonts w:ascii="Microsoft YaHei" w:hAnsi="Microsoft YaHei" w:eastAsia="Microsoft YaHei"/>
          <w:color w:val="000000"/>
          <w:sz w:val="21"/>
        </w:rPr>
        <w:t>项目拟在 FPGA 平台上接入双路摄像头，完成道路场景中的路标检测和类别识别。当前讨论已经明确，系统的主要风险不是是否采用两个 Frame Buffer，而是摄像头采集、DDR 搬运、前处理、NPU 推理、后处理和缓冲释放这一整条链路能否持续达到摄像头帧率。</w:t>
      </w:r>
    </w:p>
    <w:p>
      <w:pPr>
        <w:spacing w:before="0" w:after="100" w:line="300" w:lineRule="auto"/>
        <w:keepLines/>
      </w:pPr>
      <w:r>
        <w:rPr>
          <w:rFonts w:ascii="Microsoft YaHei" w:hAnsi="Microsoft YaHei" w:eastAsia="Microsoft YaHei"/>
          <w:color w:val="000000"/>
          <w:sz w:val="21"/>
        </w:rPr>
        <w:t>当前性能基线为 15 FPS，因此每路图像约每 66.7 ms 到达一帧。算法模型必须与硬件前处理共同设计；输入分辨率、算子类型、量化方式和中间特征图大小会直接影响 NPU 延迟、DDR 带宽和 FPGA 资源。</w:t>
      </w:r>
    </w:p>
    <w:p>
      <w:pPr>
        <w:pStyle w:val="Heading2"/>
        <w:keepNext/>
        <w:spacing w:before="140" w:after="100"/>
      </w:pPr>
      <w:r>
        <w:rPr>
          <w:rFonts w:ascii="Microsoft YaHei" w:hAnsi="Microsoft YaHei" w:eastAsia="Microsoft YaHei"/>
          <w:b/>
          <w:color w:val="000000"/>
          <w:sz w:val="26"/>
        </w:rPr>
        <w:t>一 二 项目目标</w:t>
      </w:r>
    </w:p>
    <w:p>
      <w:pPr>
        <w:pStyle w:val="ListBullet"/>
        <w:spacing w:after="60" w:line="283" w:lineRule="auto"/>
        <w:ind w:left="397" w:hanging="142"/>
        <w:keepLines/>
      </w:pPr>
      <w:r>
        <w:rPr>
          <w:rFonts w:ascii="Microsoft YaHei" w:hAnsi="Microsoft YaHei" w:eastAsia="Microsoft YaHei"/>
          <w:color w:val="000000"/>
          <w:sz w:val="21"/>
        </w:rPr>
        <w:t>建立一个可在目标 NPU 上部署的轻量级路标检测模型，输出类别、置信度和目标位置。具体类别清单与业务优先级待确认。</w:t>
      </w:r>
    </w:p>
    <w:p>
      <w:pPr>
        <w:pStyle w:val="ListBullet"/>
        <w:spacing w:after="60" w:line="283" w:lineRule="auto"/>
        <w:ind w:left="397" w:hanging="142"/>
        <w:keepLines/>
      </w:pPr>
      <w:r>
        <w:rPr>
          <w:rFonts w:ascii="Microsoft YaHei" w:hAnsi="Microsoft YaHei" w:eastAsia="Microsoft YaHei"/>
          <w:color w:val="000000"/>
          <w:sz w:val="21"/>
        </w:rPr>
        <w:t>把摄像头原始帧转换为模型输入张量的规则写成位精确规范，使训练、离线评估和 FPGA 硬件前处理得到一致结果。</w:t>
      </w:r>
    </w:p>
    <w:p>
      <w:pPr>
        <w:pStyle w:val="ListBullet"/>
        <w:spacing w:after="60" w:line="283" w:lineRule="auto"/>
        <w:ind w:left="397" w:hanging="142"/>
        <w:keepLines/>
      </w:pPr>
      <w:r>
        <w:rPr>
          <w:rFonts w:ascii="Microsoft YaHei" w:hAnsi="Microsoft YaHei" w:eastAsia="Microsoft YaHei"/>
          <w:color w:val="000000"/>
          <w:sz w:val="21"/>
        </w:rPr>
        <w:t>单目版本先达到持续 15 FPS 的处理能力，并形成可复用的双目帧配对、双路调度和结果融合接口。</w:t>
      </w:r>
    </w:p>
    <w:p>
      <w:pPr>
        <w:pStyle w:val="ListBullet"/>
        <w:spacing w:after="60" w:line="283" w:lineRule="auto"/>
        <w:ind w:left="397" w:hanging="142"/>
        <w:keepLines/>
      </w:pPr>
      <w:r>
        <w:rPr>
          <w:rFonts w:ascii="Microsoft YaHei" w:hAnsi="Microsoft YaHei" w:eastAsia="Microsoft YaHei"/>
          <w:color w:val="000000"/>
          <w:sz w:val="21"/>
        </w:rPr>
        <w:t>以板端实测为最终依据，同时满足精度、延迟、吞吐、资源、带宽、稳定性和可追溯性要求。</w:t>
      </w:r>
    </w:p>
    <w:p>
      <w:pPr>
        <w:pStyle w:val="Heading2"/>
        <w:keepNext/>
        <w:spacing w:before="140" w:after="100"/>
      </w:pPr>
      <w:r>
        <w:rPr>
          <w:rFonts w:ascii="Microsoft YaHei" w:hAnsi="Microsoft YaHei" w:eastAsia="Microsoft YaHei"/>
          <w:b/>
          <w:color w:val="000000"/>
          <w:sz w:val="26"/>
        </w:rPr>
        <w:t>一 三 本期范围与非范围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81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类别</w:t>
            </w:r>
          </w:p>
        </w:tc>
        <w:tc>
          <w:tcPr>
            <w:tcW w:type="dxa" w:w="481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内容</w:t>
            </w:r>
          </w:p>
        </w:tc>
        <w:tc>
          <w:tcPr>
            <w:tcW w:type="dxa" w:w="153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状态</w:t>
            </w:r>
          </w:p>
        </w:tc>
      </w:tr>
      <w:tr>
        <w:trPr>
          <w:cantSplit/>
        </w:trPr>
        <w:tc>
          <w:tcPr>
            <w:tcW w:type="dxa" w:w="1814"/>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本期范围</w:t>
            </w:r>
          </w:p>
        </w:tc>
        <w:tc>
          <w:tcPr>
            <w:tcW w:type="dxa" w:w="481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路标检测和分类 模型训练 前处理定义 INT8 量化 模型导出 NPU 部署接口 板端验收</w:t>
            </w:r>
          </w:p>
        </w:tc>
        <w:tc>
          <w:tcPr>
            <w:tcW w:type="dxa" w:w="153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必须完成</w:t>
            </w:r>
          </w:p>
        </w:tc>
      </w:tr>
      <w:tr>
        <w:trPr>
          <w:cantSplit/>
        </w:trPr>
        <w:tc>
          <w:tcPr>
            <w:tcW w:type="dxa" w:w="1814"/>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架构预留</w:t>
            </w:r>
          </w:p>
        </w:tc>
        <w:tc>
          <w:tcPr>
            <w:tcW w:type="dxa" w:w="481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双目帧配对 双路推理调度 结果关联 标定与校正接口</w:t>
            </w:r>
          </w:p>
        </w:tc>
        <w:tc>
          <w:tcPr>
            <w:tcW w:type="dxa" w:w="153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必须设计</w:t>
            </w:r>
          </w:p>
        </w:tc>
      </w:tr>
      <w:tr>
        <w:trPr>
          <w:cantSplit/>
        </w:trPr>
        <w:tc>
          <w:tcPr>
            <w:tcW w:type="dxa" w:w="1814"/>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已确认用途</w:t>
            </w:r>
          </w:p>
        </w:tc>
        <w:tc>
          <w:tcPr>
            <w:tcW w:type="dxa" w:w="481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双目用于扩大视野 两路覆盖互补视场 检测结果统一输出</w:t>
            </w:r>
          </w:p>
        </w:tc>
        <w:tc>
          <w:tcPr>
            <w:tcW w:type="dxa" w:w="153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本期目标</w:t>
            </w:r>
          </w:p>
        </w:tc>
      </w:tr>
      <w:tr>
        <w:trPr>
          <w:cantSplit/>
        </w:trPr>
        <w:tc>
          <w:tcPr>
            <w:tcW w:type="dxa" w:w="1814"/>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非本期默认目标</w:t>
            </w:r>
          </w:p>
        </w:tc>
        <w:tc>
          <w:tcPr>
            <w:tcW w:type="dxa" w:w="481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双目深度测距和同视场冗余确认</w:t>
            </w:r>
          </w:p>
        </w:tc>
        <w:tc>
          <w:tcPr>
            <w:tcW w:type="dxa" w:w="153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另行立项才纳入</w:t>
            </w:r>
          </w:p>
        </w:tc>
      </w:tr>
      <w:tr>
        <w:trPr>
          <w:cantSplit/>
        </w:trPr>
        <w:tc>
          <w:tcPr>
            <w:tcW w:type="dxa" w:w="1814"/>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暂不默认纳入</w:t>
            </w:r>
          </w:p>
        </w:tc>
        <w:tc>
          <w:tcPr>
            <w:tcW w:type="dxa" w:w="481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复杂三维重建 高精地图定位 端到端驾驶决策</w:t>
            </w:r>
          </w:p>
        </w:tc>
        <w:tc>
          <w:tcPr>
            <w:tcW w:type="dxa" w:w="153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除非另行立项</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二 当前硬件链路和已知基线</w:t>
      </w:r>
    </w:p>
    <w:p>
      <w:pPr>
        <w:pStyle w:val="Heading2"/>
        <w:keepNext/>
        <w:spacing w:before="140" w:after="100"/>
      </w:pPr>
      <w:r>
        <w:rPr>
          <w:rFonts w:ascii="Microsoft YaHei" w:hAnsi="Microsoft YaHei" w:eastAsia="Microsoft YaHei"/>
          <w:b/>
          <w:color w:val="000000"/>
          <w:sz w:val="26"/>
        </w:rPr>
        <w:t>二 一 当前参数表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81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项目</w:t>
            </w:r>
          </w:p>
        </w:tc>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当前基线</w:t>
            </w:r>
          </w:p>
        </w:tc>
        <w:tc>
          <w:tcPr>
            <w:tcW w:type="dxa" w:w="40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状态与说明</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摄像头</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OV5640</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对话中已出现 仍需确认双路是否同型号以及实际寄存器配置</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采集接口</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DVP</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当前链路基线 需确认位宽 PCLK 极性 HSYNC VSYNC 定义和时钟域</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原始分辨率</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640 × 480</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当前对话基线 需以抓帧和寄存器读回确认</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原始像素格式</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RGB565</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当前对话基线 需确认字节序 行内顺序和颜色通道顺序</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帧率</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约 15 FPS</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已知性能基线 单帧周期约 66.7 ms</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帧存储</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DDR Frame Buffer</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具体地址规划 突发长度 总线宽度和仲裁策略待确认</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缓冲策略</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双缓冲或多缓冲候选</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缓冲数量不等于处理能力 需要结合最坏延迟和丢帧策略决定</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模型输入</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建议从 320 × 320 候选开始</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建议值 最终由小目标精度与板端性能共同决定</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推理数据类型</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INT8 优先</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建议值 需根据 NPU 量化规范和精度损失确认</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FPGA 型号</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Pango Logos2 PG2L200H FBB676 速度等级 -6</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当前 PDS 工程和实现脚本已确认 发布前仍需以最终工程复核</w:t>
            </w:r>
          </w:p>
        </w:tc>
      </w:tr>
      <w:tr>
        <w:trPr>
          <w:cantSplit/>
        </w:trPr>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SoC CPU 指令集</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RV32I 加 M 扩展</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仓库 README 和 ISA 测试已确认 不能据此推导 NPU 能力</w:t>
            </w:r>
          </w:p>
        </w:tc>
      </w:tr>
      <w:tr>
        <w:trPr>
          <w:cantSplit/>
        </w:trPr>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NPU 型号与指令集</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仓库未提供</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未发现 NPU RTL 专用指令编码 编译器或算子白名单 仍为 P0 阻塞项</w:t>
            </w:r>
          </w:p>
        </w:tc>
      </w:tr>
    </w:tbl>
    <w:p>
      <w:pPr>
        <w:spacing w:after="20"/>
      </w:pPr>
    </w:p>
    <w:p>
      <w:pPr>
        <w:pStyle w:val="Heading2"/>
        <w:keepNext/>
        <w:spacing w:before="140" w:after="100"/>
      </w:pPr>
      <w:r>
        <w:rPr>
          <w:rFonts w:ascii="Microsoft YaHei" w:hAnsi="Microsoft YaHei" w:eastAsia="Microsoft YaHei"/>
          <w:b/>
          <w:color w:val="000000"/>
          <w:sz w:val="26"/>
        </w:rPr>
        <w:t>二 二 单目当前处理链</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496"/>
      </w:tblGrid>
      <w:tr>
        <w:trPr>
          <w:tblHeader w:val="true"/>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000000"/>
                <w:sz w:val="20"/>
              </w:rPr>
              <w:t>摄像头采集  OV5640  640 × 480  RGB565  约 15 FPS</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DVP 接收与跨时钟 FIFO  完成字节或像素拼接并吸收短时速率波动</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DDR Frame Buffer  保存完整帧并维护缓冲区所有权</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硬件前处理  颜色解包 缩放 保持宽高比填充 归一化或量化 数据布局转换</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NPU 推理  轻量级目标检测网络  batch 1</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后处理  解码 阈值过滤 NMS 坐标映射</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输出路标类别 置信度 原图坐标和帧标识  随后释放 Frame Buffer</w:t>
            </w:r>
          </w:p>
        </w:tc>
      </w:tr>
    </w:tbl>
    <w:p>
      <w:pPr>
        <w:spacing w:before="60" w:after="160"/>
        <w:jc w:val="center"/>
        <w:keepNext w:val="0"/>
      </w:pPr>
      <w:r>
        <w:rPr>
          <w:rFonts w:ascii="Microsoft YaHei" w:hAnsi="Microsoft YaHei" w:eastAsia="Microsoft YaHei"/>
          <w:color w:val="595959"/>
          <w:sz w:val="18"/>
        </w:rPr>
        <w:t>图一 单目端到端处理链  所有参数均以模型输入规范和板端接口文档为准</w:t>
      </w:r>
    </w:p>
    <w:p>
      <w:pPr>
        <w:pStyle w:val="Heading2"/>
        <w:keepNext/>
        <w:spacing w:before="140" w:after="100"/>
      </w:pPr>
      <w:r>
        <w:rPr>
          <w:rFonts w:ascii="Microsoft YaHei" w:hAnsi="Microsoft YaHei" w:eastAsia="Microsoft YaHei"/>
          <w:b/>
          <w:color w:val="000000"/>
          <w:sz w:val="26"/>
        </w:rPr>
        <w:t>二 三 数据边界和责任划分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75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边界</w:t>
            </w:r>
          </w:p>
        </w:tc>
        <w:tc>
          <w:tcPr>
            <w:tcW w:type="dxa" w:w="204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输入</w:t>
            </w:r>
          </w:p>
        </w:tc>
        <w:tc>
          <w:tcPr>
            <w:tcW w:type="dxa" w:w="272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输出</w:t>
            </w:r>
          </w:p>
        </w:tc>
        <w:tc>
          <w:tcPr>
            <w:tcW w:type="dxa" w:w="164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主要责任人</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摄像头到采集</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DVP 电气和时序</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完整 RGB565 像素流</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FPGA 硬件</w:t>
            </w:r>
          </w:p>
        </w:tc>
      </w:tr>
      <w:tr>
        <w:trPr>
          <w:cantSplit/>
        </w:trPr>
        <w:tc>
          <w:tcPr>
            <w:tcW w:type="dxa" w:w="175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采集到 DDR</w:t>
            </w:r>
          </w:p>
        </w:tc>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像素流</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带帧号与时间戳的完整帧</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FPGA 硬件</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DDR 到前处理</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帧地址与元数据</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稳定的像素读取流</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FPGA 和系统软件</w:t>
            </w:r>
          </w:p>
        </w:tc>
      </w:tr>
      <w:tr>
        <w:trPr>
          <w:cantSplit/>
        </w:trPr>
        <w:tc>
          <w:tcPr>
            <w:tcW w:type="dxa" w:w="175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前处理到 NPU</w:t>
            </w:r>
          </w:p>
        </w:tc>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原始帧</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固定形状 固定布局 固定量化的输入张量</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算法和 FPGA 共同签字</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NPU 到后处理</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模型输出张量</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候选框 类别分数</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算法和 NPU</w:t>
            </w:r>
          </w:p>
        </w:tc>
      </w:tr>
      <w:tr>
        <w:trPr>
          <w:cantSplit/>
        </w:trPr>
        <w:tc>
          <w:tcPr>
            <w:tcW w:type="dxa" w:w="175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后处理到应用</w:t>
            </w:r>
          </w:p>
        </w:tc>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候选框</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原图坐标结果 帧号和状态</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算法和系统软件</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三 Frame Buffer 与 FIFO 设计</w:t>
      </w:r>
    </w:p>
    <w:p>
      <w:pPr>
        <w:pStyle w:val="Heading2"/>
        <w:keepNext/>
        <w:spacing w:before="140" w:after="100"/>
      </w:pPr>
      <w:r>
        <w:rPr>
          <w:rFonts w:ascii="Microsoft YaHei" w:hAnsi="Microsoft YaHei" w:eastAsia="Microsoft YaHei"/>
          <w:b/>
          <w:color w:val="000000"/>
          <w:sz w:val="26"/>
        </w:rPr>
        <w:t>三 一 两类缓冲的职责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比较项</w:t>
            </w:r>
          </w:p>
        </w:tc>
        <w:tc>
          <w:tcPr>
            <w:tcW w:type="dxa" w:w="31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FIFO</w:t>
            </w:r>
          </w:p>
        </w:tc>
        <w:tc>
          <w:tcPr>
            <w:tcW w:type="dxa" w:w="328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Frame Buffer</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主要用途</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吸收突发和跨时钟域差异</w:t>
            </w:r>
          </w:p>
        </w:tc>
        <w:tc>
          <w:tcPr>
            <w:tcW w:type="dxa" w:w="328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保存一帧或多帧完整图像</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典型位置</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DVP 接收 DDR 读写 NPU 流接口之间</w:t>
            </w:r>
          </w:p>
        </w:tc>
        <w:tc>
          <w:tcPr>
            <w:tcW w:type="dxa" w:w="328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DDR 中的帧地址区</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容量尺度</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若干字节 行或小块</w:t>
            </w:r>
          </w:p>
        </w:tc>
        <w:tc>
          <w:tcPr>
            <w:tcW w:type="dxa" w:w="328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至少一帧 640 × 480 × 2 字节约 614400 字节 未含对齐</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能否解决长期吞吐不足</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不能</w:t>
            </w:r>
          </w:p>
        </w:tc>
        <w:tc>
          <w:tcPr>
            <w:tcW w:type="dxa" w:w="328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不能 只能推迟溢出或允许暂时排队</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控制重点</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满 空 水位 回压 时钟域同步</w:t>
            </w:r>
          </w:p>
        </w:tc>
        <w:tc>
          <w:tcPr>
            <w:tcW w:type="dxa" w:w="328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所有权 地址 帧号 完整性 释放时机</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故障表现</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上溢导致像素丢失 下溢导致数据断流</w:t>
            </w:r>
          </w:p>
        </w:tc>
        <w:tc>
          <w:tcPr>
            <w:tcW w:type="dxa" w:w="328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覆盖未处理帧 读写冲突 帧撕裂 队列积压</w:t>
            </w:r>
          </w:p>
        </w:tc>
      </w:tr>
    </w:tbl>
    <w:p>
      <w:pPr>
        <w:spacing w:after="20"/>
      </w:pPr>
    </w:p>
    <w:p>
      <w:pPr>
        <w:spacing w:before="0" w:after="100" w:line="300" w:lineRule="auto"/>
        <w:keepLines/>
      </w:pPr>
      <w:r>
        <w:rPr>
          <w:rFonts w:ascii="Microsoft YaHei" w:hAnsi="Microsoft YaHei" w:eastAsia="Microsoft YaHei"/>
          <w:color w:val="000000"/>
          <w:sz w:val="21"/>
        </w:rPr>
        <w:t>双缓冲的作用是让采集和处理在不同缓冲区并行工作。它不能把平均处理速度提高到摄像头帧率以上。若前处理、推理和后处理的长期平均总耗时超过 66.7 ms，任何有限数量的缓冲最终都会占满。</w:t>
      </w:r>
    </w:p>
    <w:p>
      <w:pPr>
        <w:pStyle w:val="Heading2"/>
        <w:keepNext/>
        <w:spacing w:before="140" w:after="100"/>
      </w:pPr>
      <w:r>
        <w:rPr>
          <w:rFonts w:ascii="Microsoft YaHei" w:hAnsi="Microsoft YaHei" w:eastAsia="Microsoft YaHei"/>
          <w:b/>
          <w:color w:val="000000"/>
          <w:sz w:val="26"/>
        </w:rPr>
        <w:t>三 二 建议的缓冲区状态机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24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状态</w:t>
            </w:r>
          </w:p>
        </w:tc>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含义</w:t>
            </w:r>
          </w:p>
        </w:tc>
        <w:tc>
          <w:tcPr>
            <w:tcW w:type="dxa" w:w="23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允许的转移</w:t>
            </w:r>
          </w:p>
        </w:tc>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禁止行为</w:t>
            </w:r>
          </w:p>
        </w:tc>
      </w:tr>
      <w:tr>
        <w:trPr>
          <w:cantSplit/>
        </w:trPr>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FREE</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可由摄像头写入</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FREE 到 CAPTURING</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NPU 不得读取</w:t>
            </w:r>
          </w:p>
        </w:tc>
      </w:tr>
      <w:tr>
        <w:trPr>
          <w:cantSplit/>
        </w:trPr>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CAPTURING</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当前正在写入</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CAPTURING 到 READY 或 ERROR</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不得覆盖 不得提前读取</w:t>
            </w:r>
          </w:p>
        </w:tc>
      </w:tr>
      <w:tr>
        <w:trPr>
          <w:cantSplit/>
        </w:trPr>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READY</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完整帧等待处理</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READY 到 PROCESSING 或 DROPPED</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不得再次写入</w:t>
            </w:r>
          </w:p>
        </w:tc>
      </w:tr>
      <w:tr>
        <w:trPr>
          <w:cantSplit/>
        </w:trPr>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PROCESSING</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前处理或 NPU 正在使用</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PROCESSING 到 FREE</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采集端不得抢占</w:t>
            </w:r>
          </w:p>
        </w:tc>
      </w:tr>
      <w:tr>
        <w:trPr>
          <w:cantSplit/>
        </w:trPr>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ERROR</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帧不完整或校验失败</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ERROR 到 FREE</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不得送入模型</w:t>
            </w:r>
          </w:p>
        </w:tc>
      </w:tr>
      <w:tr>
        <w:trPr>
          <w:cantSplit/>
        </w:trPr>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DROPPED</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按策略主动丢弃</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记录后转为 FREE</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不得静默丢弃</w:t>
            </w:r>
          </w:p>
        </w:tc>
      </w:tr>
    </w:tbl>
    <w:p>
      <w:pPr>
        <w:spacing w:after="20"/>
      </w:pPr>
    </w:p>
    <w:p>
      <w:pPr>
        <w:pStyle w:val="Heading2"/>
        <w:keepNext/>
        <w:spacing w:before="140" w:after="100"/>
      </w:pPr>
      <w:r>
        <w:rPr>
          <w:rFonts w:ascii="Microsoft YaHei" w:hAnsi="Microsoft YaHei" w:eastAsia="Microsoft YaHei"/>
          <w:b/>
          <w:color w:val="000000"/>
          <w:sz w:val="26"/>
        </w:rPr>
        <w:t>三 三 缓冲和丢帧策略</w:t>
      </w:r>
    </w:p>
    <w:p>
      <w:pPr>
        <w:pStyle w:val="ListBullet"/>
        <w:spacing w:after="60" w:line="283" w:lineRule="auto"/>
        <w:ind w:left="397" w:hanging="142"/>
        <w:keepLines/>
      </w:pPr>
      <w:r>
        <w:rPr>
          <w:rFonts w:ascii="Microsoft YaHei" w:hAnsi="Microsoft YaHei" w:eastAsia="Microsoft YaHei"/>
          <w:color w:val="000000"/>
          <w:sz w:val="21"/>
        </w:rPr>
        <w:t>每个 Frame Buffer 必须关联 frame_id camera_id timestamp capture_status address stride width height pixel_format 和可选校验值。</w:t>
      </w:r>
    </w:p>
    <w:p>
      <w:pPr>
        <w:pStyle w:val="ListBullet"/>
        <w:spacing w:after="60" w:line="283" w:lineRule="auto"/>
        <w:ind w:left="397" w:hanging="142"/>
        <w:keepLines/>
      </w:pPr>
      <w:r>
        <w:rPr>
          <w:rFonts w:ascii="Microsoft YaHei" w:hAnsi="Microsoft YaHei" w:eastAsia="Microsoft YaHei"/>
          <w:color w:val="000000"/>
          <w:sz w:val="21"/>
        </w:rPr>
        <w:t>当所有缓冲区均非 FREE 时，必须明确选择覆盖最旧 READY 帧、丢弃新帧、降低采集速率或触发告警。策略待项目负责人确认。</w:t>
      </w:r>
    </w:p>
    <w:p>
      <w:pPr>
        <w:pStyle w:val="ListBullet"/>
        <w:spacing w:after="60" w:line="283" w:lineRule="auto"/>
        <w:ind w:left="397" w:hanging="142"/>
        <w:keepLines/>
      </w:pPr>
      <w:r>
        <w:rPr>
          <w:rFonts w:ascii="Microsoft YaHei" w:hAnsi="Microsoft YaHei" w:eastAsia="Microsoft YaHei"/>
          <w:color w:val="000000"/>
          <w:sz w:val="21"/>
        </w:rPr>
        <w:t>性能测试应同时记录 FIFO 最大水位、Frame Buffer 队列深度、丢帧数、重复帧数和处理完成帧数。</w:t>
      </w:r>
    </w:p>
    <w:p>
      <w:pPr>
        <w:pStyle w:val="ListBullet"/>
        <w:spacing w:after="60" w:line="283" w:lineRule="auto"/>
        <w:ind w:left="397" w:hanging="142"/>
        <w:keepLines/>
      </w:pPr>
      <w:r>
        <w:rPr>
          <w:rFonts w:ascii="Microsoft YaHei" w:hAnsi="Microsoft YaHei" w:eastAsia="Microsoft YaHei"/>
          <w:color w:val="000000"/>
          <w:sz w:val="21"/>
        </w:rPr>
        <w:t>双目模式下，左右帧应分别维护所有权；一侧帧超时后，配对管理器不得永久占用另一侧缓冲。</w:t>
      </w:r>
    </w:p>
    <w:p>
      <w:r>
        <w:br w:type="page"/>
      </w:r>
    </w:p>
    <w:p>
      <w:pPr>
        <w:pStyle w:val="Heading1"/>
        <w:keepNext/>
        <w:spacing w:before="180" w:after="100"/>
      </w:pPr>
      <w:r>
        <w:rPr>
          <w:rFonts w:ascii="Microsoft YaHei" w:hAnsi="Microsoft YaHei" w:eastAsia="Microsoft YaHei"/>
          <w:b/>
          <w:color w:val="000000"/>
          <w:sz w:val="32"/>
        </w:rPr>
        <w:t>四 模型训练需求</w:t>
      </w:r>
    </w:p>
    <w:p>
      <w:pPr>
        <w:pStyle w:val="Heading2"/>
        <w:keepNext/>
        <w:spacing w:before="140" w:after="100"/>
      </w:pPr>
      <w:r>
        <w:rPr>
          <w:rFonts w:ascii="Microsoft YaHei" w:hAnsi="Microsoft YaHei" w:eastAsia="Microsoft YaHei"/>
          <w:b/>
          <w:color w:val="000000"/>
          <w:sz w:val="26"/>
        </w:rPr>
        <w:t>四 一 任务定义</w:t>
      </w:r>
    </w:p>
    <w:p>
      <w:pPr>
        <w:spacing w:before="0" w:after="100" w:line="300" w:lineRule="auto"/>
        <w:keepLines/>
      </w:pPr>
      <w:r>
        <w:rPr>
          <w:rFonts w:ascii="Microsoft YaHei" w:hAnsi="Microsoft YaHei" w:eastAsia="Microsoft YaHei"/>
          <w:color w:val="000000"/>
          <w:sz w:val="21"/>
        </w:rPr>
        <w:t>首版任务建议定义为二维目标检测。模型对每个路标输出边界框、类别和置信度。若业务只需要判断整帧中是否存在某类路标，可在后处理阶段汇总检测结果；不建议在类别和位置均有需求时退化为整图分类。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需求项</w:t>
            </w:r>
          </w:p>
        </w:tc>
        <w:tc>
          <w:tcPr>
            <w:tcW w:type="dxa" w:w="453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要求</w:t>
            </w:r>
          </w:p>
        </w:tc>
        <w:tc>
          <w:tcPr>
            <w:tcW w:type="dxa" w:w="192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当前状态</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目标类别</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列出全部类别 中文名 英文名 class_id 和是否为关键类别</w:t>
            </w:r>
          </w:p>
        </w:tc>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忽略区域</w:t>
            </w:r>
          </w:p>
        </w:tc>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模糊到无法判定 严重遮挡 或标注规则排除的目标</w:t>
            </w:r>
          </w:p>
        </w:tc>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待确认规则</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最小目标</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以原图像素和模型输入像素分别定义最小可识别尺寸</w:t>
            </w:r>
          </w:p>
        </w:tc>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待确认并统计</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输出坐标</w:t>
            </w:r>
          </w:p>
        </w:tc>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建议统一为原图左上角坐标系中的 x1 y1 x2 y2</w:t>
            </w:r>
          </w:p>
        </w:tc>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建议值</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多标签关系</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同一物体仅一个类别 复合标志如何拆分</w:t>
            </w:r>
          </w:p>
        </w:tc>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处理场景</w:t>
            </w:r>
          </w:p>
        </w:tc>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白天 夜间 逆光 雨雾 运动模糊 遮挡 远距离</w:t>
            </w:r>
          </w:p>
        </w:tc>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需按实际工况确认</w:t>
            </w:r>
          </w:p>
        </w:tc>
      </w:tr>
    </w:tbl>
    <w:p>
      <w:pPr>
        <w:spacing w:after="20"/>
      </w:pPr>
    </w:p>
    <w:p>
      <w:pPr>
        <w:pStyle w:val="Heading2"/>
        <w:keepNext/>
        <w:spacing w:before="140" w:after="100"/>
      </w:pPr>
      <w:r>
        <w:rPr>
          <w:rFonts w:ascii="Microsoft YaHei" w:hAnsi="Microsoft YaHei" w:eastAsia="Microsoft YaHei"/>
          <w:b/>
          <w:color w:val="000000"/>
          <w:sz w:val="26"/>
        </w:rPr>
        <w:t>四 二 模型候选选择原则</w:t>
      </w:r>
    </w:p>
    <w:p>
      <w:pPr>
        <w:spacing w:before="0" w:after="100" w:line="300" w:lineRule="auto"/>
        <w:keepLines/>
      </w:pPr>
      <w:r>
        <w:rPr>
          <w:rFonts w:ascii="Microsoft YaHei" w:hAnsi="Microsoft YaHei" w:eastAsia="Microsoft YaHei"/>
          <w:color w:val="000000"/>
          <w:sz w:val="21"/>
        </w:rPr>
        <w:t>可以从 YOLO 类轻量检测器开始建立基线，但不得先锁定某一具体版本。算法工程师应先取得 NPU 算子支持清单和量化规则，再比较候选模型。候选比较必须同时报告精度、单帧 MAC 数、参数量、峰值特征图、INT8 模型大小、转换成功率和板端延迟。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53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维度</w:t>
            </w:r>
          </w:p>
        </w:tc>
        <w:tc>
          <w:tcPr>
            <w:tcW w:type="dxa" w:w="391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必须报告的内容</w:t>
            </w:r>
          </w:p>
        </w:tc>
        <w:tc>
          <w:tcPr>
            <w:tcW w:type="dxa" w:w="272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判定方法</w:t>
            </w:r>
          </w:p>
        </w:tc>
      </w:tr>
      <w:tr>
        <w:trPr>
          <w:cantSplit/>
        </w:trPr>
        <w:tc>
          <w:tcPr>
            <w:tcW w:type="dxa" w:w="153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精度</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mAP50 mAP50至95 每类 AP 召回率 混淆矩阵</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固定测试集和固定阈值</w:t>
            </w:r>
          </w:p>
        </w:tc>
      </w:tr>
      <w:tr>
        <w:trPr>
          <w:cantSplit/>
        </w:trPr>
        <w:tc>
          <w:tcPr>
            <w:tcW w:type="dxa" w:w="153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计算量</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单帧 MACs 或算子级计算量</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使用同一输入尺寸和同一统计工具</w:t>
            </w:r>
          </w:p>
        </w:tc>
      </w:tr>
      <w:tr>
        <w:trPr>
          <w:cantSplit/>
        </w:trPr>
        <w:tc>
          <w:tcPr>
            <w:tcW w:type="dxa" w:w="153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内存</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权重 峰值激活 临时缓冲 输入输出张量</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编译器报告加板端峰值记录</w:t>
            </w:r>
          </w:p>
        </w:tc>
      </w:tr>
      <w:tr>
        <w:trPr>
          <w:cantSplit/>
        </w:trPr>
        <w:tc>
          <w:tcPr>
            <w:tcW w:type="dxa" w:w="153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兼容性</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所有算子是否由 NPU 原生支持 是否发生 CPU 回退</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转换日志和运行时日志</w:t>
            </w:r>
          </w:p>
        </w:tc>
      </w:tr>
      <w:tr>
        <w:trPr>
          <w:cantSplit/>
        </w:trPr>
        <w:tc>
          <w:tcPr>
            <w:tcW w:type="dxa" w:w="153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性能</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P50 P95 P99 延迟 持续 FPS 功耗或温升如可测</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板端 batch 1 长稳测试</w:t>
            </w:r>
          </w:p>
        </w:tc>
      </w:tr>
    </w:tbl>
    <w:p>
      <w:pPr>
        <w:spacing w:after="20"/>
      </w:pPr>
    </w:p>
    <w:p>
      <w:pPr>
        <w:pStyle w:val="Heading2"/>
        <w:keepNext/>
        <w:spacing w:before="140" w:after="100"/>
      </w:pPr>
      <w:r>
        <w:rPr>
          <w:rFonts w:ascii="Microsoft YaHei" w:hAnsi="Microsoft YaHei" w:eastAsia="Microsoft YaHei"/>
          <w:b/>
          <w:color w:val="000000"/>
          <w:sz w:val="26"/>
        </w:rPr>
        <w:t>四 三 首版模型建议</w:t>
      </w:r>
    </w:p>
    <w:p>
      <w:pPr>
        <w:pStyle w:val="ListBullet"/>
        <w:spacing w:after="60" w:line="283" w:lineRule="auto"/>
        <w:ind w:left="397" w:hanging="142"/>
        <w:keepLines/>
      </w:pPr>
      <w:r>
        <w:rPr>
          <w:rFonts w:ascii="Microsoft YaHei" w:hAnsi="Microsoft YaHei" w:eastAsia="Microsoft YaHei"/>
          <w:color w:val="000000"/>
          <w:sz w:val="21"/>
        </w:rPr>
        <w:t>输入尺寸候选从 320 × 320 开始，同时至少评估一个更小和一个更大的候选。320 × 320 是建议值，不是已确认参数。</w:t>
      </w:r>
    </w:p>
    <w:p>
      <w:pPr>
        <w:pStyle w:val="ListBullet"/>
        <w:spacing w:after="60" w:line="283" w:lineRule="auto"/>
        <w:ind w:left="397" w:hanging="142"/>
        <w:keepLines/>
      </w:pPr>
      <w:r>
        <w:rPr>
          <w:rFonts w:ascii="Microsoft YaHei" w:hAnsi="Microsoft YaHei" w:eastAsia="Microsoft YaHei"/>
          <w:color w:val="000000"/>
          <w:sz w:val="21"/>
        </w:rPr>
        <w:t>优先采用常规卷积、深度可分离卷积、逐元素加法或乘法、拼接、最近邻上采样和 NPU 已支持的激活函数。</w:t>
      </w:r>
    </w:p>
    <w:p>
      <w:pPr>
        <w:pStyle w:val="ListBullet"/>
        <w:spacing w:after="60" w:line="283" w:lineRule="auto"/>
        <w:ind w:left="397" w:hanging="142"/>
        <w:keepLines/>
      </w:pPr>
      <w:r>
        <w:rPr>
          <w:rFonts w:ascii="Microsoft YaHei" w:hAnsi="Microsoft YaHei" w:eastAsia="Microsoft YaHei"/>
          <w:color w:val="000000"/>
          <w:sz w:val="21"/>
        </w:rPr>
        <w:t>batch 固定为 1，输入高宽固定，避免动态 shape。</w:t>
      </w:r>
    </w:p>
    <w:p>
      <w:pPr>
        <w:pStyle w:val="ListBullet"/>
        <w:spacing w:after="60" w:line="283" w:lineRule="auto"/>
        <w:ind w:left="397" w:hanging="142"/>
        <w:keepLines/>
      </w:pPr>
      <w:r>
        <w:rPr>
          <w:rFonts w:ascii="Microsoft YaHei" w:hAnsi="Microsoft YaHei" w:eastAsia="Microsoft YaHei"/>
          <w:color w:val="000000"/>
          <w:sz w:val="21"/>
        </w:rPr>
        <w:t>先训练 FP32 基线，再执行 PTQ。若量化精度不达标，使用 QAT，并保存浮点和量化模型的可比评估报告。</w:t>
      </w:r>
    </w:p>
    <w:p>
      <w:pPr>
        <w:pStyle w:val="ListBullet"/>
        <w:spacing w:after="60" w:line="283" w:lineRule="auto"/>
        <w:ind w:left="397" w:hanging="142"/>
        <w:keepLines/>
      </w:pPr>
      <w:r>
        <w:rPr>
          <w:rFonts w:ascii="Microsoft YaHei" w:hAnsi="Microsoft YaHei" w:eastAsia="Microsoft YaHei"/>
          <w:color w:val="000000"/>
          <w:sz w:val="21"/>
        </w:rPr>
        <w:t>模型结构必须考虑通道对齐和片上缓存，不仅比较参数量。某些小模型因算子碎片化或 DDR 访问频繁，板端反而更慢。</w:t>
      </w:r>
    </w:p>
    <w:p>
      <w:r>
        <w:br w:type="page"/>
      </w:r>
    </w:p>
    <w:p>
      <w:pPr>
        <w:pStyle w:val="Heading1"/>
        <w:keepNext/>
        <w:spacing w:before="180" w:after="100"/>
      </w:pPr>
      <w:r>
        <w:rPr>
          <w:rFonts w:ascii="Microsoft YaHei" w:hAnsi="Microsoft YaHei" w:eastAsia="Microsoft YaHei"/>
          <w:b/>
          <w:color w:val="000000"/>
          <w:sz w:val="32"/>
        </w:rPr>
        <w:t>五 数据集与标注规范</w:t>
      </w:r>
    </w:p>
    <w:p>
      <w:pPr>
        <w:pStyle w:val="Heading2"/>
        <w:keepNext/>
        <w:spacing w:before="140" w:after="100"/>
      </w:pPr>
      <w:r>
        <w:rPr>
          <w:rFonts w:ascii="Microsoft YaHei" w:hAnsi="Microsoft YaHei" w:eastAsia="Microsoft YaHei"/>
          <w:b/>
          <w:color w:val="000000"/>
          <w:sz w:val="26"/>
        </w:rPr>
        <w:t>五 一 数据来源和覆盖</w:t>
      </w:r>
    </w:p>
    <w:p>
      <w:pPr>
        <w:spacing w:before="0" w:after="100" w:line="300" w:lineRule="auto"/>
        <w:keepLines/>
      </w:pPr>
      <w:r>
        <w:rPr>
          <w:rFonts w:ascii="Microsoft YaHei" w:hAnsi="Microsoft YaHei" w:eastAsia="Microsoft YaHei"/>
          <w:color w:val="000000"/>
          <w:sz w:val="21"/>
        </w:rPr>
        <w:t>训练数据应优先来自目标摄像头、目标镜头、目标安装位置和目标行驶环境。公开数据可用于预训练或补充类别，但不能代替目标硬件实拍数据。数据清单必须记录采集日期、路线或场景、摄像头、分辨率、曝光模式、天气、时段和双目配对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41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维度</w:t>
            </w:r>
          </w:p>
        </w:tc>
        <w:tc>
          <w:tcPr>
            <w:tcW w:type="dxa" w:w="419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需要覆盖的条件</w:t>
            </w:r>
          </w:p>
        </w:tc>
        <w:tc>
          <w:tcPr>
            <w:tcW w:type="dxa" w:w="255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最低要求</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距离和尺寸</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近 中 远距离 小目标到大目标</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按边界框像素尺寸分桶统计</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光照</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顺光 逆光 阴影 黄昏 夜间 人工光</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测试集必须包含真实困难条件</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天气</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晴 阴 雨 雾或实际工况</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按项目使用环境确认</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运动</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静止 低速 高速 转弯 抖动</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覆盖实际曝光和运动模糊</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遮挡</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无遮挡 部分遮挡 边缘截断</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分别统计并规定可标注阈值</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负样本</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无路标 相似图案 广告牌 车辆灯光</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防止高置信度误检</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双目</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左右视图 同一时刻或近同步</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保留 pair_id 与时间差</w:t>
            </w:r>
          </w:p>
        </w:tc>
      </w:tr>
    </w:tbl>
    <w:p>
      <w:pPr>
        <w:spacing w:after="20"/>
      </w:pPr>
    </w:p>
    <w:p>
      <w:pPr>
        <w:pStyle w:val="Heading2"/>
        <w:keepNext/>
        <w:spacing w:before="140" w:after="100"/>
      </w:pPr>
      <w:r>
        <w:rPr>
          <w:rFonts w:ascii="Microsoft YaHei" w:hAnsi="Microsoft YaHei" w:eastAsia="Microsoft YaHei"/>
          <w:b/>
          <w:color w:val="000000"/>
          <w:sz w:val="26"/>
        </w:rPr>
        <w:t>五 二 标注格式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字段</w:t>
            </w:r>
          </w:p>
        </w:tc>
        <w:tc>
          <w:tcPr>
            <w:tcW w:type="dxa" w:w="345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定义</w:t>
            </w:r>
          </w:p>
        </w:tc>
        <w:tc>
          <w:tcPr>
            <w:tcW w:type="dxa" w:w="300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示例或约束</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image_id</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图像唯一标识</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全局唯一 不复用文件名</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camera_id</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左相机或右相机标识</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left right 或正式设备编号</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pair_id</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双目帧对标识</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未配对帧可为空但必须说明原因</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timestamp</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采集时间戳</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单位和时钟源待确认</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class_id</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连续整数类别编号</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从 0 开始 建议值</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bbox</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目标框</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建议保存绝对像素 x_min y_min x_max y_max</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occlusion</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遮挡等级</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none partial heavy 规则待确认</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truncated</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是否被画面边缘截断</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true false</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ignore</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是否只用于忽略而不计正负</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需定义评估行为</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quality_flag</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模糊 过曝 欠曝 异常帧</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允许多标签</w:t>
            </w:r>
          </w:p>
        </w:tc>
      </w:tr>
    </w:tbl>
    <w:p>
      <w:pPr>
        <w:spacing w:after="20"/>
      </w:pPr>
    </w:p>
    <w:p>
      <w:pPr>
        <w:pStyle w:val="Heading2"/>
        <w:keepNext/>
        <w:spacing w:before="140" w:after="100"/>
      </w:pPr>
      <w:r>
        <w:rPr>
          <w:rFonts w:ascii="Microsoft YaHei" w:hAnsi="Microsoft YaHei" w:eastAsia="Microsoft YaHei"/>
          <w:b/>
          <w:color w:val="000000"/>
          <w:sz w:val="26"/>
        </w:rPr>
        <w:t>五 三 标注规则</w:t>
      </w:r>
    </w:p>
    <w:p>
      <w:pPr>
        <w:pStyle w:val="ListBullet"/>
        <w:spacing w:after="60" w:line="283" w:lineRule="auto"/>
        <w:ind w:left="397" w:hanging="142"/>
        <w:keepLines/>
      </w:pPr>
      <w:r>
        <w:rPr>
          <w:rFonts w:ascii="Microsoft YaHei" w:hAnsi="Microsoft YaHei" w:eastAsia="Microsoft YaHei"/>
          <w:color w:val="000000"/>
          <w:sz w:val="21"/>
        </w:rPr>
        <w:t>边界框应紧贴路标可见外缘，不包含无关立杆和大面积背景。若业务希望检测整套标志结构，应另行定义。</w:t>
      </w:r>
    </w:p>
    <w:p>
      <w:pPr>
        <w:pStyle w:val="ListBullet"/>
        <w:spacing w:after="60" w:line="283" w:lineRule="auto"/>
        <w:ind w:left="397" w:hanging="142"/>
        <w:keepLines/>
      </w:pPr>
      <w:r>
        <w:rPr>
          <w:rFonts w:ascii="Microsoft YaHei" w:hAnsi="Microsoft YaHei" w:eastAsia="Microsoft YaHei"/>
          <w:color w:val="000000"/>
          <w:sz w:val="21"/>
        </w:rPr>
        <w:t>对被遮挡或截断目标规定可标注的最小可见比例。该阈值待确认，标注员不得凭个人判断变化。</w:t>
      </w:r>
    </w:p>
    <w:p>
      <w:pPr>
        <w:pStyle w:val="ListBullet"/>
        <w:spacing w:after="60" w:line="283" w:lineRule="auto"/>
        <w:ind w:left="397" w:hanging="142"/>
        <w:keepLines/>
      </w:pPr>
      <w:r>
        <w:rPr>
          <w:rFonts w:ascii="Microsoft YaHei" w:hAnsi="Microsoft YaHei" w:eastAsia="Microsoft YaHei"/>
          <w:color w:val="000000"/>
          <w:sz w:val="21"/>
        </w:rPr>
        <w:t>远距离目标若类别无法可靠辨认，应进入 ignore 或难例集合，不得强行猜测类别。</w:t>
      </w:r>
    </w:p>
    <w:p>
      <w:pPr>
        <w:pStyle w:val="ListBullet"/>
        <w:spacing w:after="60" w:line="283" w:lineRule="auto"/>
        <w:ind w:left="397" w:hanging="142"/>
        <w:keepLines/>
      </w:pPr>
      <w:r>
        <w:rPr>
          <w:rFonts w:ascii="Microsoft YaHei" w:hAnsi="Microsoft YaHei" w:eastAsia="Microsoft YaHei"/>
          <w:color w:val="000000"/>
          <w:sz w:val="21"/>
        </w:rPr>
        <w:t>复合路标、电子可变标志和临时施工标志是否作为独立类别，必须由类别表统一规定。</w:t>
      </w:r>
    </w:p>
    <w:p>
      <w:pPr>
        <w:pStyle w:val="ListBullet"/>
        <w:spacing w:after="60" w:line="283" w:lineRule="auto"/>
        <w:ind w:left="397" w:hanging="142"/>
        <w:keepLines/>
      </w:pPr>
      <w:r>
        <w:rPr>
          <w:rFonts w:ascii="Microsoft YaHei" w:hAnsi="Microsoft YaHei" w:eastAsia="Microsoft YaHei"/>
          <w:color w:val="000000"/>
          <w:sz w:val="21"/>
        </w:rPr>
        <w:t>左右相机中的同一物理目标可增加 object_pair_id，用于后续双目关联评估；首版若不做融合可作为可选字段。</w:t>
      </w:r>
    </w:p>
    <w:p>
      <w:pPr>
        <w:pStyle w:val="ListBullet"/>
        <w:spacing w:after="60" w:line="283" w:lineRule="auto"/>
        <w:ind w:left="397" w:hanging="142"/>
        <w:keepLines/>
      </w:pPr>
      <w:r>
        <w:rPr>
          <w:rFonts w:ascii="Microsoft YaHei" w:hAnsi="Microsoft YaHei" w:eastAsia="Microsoft YaHei"/>
          <w:color w:val="000000"/>
          <w:sz w:val="21"/>
        </w:rPr>
        <w:t>标注抽检应分两级进行。第一轮检查格式和漏标，第二轮由熟悉交通标志的审核者检查类别与边界框。抽检比例待确认。</w:t>
      </w:r>
    </w:p>
    <w:p>
      <w:pPr>
        <w:pStyle w:val="Heading2"/>
        <w:keepNext/>
        <w:spacing w:before="140" w:after="100"/>
      </w:pPr>
      <w:r>
        <w:rPr>
          <w:rFonts w:ascii="Microsoft YaHei" w:hAnsi="Microsoft YaHei" w:eastAsia="Microsoft YaHei"/>
          <w:b/>
          <w:color w:val="000000"/>
          <w:sz w:val="26"/>
        </w:rPr>
        <w:t>五 四 数据划分和防泄漏</w:t>
      </w:r>
    </w:p>
    <w:p>
      <w:pPr>
        <w:spacing w:before="0" w:after="100" w:line="300" w:lineRule="auto"/>
        <w:keepLines/>
      </w:pPr>
      <w:r>
        <w:rPr>
          <w:rFonts w:ascii="Microsoft YaHei" w:hAnsi="Microsoft YaHei" w:eastAsia="Microsoft YaHei"/>
          <w:color w:val="000000"/>
          <w:sz w:val="21"/>
        </w:rPr>
        <w:t>不得把同一视频中相邻帧随机分到训练集和测试集。相邻帧高度相似，会造成指标虚高。应按路线、日期、视频段或采集任务分组，再分为训练集、验证集和测试集。具体比例待数据规模确认，建议值为训练集 70% 到 80%、验证集 10% 到 15%、测试集 10% 到 15%。</w:t>
      </w:r>
    </w:p>
    <w:p>
      <w:pPr>
        <w:pStyle w:val="ListBullet"/>
        <w:spacing w:after="60" w:line="283" w:lineRule="auto"/>
        <w:ind w:left="397" w:hanging="142"/>
        <w:keepLines/>
      </w:pPr>
      <w:r>
        <w:rPr>
          <w:rFonts w:ascii="Microsoft YaHei" w:hAnsi="Microsoft YaHei" w:eastAsia="Microsoft YaHei"/>
          <w:color w:val="000000"/>
          <w:sz w:val="21"/>
        </w:rPr>
        <w:t>测试集冻结后只用于最终评估，不用于调参和选择数据增强。</w:t>
      </w:r>
    </w:p>
    <w:p>
      <w:pPr>
        <w:pStyle w:val="ListBullet"/>
        <w:spacing w:after="60" w:line="283" w:lineRule="auto"/>
        <w:ind w:left="397" w:hanging="142"/>
        <w:keepLines/>
      </w:pPr>
      <w:r>
        <w:rPr>
          <w:rFonts w:ascii="Microsoft YaHei" w:hAnsi="Microsoft YaHei" w:eastAsia="Microsoft YaHei"/>
          <w:color w:val="000000"/>
          <w:sz w:val="21"/>
        </w:rPr>
        <w:t>双目成对图像必须整体划入同一数据子集。</w:t>
      </w:r>
    </w:p>
    <w:p>
      <w:pPr>
        <w:pStyle w:val="ListBullet"/>
        <w:spacing w:after="60" w:line="283" w:lineRule="auto"/>
        <w:ind w:left="397" w:hanging="142"/>
        <w:keepLines/>
      </w:pPr>
      <w:r>
        <w:rPr>
          <w:rFonts w:ascii="Microsoft YaHei" w:hAnsi="Microsoft YaHei" w:eastAsia="Microsoft YaHei"/>
          <w:color w:val="000000"/>
          <w:sz w:val="21"/>
        </w:rPr>
        <w:t>每次数据版本发布必须附类别分布、目标尺寸分布、场景分布和重复图像检查报告。</w:t>
      </w:r>
    </w:p>
    <w:p>
      <w:pPr>
        <w:pStyle w:val="ListBullet"/>
        <w:spacing w:after="60" w:line="283" w:lineRule="auto"/>
        <w:ind w:left="397" w:hanging="142"/>
        <w:keepLines/>
      </w:pPr>
      <w:r>
        <w:rPr>
          <w:rFonts w:ascii="Microsoft YaHei" w:hAnsi="Microsoft YaHei" w:eastAsia="Microsoft YaHei"/>
          <w:color w:val="000000"/>
          <w:sz w:val="21"/>
        </w:rPr>
        <w:t>清洗规则、删除记录和重新标注记录必须可追溯。</w:t>
      </w:r>
    </w:p>
    <w:p>
      <w:r>
        <w:br w:type="page"/>
      </w:r>
    </w:p>
    <w:p>
      <w:pPr>
        <w:pStyle w:val="Heading1"/>
        <w:keepNext/>
        <w:spacing w:before="180" w:after="100"/>
      </w:pPr>
      <w:r>
        <w:rPr>
          <w:rFonts w:ascii="Microsoft YaHei" w:hAnsi="Microsoft YaHei" w:eastAsia="Microsoft YaHei"/>
          <w:b/>
          <w:color w:val="000000"/>
          <w:sz w:val="32"/>
        </w:rPr>
        <w:t>六 训练流程与可复现要求</w:t>
      </w:r>
    </w:p>
    <w:tbl>
      <w:tblPr>
        <w:tblW w:type="auto" w:w="0"/>
        <w:jc w:val="center"/>
        <w:tblLayout w:type="fixed"/>
        <w:tblLook w:firstColumn="1" w:firstRow="1" w:lastColumn="0" w:lastRow="0" w:noHBand="0" w:noVBand="1" w:val="04A0"/>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Grid>
        <w:gridCol w:w="9496"/>
      </w:tblGrid>
      <w:tr>
        <w:trPr>
          <w:tblHeader w:val="true"/>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000000"/>
                <w:sz w:val="20"/>
              </w:rPr>
              <w:t>冻结任务定义和类别表</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采集与导入数据  建立数据版本</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标注 审核 去重和数据统计</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建立 FP32 基线  比较输入尺寸和轻量模型</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根据 NPU 约束替换或消除不支持算子</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PTQ 校准  必要时执行 QAT</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导出 ONNX 和目标 NPU 格式  生成金样输入输出</w:t>
            </w:r>
          </w:p>
        </w:tc>
      </w:tr>
      <w:tr>
        <w:trPr>
          <w:cantSplit/>
        </w:trPr>
        <w:tc>
          <w:tcPr>
            <w:tcW w:type="dxa" w:w="7823"/>
            <w:tcMar>
              <w:top w:w="115" w:type="dxa"/>
              <w:start w:w="180" w:type="dxa"/>
              <w:bottom w:w="115" w:type="dxa"/>
              <w:end w:w="180" w:type="dxa"/>
            </w:tcMar>
            <w:shd w:fill="F3F7FB"/>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离线评估 板端性能测试 长稳测试</w:t>
            </w:r>
          </w:p>
        </w:tc>
      </w:tr>
      <w:tr>
        <w:trPr>
          <w:cantSplit/>
        </w:trPr>
        <w:tc>
          <w:tcPr>
            <w:tcW w:type="dxa" w:w="7823"/>
            <w:tcMar>
              <w:top w:w="115" w:type="dxa"/>
              <w:start w:w="180" w:type="dxa"/>
              <w:bottom w:w="115" w:type="dxa"/>
              <w:end w:w="180" w:type="dxa"/>
            </w:tcMar>
            <w:shd w:fill="DCE6F1"/>
          </w:tcPr>
          <w:p>
            <w:pPr>
              <w:spacing w:after="0"/>
              <w:jc w:val="center"/>
            </w:pPr>
            <w:r>
              <w:rPr>
                <w:rFonts w:ascii="Microsoft YaHei" w:hAnsi="Microsoft YaHei" w:eastAsia="Microsoft YaHei"/>
                <w:b/>
                <w:color w:val="2F5597"/>
                <w:sz w:val="22"/>
              </w:rPr>
              <w:t>↓</w:t>
              <w:br/>
            </w:r>
            <w:r>
              <w:rPr>
                <w:rFonts w:ascii="Microsoft YaHei" w:hAnsi="Microsoft YaHei" w:eastAsia="Microsoft YaHei"/>
                <w:b/>
                <w:color w:val="000000"/>
                <w:sz w:val="20"/>
              </w:rPr>
              <w:t>形成模型发布包和验收报告</w:t>
            </w:r>
          </w:p>
        </w:tc>
      </w:tr>
    </w:tbl>
    <w:p>
      <w:pPr>
        <w:spacing w:before="60" w:after="160"/>
        <w:jc w:val="center"/>
        <w:keepNext w:val="0"/>
      </w:pPr>
      <w:r>
        <w:rPr>
          <w:rFonts w:ascii="Microsoft YaHei" w:hAnsi="Microsoft YaHei" w:eastAsia="Microsoft YaHei"/>
          <w:color w:val="595959"/>
          <w:sz w:val="18"/>
        </w:rPr>
        <w:t>图二 模型训练到板端发布流程</w:t>
      </w:r>
    </w:p>
    <w:p>
      <w:pPr>
        <w:pStyle w:val="Heading2"/>
        <w:keepNext/>
        <w:spacing w:before="140" w:after="100"/>
      </w:pPr>
      <w:r>
        <w:rPr>
          <w:rFonts w:ascii="Microsoft YaHei" w:hAnsi="Microsoft YaHei" w:eastAsia="Microsoft YaHei"/>
          <w:b/>
          <w:color w:val="000000"/>
          <w:sz w:val="26"/>
        </w:rPr>
        <w:t>六 一 训练阶段要求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36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阶段</w:t>
            </w:r>
          </w:p>
        </w:tc>
        <w:tc>
          <w:tcPr>
            <w:tcW w:type="dxa" w:w="345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主要活动</w:t>
            </w:r>
          </w:p>
        </w:tc>
        <w:tc>
          <w:tcPr>
            <w:tcW w:type="dxa" w:w="334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必须保存的证据</w:t>
            </w:r>
          </w:p>
        </w:tc>
      </w:tr>
      <w:tr>
        <w:trPr>
          <w:cantSplit/>
        </w:trPr>
        <w:tc>
          <w:tcPr>
            <w:tcW w:type="dxa" w:w="136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基线</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选择一个可训练的轻量检测器 建立统一指标</w:t>
            </w:r>
          </w:p>
        </w:tc>
        <w:tc>
          <w:tcPr>
            <w:tcW w:type="dxa" w:w="33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代码提交 配置 随机种子 环境锁定文件 日志 权重</w:t>
            </w:r>
          </w:p>
        </w:tc>
      </w:tr>
      <w:tr>
        <w:trPr>
          <w:cantSplit/>
        </w:trPr>
        <w:tc>
          <w:tcPr>
            <w:tcW w:type="dxa" w:w="136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数据实验</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比较输入尺寸 增强策略 类别平衡</w:t>
            </w:r>
          </w:p>
        </w:tc>
        <w:tc>
          <w:tcPr>
            <w:tcW w:type="dxa" w:w="33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实验表和固定测试集指标</w:t>
            </w:r>
          </w:p>
        </w:tc>
      </w:tr>
      <w:tr>
        <w:trPr>
          <w:cantSplit/>
        </w:trPr>
        <w:tc>
          <w:tcPr>
            <w:tcW w:type="dxa" w:w="136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结构优化</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调整深度 宽度 检测头和通道数</w:t>
            </w:r>
          </w:p>
        </w:tc>
        <w:tc>
          <w:tcPr>
            <w:tcW w:type="dxa" w:w="33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MACs 参数量 峰值内存和兼容性</w:t>
            </w:r>
          </w:p>
        </w:tc>
      </w:tr>
      <w:tr>
        <w:trPr>
          <w:cantSplit/>
        </w:trPr>
        <w:tc>
          <w:tcPr>
            <w:tcW w:type="dxa" w:w="136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量化</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PTQ 校准或 QAT</w:t>
            </w:r>
          </w:p>
        </w:tc>
        <w:tc>
          <w:tcPr>
            <w:tcW w:type="dxa" w:w="33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量化配置 校准清单 精度对比</w:t>
            </w:r>
          </w:p>
        </w:tc>
      </w:tr>
      <w:tr>
        <w:trPr>
          <w:cantSplit/>
        </w:trPr>
        <w:tc>
          <w:tcPr>
            <w:tcW w:type="dxa" w:w="136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导出</w:t>
            </w:r>
          </w:p>
        </w:tc>
        <w:tc>
          <w:tcPr>
            <w:tcW w:type="dxa" w:w="345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生成 ONNX 和 NPU 文件</w:t>
            </w:r>
          </w:p>
        </w:tc>
        <w:tc>
          <w:tcPr>
            <w:tcW w:type="dxa" w:w="33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转换命令 编译器日志 模型哈希</w:t>
            </w:r>
          </w:p>
        </w:tc>
      </w:tr>
      <w:tr>
        <w:trPr>
          <w:cantSplit/>
        </w:trPr>
        <w:tc>
          <w:tcPr>
            <w:tcW w:type="dxa" w:w="136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板端验证</w:t>
            </w:r>
          </w:p>
        </w:tc>
        <w:tc>
          <w:tcPr>
            <w:tcW w:type="dxa" w:w="345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测量端到端延迟和持续吞吐</w:t>
            </w:r>
          </w:p>
        </w:tc>
        <w:tc>
          <w:tcPr>
            <w:tcW w:type="dxa" w:w="33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板卡版本 频率 温度 日志和原始结果</w:t>
            </w:r>
          </w:p>
        </w:tc>
      </w:tr>
    </w:tbl>
    <w:p>
      <w:pPr>
        <w:spacing w:after="20"/>
      </w:pPr>
    </w:p>
    <w:p>
      <w:pPr>
        <w:pStyle w:val="Heading2"/>
        <w:keepNext/>
        <w:spacing w:before="140" w:after="100"/>
      </w:pPr>
      <w:r>
        <w:rPr>
          <w:rFonts w:ascii="Microsoft YaHei" w:hAnsi="Microsoft YaHei" w:eastAsia="Microsoft YaHei"/>
          <w:b/>
          <w:color w:val="000000"/>
          <w:sz w:val="26"/>
        </w:rPr>
        <w:t>六 二 数据增强约束</w:t>
      </w:r>
    </w:p>
    <w:p>
      <w:pPr>
        <w:spacing w:before="0" w:after="100" w:line="300" w:lineRule="auto"/>
        <w:keepLines/>
      </w:pPr>
      <w:r>
        <w:rPr>
          <w:rFonts w:ascii="Microsoft YaHei" w:hAnsi="Microsoft YaHei" w:eastAsia="Microsoft YaHei"/>
          <w:color w:val="000000"/>
          <w:sz w:val="21"/>
        </w:rPr>
        <w:t>数据增强必须与真实摄像头可能出现的变化一致。颜色抖动、亮度、对比度、模糊、噪声、透视和尺度变化可以作为候选，但需要记录概率和参数范围。会改变路标语义的增强不得使用。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92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增强类型</w:t>
            </w:r>
          </w:p>
        </w:tc>
        <w:tc>
          <w:tcPr>
            <w:tcW w:type="dxa" w:w="198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建议</w:t>
            </w:r>
          </w:p>
        </w:tc>
        <w:tc>
          <w:tcPr>
            <w:tcW w:type="dxa" w:w="425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注意事项</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亮度 对比度 色温</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建议使用</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范围应来自目标摄像头真实统计</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运动模糊和降采样</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建议使用</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模拟车辆运动和远距离小目标</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随机缩放和平移</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建议使用</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不得让大多数目标被裁掉</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水平翻转</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默认谨慎</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某些方向类路标翻转后语义改变</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旋转</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小角度候选</w:t>
            </w:r>
          </w:p>
        </w:tc>
        <w:tc>
          <w:tcPr>
            <w:tcW w:type="dxa" w:w="42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角度范围应符合安装和道路场景</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Mosaic MixUp</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视模型和小目标效果评估</w:t>
            </w:r>
          </w:p>
        </w:tc>
        <w:tc>
          <w:tcPr>
            <w:tcW w:type="dxa" w:w="42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量化前需确认训练与真实分布差异</w:t>
            </w:r>
          </w:p>
        </w:tc>
      </w:tr>
    </w:tbl>
    <w:p>
      <w:pPr>
        <w:spacing w:after="20"/>
      </w:pPr>
    </w:p>
    <w:p>
      <w:pPr>
        <w:pStyle w:val="Heading2"/>
        <w:keepNext/>
        <w:spacing w:before="140" w:after="100"/>
      </w:pPr>
      <w:r>
        <w:rPr>
          <w:rFonts w:ascii="Microsoft YaHei" w:hAnsi="Microsoft YaHei" w:eastAsia="Microsoft YaHei"/>
          <w:b/>
          <w:color w:val="000000"/>
          <w:sz w:val="26"/>
        </w:rPr>
        <w:t>六 三 训练停止和模型选择</w:t>
      </w:r>
    </w:p>
    <w:p>
      <w:pPr>
        <w:pStyle w:val="ListBullet"/>
        <w:spacing w:after="60" w:line="283" w:lineRule="auto"/>
        <w:ind w:left="397" w:hanging="142"/>
        <w:keepLines/>
      </w:pPr>
      <w:r>
        <w:rPr>
          <w:rFonts w:ascii="Microsoft YaHei" w:hAnsi="Microsoft YaHei" w:eastAsia="Microsoft YaHei"/>
          <w:color w:val="000000"/>
          <w:sz w:val="21"/>
        </w:rPr>
        <w:t>模型选择不能只看验证集总体 mAP。关键类别召回率、小目标 AP、误检率和板端延迟必须同时进入选择表。</w:t>
      </w:r>
    </w:p>
    <w:p>
      <w:pPr>
        <w:pStyle w:val="ListBullet"/>
        <w:spacing w:after="60" w:line="283" w:lineRule="auto"/>
        <w:ind w:left="397" w:hanging="142"/>
        <w:keepLines/>
      </w:pPr>
      <w:r>
        <w:rPr>
          <w:rFonts w:ascii="Microsoft YaHei" w:hAnsi="Microsoft YaHei" w:eastAsia="Microsoft YaHei"/>
          <w:color w:val="000000"/>
          <w:sz w:val="21"/>
        </w:rPr>
        <w:t>早停、学习率、优化器、输入尺寸、训练轮次和随机种子均应写入配置文件。</w:t>
      </w:r>
    </w:p>
    <w:p>
      <w:pPr>
        <w:pStyle w:val="ListBullet"/>
        <w:spacing w:after="60" w:line="283" w:lineRule="auto"/>
        <w:ind w:left="397" w:hanging="142"/>
        <w:keepLines/>
      </w:pPr>
      <w:r>
        <w:rPr>
          <w:rFonts w:ascii="Microsoft YaHei" w:hAnsi="Microsoft YaHei" w:eastAsia="Microsoft YaHei"/>
          <w:color w:val="000000"/>
          <w:sz w:val="21"/>
        </w:rPr>
        <w:t>至少运行一次不同随机种子的复现实验，确认结果不是偶然波动。具体次数待算力预算确认。</w:t>
      </w:r>
    </w:p>
    <w:p>
      <w:pPr>
        <w:pStyle w:val="ListBullet"/>
        <w:spacing w:after="60" w:line="283" w:lineRule="auto"/>
        <w:ind w:left="397" w:hanging="142"/>
        <w:keepLines/>
      </w:pPr>
      <w:r>
        <w:rPr>
          <w:rFonts w:ascii="Microsoft YaHei" w:hAnsi="Microsoft YaHei" w:eastAsia="Microsoft YaHei"/>
          <w:color w:val="000000"/>
          <w:sz w:val="21"/>
        </w:rPr>
        <w:t>发布权重必须对应唯一的代码提交、数据版本和配置哈希。</w:t>
      </w:r>
    </w:p>
    <w:p>
      <w:r>
        <w:br w:type="page"/>
      </w:r>
    </w:p>
    <w:p>
      <w:pPr>
        <w:pStyle w:val="Heading1"/>
        <w:keepNext/>
        <w:spacing w:before="180" w:after="100"/>
      </w:pPr>
      <w:r>
        <w:rPr>
          <w:rFonts w:ascii="Microsoft YaHei" w:hAnsi="Microsoft YaHei" w:eastAsia="Microsoft YaHei"/>
          <w:b/>
          <w:color w:val="000000"/>
          <w:sz w:val="32"/>
        </w:rPr>
        <w:t>七 前处理定义</w:t>
      </w:r>
    </w:p>
    <w:p>
      <w:pPr>
        <w:pStyle w:val="Heading2"/>
        <w:keepNext/>
        <w:spacing w:before="140" w:after="100"/>
      </w:pPr>
      <w:r>
        <w:rPr>
          <w:rFonts w:ascii="Microsoft YaHei" w:hAnsi="Microsoft YaHei" w:eastAsia="Microsoft YaHei"/>
          <w:b/>
          <w:color w:val="000000"/>
          <w:sz w:val="26"/>
        </w:rPr>
        <w:t>七 一 前处理在系统中的位置</w:t>
      </w:r>
    </w:p>
    <w:p>
      <w:pPr>
        <w:spacing w:before="0" w:after="100" w:line="300" w:lineRule="auto"/>
        <w:keepLines/>
      </w:pPr>
      <w:r>
        <w:rPr>
          <w:rFonts w:ascii="Microsoft YaHei" w:hAnsi="Microsoft YaHei" w:eastAsia="Microsoft YaHei"/>
          <w:color w:val="000000"/>
          <w:sz w:val="21"/>
        </w:rPr>
        <w:t>前处理是模型输入准备，不等同于神经网络主体。软件训练框架可能把读取图像、缩放、填充、归一化和张量排列封装在一个数据加载器中，但 FPGA 上必须把这些步骤明确拆开，并为每一步定义数值规则。</w:t>
      </w:r>
    </w:p>
    <w:p>
      <w:pPr>
        <w:spacing w:before="0" w:after="100" w:line="300" w:lineRule="auto"/>
        <w:keepLines/>
      </w:pPr>
      <w:r>
        <w:rPr>
          <w:rFonts w:ascii="Microsoft YaHei" w:hAnsi="Microsoft YaHei" w:eastAsia="Microsoft YaHei"/>
          <w:color w:val="000000"/>
          <w:sz w:val="21"/>
        </w:rPr>
        <w:t>当前候选链路为 RGB565 解包、颜色通道确认、缩放、保持宽高比填充、数值归一化或直接量化、HWC 与 CHW 转换以及输入缓存写入。实际是否全部由 FPGA 硬件完成，取决于 NPU 输入接口和资源预算。</w:t>
      </w:r>
    </w:p>
    <w:p>
      <w:pPr>
        <w:pStyle w:val="Heading2"/>
        <w:keepNext/>
        <w:spacing w:before="140" w:after="100"/>
      </w:pPr>
      <w:r>
        <w:rPr>
          <w:rFonts w:ascii="Microsoft YaHei" w:hAnsi="Microsoft YaHei" w:eastAsia="Microsoft YaHei"/>
          <w:b/>
          <w:color w:val="000000"/>
          <w:sz w:val="26"/>
        </w:rPr>
        <w:t>七 二 RGB565 解包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5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项目</w:t>
            </w:r>
          </w:p>
        </w:tc>
        <w:tc>
          <w:tcPr>
            <w:tcW w:type="dxa" w:w="453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候选规则</w:t>
            </w:r>
          </w:p>
        </w:tc>
        <w:tc>
          <w:tcPr>
            <w:tcW w:type="dxa" w:w="187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状态</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位定义</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R 为 5 位 G 为 6 位 B 为 5 位</w:t>
            </w:r>
          </w:p>
        </w:tc>
        <w:tc>
          <w:tcPr>
            <w:tcW w:type="dxa" w:w="187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当前格式基线</w:t>
            </w:r>
          </w:p>
        </w:tc>
      </w:tr>
      <w:tr>
        <w:trPr>
          <w:cantSplit/>
        </w:trPr>
        <w:tc>
          <w:tcPr>
            <w:tcW w:type="dxa" w:w="175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扩展到 8 位</w:t>
            </w:r>
          </w:p>
        </w:tc>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R8 可用 R5 左移 3 位并复制高位 G8 可用 G6 左移 2 位并复制高位 B8 同 R8</w:t>
            </w:r>
          </w:p>
        </w:tc>
        <w:tc>
          <w:tcPr>
            <w:tcW w:type="dxa" w:w="187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建议值 需与训练代码一致</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字节序</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高低字节的到达和 DDR 存储顺序</w:t>
            </w:r>
          </w:p>
        </w:tc>
        <w:tc>
          <w:tcPr>
            <w:tcW w:type="dxa" w:w="187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待抓帧确认</w:t>
            </w:r>
          </w:p>
        </w:tc>
      </w:tr>
      <w:tr>
        <w:trPr>
          <w:cantSplit/>
        </w:trPr>
        <w:tc>
          <w:tcPr>
            <w:tcW w:type="dxa" w:w="175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通道序</w:t>
            </w:r>
          </w:p>
        </w:tc>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RGB 或 BGR</w:t>
            </w:r>
          </w:p>
        </w:tc>
        <w:tc>
          <w:tcPr>
            <w:tcW w:type="dxa" w:w="187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 不得依赖库默认值</w:t>
            </w:r>
          </w:p>
        </w:tc>
      </w:tr>
      <w:tr>
        <w:trPr>
          <w:cantSplit/>
        </w:trPr>
        <w:tc>
          <w:tcPr>
            <w:tcW w:type="dxa" w:w="175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截断与舍入</w:t>
            </w:r>
          </w:p>
        </w:tc>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每一步采用截断 近似舍入还是饱和</w:t>
            </w:r>
          </w:p>
        </w:tc>
        <w:tc>
          <w:tcPr>
            <w:tcW w:type="dxa" w:w="187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待确认并形成金样</w:t>
            </w:r>
          </w:p>
        </w:tc>
      </w:tr>
    </w:tbl>
    <w:p>
      <w:pPr>
        <w:spacing w:after="20"/>
      </w:pPr>
    </w:p>
    <w:p>
      <w:pPr>
        <w:pStyle w:val="Heading2"/>
        <w:keepNext/>
        <w:spacing w:before="140" w:after="100"/>
      </w:pPr>
      <w:r>
        <w:rPr>
          <w:rFonts w:ascii="Microsoft YaHei" w:hAnsi="Microsoft YaHei" w:eastAsia="Microsoft YaHei"/>
          <w:b/>
          <w:color w:val="000000"/>
          <w:sz w:val="26"/>
        </w:rPr>
        <w:t>七 三 缩放和保持宽高比</w:t>
      </w:r>
    </w:p>
    <w:p>
      <w:pPr>
        <w:spacing w:before="0" w:after="100" w:line="300" w:lineRule="auto"/>
        <w:keepLines/>
      </w:pPr>
      <w:r>
        <w:rPr>
          <w:rFonts w:ascii="Microsoft YaHei" w:hAnsi="Microsoft YaHei" w:eastAsia="Microsoft YaHei"/>
          <w:color w:val="000000"/>
          <w:sz w:val="21"/>
        </w:rPr>
        <w:t>若原图为 640 × 480 而模型输入为 320 × 320，推荐候选是先按宽度缩小到 320 × 240，再在上下各填充 40 行。此处的 320 × 320 和填充方式均为建议值。若模型输入尺寸改变，算法工程师必须重新生成完整参数。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48"/>
        <w:gridCol w:w="4748"/>
      </w:tblGrid>
      <w:tr>
        <w:trPr>
          <w:tblHeader w:val="true"/>
          <w:cantSplit/>
        </w:trPr>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字段</w:t>
            </w:r>
          </w:p>
        </w:tc>
        <w:tc>
          <w:tcPr>
            <w:tcW w:type="dxa" w:w="5896"/>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必须明确的规则</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resize_mode</w:t>
            </w:r>
          </w:p>
        </w:tc>
        <w:tc>
          <w:tcPr>
            <w:tcW w:type="dxa" w:w="5896"/>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nearest bilinear area 或 NPU 支持的其他方法</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scale_rule</w:t>
            </w:r>
          </w:p>
        </w:tc>
        <w:tc>
          <w:tcPr>
            <w:tcW w:type="dxa" w:w="5896"/>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保持宽高比或直接拉伸</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size_rounding</w:t>
            </w:r>
          </w:p>
        </w:tc>
        <w:tc>
          <w:tcPr>
            <w:tcW w:type="dxa" w:w="5896"/>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计算新宽高时向下 向上或四舍五入</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pixel_center</w:t>
            </w:r>
          </w:p>
        </w:tc>
        <w:tc>
          <w:tcPr>
            <w:tcW w:type="dxa" w:w="5896"/>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插值坐标是否使用 half pixel align corners 等定义</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padding_position</w:t>
            </w:r>
          </w:p>
        </w:tc>
        <w:tc>
          <w:tcPr>
            <w:tcW w:type="dxa" w:w="5896"/>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居中填充或固定到某侧 奇数像素如何分配</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padding_value</w:t>
            </w:r>
          </w:p>
        </w:tc>
        <w:tc>
          <w:tcPr>
            <w:tcW w:type="dxa" w:w="5896"/>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每个通道的填充值 例如 0 或 114 建议值待确认</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coordinate_mapping</w:t>
            </w:r>
          </w:p>
        </w:tc>
        <w:tc>
          <w:tcPr>
            <w:tcW w:type="dxa" w:w="5896"/>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模型坐标映射回原图时使用的 scale 和 pad</w:t>
            </w:r>
          </w:p>
        </w:tc>
      </w:tr>
    </w:tbl>
    <w:p>
      <w:pPr>
        <w:spacing w:after="20"/>
      </w:pPr>
    </w:p>
    <w:p>
      <w:pPr>
        <w:pStyle w:val="Heading2"/>
        <w:keepNext/>
        <w:spacing w:before="140" w:after="100"/>
      </w:pPr>
      <w:r>
        <w:rPr>
          <w:rFonts w:ascii="Microsoft YaHei" w:hAnsi="Microsoft YaHei" w:eastAsia="Microsoft YaHei"/>
          <w:b/>
          <w:color w:val="000000"/>
          <w:sz w:val="26"/>
        </w:rPr>
        <w:t>七 四 归一化和输入量化</w:t>
      </w:r>
    </w:p>
    <w:p>
      <w:pPr>
        <w:spacing w:before="0" w:after="100" w:line="300" w:lineRule="auto"/>
        <w:keepLines/>
      </w:pPr>
      <w:r>
        <w:rPr>
          <w:rFonts w:ascii="Microsoft YaHei" w:hAnsi="Microsoft YaHei" w:eastAsia="Microsoft YaHei"/>
          <w:color w:val="000000"/>
          <w:sz w:val="21"/>
        </w:rPr>
        <w:t>模型输入端不得只写归一化为 0 到 1。必须把公式、通道顺序、数据类型、舍入、饱和、scale 和 zero point 全部写清楚。若硬件希望省去 RGB888 中间结果，可以将颜色扩展、归一化和 INT8 量化融合，但融合后的整数结果必须与参考实现满足验收误差。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92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参数</w:t>
            </w:r>
          </w:p>
        </w:tc>
        <w:tc>
          <w:tcPr>
            <w:tcW w:type="dxa" w:w="31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示例写法</w:t>
            </w:r>
          </w:p>
        </w:tc>
        <w:tc>
          <w:tcPr>
            <w:tcW w:type="dxa" w:w="306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本项目状态</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输入数据类型</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uint8 int8 或其他</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 NPU 确认</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输入范围</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0 到 255 或负 128 到 127</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均值</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每通道 mean 数组</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待模型确认</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标准差</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每通道 std 数组</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待模型确认</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量化比例</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tensor scale</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由量化工具输出</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零点</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tensor zero_point</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由量化工具输出</w:t>
            </w:r>
          </w:p>
        </w:tc>
      </w:tr>
      <w:tr>
        <w:trPr>
          <w:cantSplit/>
        </w:trPr>
        <w:tc>
          <w:tcPr>
            <w:tcW w:type="dxa" w:w="192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舍入模式</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round to nearest ties to even 等</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必须与硬件一致</w:t>
            </w:r>
          </w:p>
        </w:tc>
      </w:tr>
      <w:tr>
        <w:trPr>
          <w:cantSplit/>
        </w:trPr>
        <w:tc>
          <w:tcPr>
            <w:tcW w:type="dxa" w:w="192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饱和规则</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超出范围后截到数据类型上下限</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必须明确</w:t>
            </w:r>
          </w:p>
        </w:tc>
      </w:tr>
    </w:tbl>
    <w:p>
      <w:pPr>
        <w:spacing w:after="20"/>
      </w:pPr>
    </w:p>
    <w:p>
      <w:pPr>
        <w:pStyle w:val="Heading2"/>
        <w:keepNext/>
        <w:spacing w:before="140" w:after="100"/>
      </w:pPr>
      <w:r>
        <w:rPr>
          <w:rFonts w:ascii="Microsoft YaHei" w:hAnsi="Microsoft YaHei" w:eastAsia="Microsoft YaHei"/>
          <w:b/>
          <w:color w:val="000000"/>
          <w:sz w:val="26"/>
        </w:rPr>
        <w:t>七 五 张量布局和内存格式</w:t>
      </w:r>
    </w:p>
    <w:p>
      <w:pPr>
        <w:pStyle w:val="ListBullet"/>
        <w:spacing w:after="60" w:line="283" w:lineRule="auto"/>
        <w:ind w:left="397" w:hanging="142"/>
        <w:keepLines/>
      </w:pPr>
      <w:r>
        <w:rPr>
          <w:rFonts w:ascii="Microsoft YaHei" w:hAnsi="Microsoft YaHei" w:eastAsia="Microsoft YaHei"/>
          <w:color w:val="000000"/>
          <w:sz w:val="21"/>
        </w:rPr>
        <w:t>明确 NCHW 或 NHWC，首维 batch 固定为 1。</w:t>
      </w:r>
    </w:p>
    <w:p>
      <w:pPr>
        <w:pStyle w:val="ListBullet"/>
        <w:spacing w:after="60" w:line="283" w:lineRule="auto"/>
        <w:ind w:left="397" w:hanging="142"/>
        <w:keepLines/>
      </w:pPr>
      <w:r>
        <w:rPr>
          <w:rFonts w:ascii="Microsoft YaHei" w:hAnsi="Microsoft YaHei" w:eastAsia="Microsoft YaHei"/>
          <w:color w:val="000000"/>
          <w:sz w:val="21"/>
        </w:rPr>
        <w:t>明确行跨度、通道对齐、首地址对齐、字节序和是否存在 padding channel。</w:t>
      </w:r>
    </w:p>
    <w:p>
      <w:pPr>
        <w:pStyle w:val="ListBullet"/>
        <w:spacing w:after="60" w:line="283" w:lineRule="auto"/>
        <w:ind w:left="397" w:hanging="142"/>
        <w:keepLines/>
      </w:pPr>
      <w:r>
        <w:rPr>
          <w:rFonts w:ascii="Microsoft YaHei" w:hAnsi="Microsoft YaHei" w:eastAsia="Microsoft YaHei"/>
          <w:color w:val="000000"/>
          <w:sz w:val="21"/>
        </w:rPr>
        <w:t>明确输入缓存由谁分配、何时可写、何时可读、缓存刷新和 DMA 同步方式。</w:t>
      </w:r>
    </w:p>
    <w:p>
      <w:pPr>
        <w:pStyle w:val="ListBullet"/>
        <w:spacing w:after="60" w:line="283" w:lineRule="auto"/>
        <w:ind w:left="397" w:hanging="142"/>
        <w:keepLines/>
      </w:pPr>
      <w:r>
        <w:rPr>
          <w:rFonts w:ascii="Microsoft YaHei" w:hAnsi="Microsoft YaHei" w:eastAsia="Microsoft YaHei"/>
          <w:color w:val="000000"/>
          <w:sz w:val="21"/>
        </w:rPr>
        <w:t>若 NPU 编译器在模型内部插入 layout conversion，应在编译报告中记录其延迟和内存开销。</w:t>
      </w:r>
    </w:p>
    <w:p>
      <w:r>
        <w:br w:type="page"/>
      </w:r>
    </w:p>
    <w:p>
      <w:pPr>
        <w:pStyle w:val="Heading1"/>
        <w:keepNext/>
        <w:spacing w:before="180" w:after="100"/>
      </w:pPr>
      <w:r>
        <w:rPr>
          <w:rFonts w:ascii="Microsoft YaHei" w:hAnsi="Microsoft YaHei" w:eastAsia="Microsoft YaHei"/>
          <w:b/>
          <w:color w:val="000000"/>
          <w:sz w:val="32"/>
        </w:rPr>
        <w:t>八 硬件前处理与软件训练一致性</w:t>
      </w:r>
    </w:p>
    <w:p>
      <w:pPr>
        <w:pStyle w:val="Heading2"/>
        <w:keepNext/>
        <w:spacing w:before="140" w:after="100"/>
      </w:pPr>
      <w:r>
        <w:rPr>
          <w:rFonts w:ascii="Microsoft YaHei" w:hAnsi="Microsoft YaHei" w:eastAsia="Microsoft YaHei"/>
          <w:b/>
          <w:color w:val="000000"/>
          <w:sz w:val="26"/>
        </w:rPr>
        <w:t>八 一 一致性原则</w:t>
      </w:r>
    </w:p>
    <w:p>
      <w:pPr>
        <w:spacing w:before="0" w:after="100" w:line="300" w:lineRule="auto"/>
        <w:keepLines/>
      </w:pPr>
      <w:r>
        <w:rPr>
          <w:rFonts w:ascii="Microsoft YaHei" w:hAnsi="Microsoft YaHei" w:eastAsia="Microsoft YaHei"/>
          <w:color w:val="000000"/>
          <w:sz w:val="21"/>
        </w:rPr>
        <w:t>训练和部署必须使用同一份前处理规范。软件参考实现是算法语义基准，硬件实现可以流水化、融合或改变执行顺序，但输出张量必须满足位精确或明确的误差容限。禁止在训练脚本、评估脚本、模型导出脚本和 FPGA RTL 中分别维护互不关联的常量。</w:t>
      </w:r>
    </w:p>
    <w:p>
      <w:pPr>
        <w:pStyle w:val="Heading2"/>
        <w:keepNext/>
        <w:spacing w:before="140" w:after="100"/>
      </w:pPr>
      <w:r>
        <w:rPr>
          <w:rFonts w:ascii="Microsoft YaHei" w:hAnsi="Microsoft YaHei" w:eastAsia="Microsoft YaHei"/>
          <w:b/>
          <w:color w:val="000000"/>
          <w:sz w:val="26"/>
        </w:rPr>
        <w:t>八 二 金样测试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41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测试层级</w:t>
            </w:r>
          </w:p>
        </w:tc>
        <w:tc>
          <w:tcPr>
            <w:tcW w:type="dxa" w:w="23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输入</w:t>
            </w:r>
          </w:p>
        </w:tc>
        <w:tc>
          <w:tcPr>
            <w:tcW w:type="dxa" w:w="23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对比对象</w:t>
            </w:r>
          </w:p>
        </w:tc>
        <w:tc>
          <w:tcPr>
            <w:tcW w:type="dxa" w:w="198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验收方法</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像素级</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已知 RGB565 像素集合</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软件解包与 RTL 解包</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逐像素逐通道一致</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图像级</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色条 棋盘格 单色 边界尺寸图</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resize letterbox 输出</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逐像素比较并统计最大误差</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张量级</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至少 20 到 100 张代表图像 建议值</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软件输入张量与 FPGA 输出张量</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哈希或逐元素误差报告</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模型级</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同一张量</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PC 推理与板端 NPU 输出</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输出张量和最终检测结果比较</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端到端</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真实摄像头帧</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离线链路与板端链路</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类别 置信度 框坐标和帧号</w:t>
            </w:r>
          </w:p>
        </w:tc>
      </w:tr>
    </w:tbl>
    <w:p>
      <w:pPr>
        <w:spacing w:after="20"/>
      </w:pPr>
    </w:p>
    <w:p>
      <w:pPr>
        <w:pStyle w:val="Heading2"/>
        <w:keepNext/>
        <w:spacing w:before="140" w:after="100"/>
      </w:pPr>
      <w:r>
        <w:rPr>
          <w:rFonts w:ascii="Microsoft YaHei" w:hAnsi="Microsoft YaHei" w:eastAsia="Microsoft YaHei"/>
          <w:b/>
          <w:color w:val="000000"/>
          <w:sz w:val="26"/>
        </w:rPr>
        <w:t>八 三 一致性测试样例</w:t>
      </w:r>
    </w:p>
    <w:p>
      <w:pPr>
        <w:pStyle w:val="ListBullet"/>
        <w:spacing w:after="60" w:line="283" w:lineRule="auto"/>
        <w:ind w:left="397" w:hanging="142"/>
        <w:keepLines/>
      </w:pPr>
      <w:r>
        <w:rPr>
          <w:rFonts w:ascii="Microsoft YaHei" w:hAnsi="Microsoft YaHei" w:eastAsia="Microsoft YaHei"/>
          <w:color w:val="000000"/>
          <w:sz w:val="21"/>
        </w:rPr>
        <w:t>RGB565 极值和边界位模式，例如全零、全一、仅 R 最高位、仅 G 最低位。</w:t>
      </w:r>
    </w:p>
    <w:p>
      <w:pPr>
        <w:pStyle w:val="ListBullet"/>
        <w:spacing w:after="60" w:line="283" w:lineRule="auto"/>
        <w:ind w:left="397" w:hanging="142"/>
        <w:keepLines/>
      </w:pPr>
      <w:r>
        <w:rPr>
          <w:rFonts w:ascii="Microsoft YaHei" w:hAnsi="Microsoft YaHei" w:eastAsia="Microsoft YaHei"/>
          <w:color w:val="000000"/>
          <w:sz w:val="21"/>
        </w:rPr>
        <w:t>输入宽高为奇数、填充为奇数、边界像素和最后一行最后一列。</w:t>
      </w:r>
    </w:p>
    <w:p>
      <w:pPr>
        <w:pStyle w:val="ListBullet"/>
        <w:spacing w:after="60" w:line="283" w:lineRule="auto"/>
        <w:ind w:left="397" w:hanging="142"/>
        <w:keepLines/>
      </w:pPr>
      <w:r>
        <w:rPr>
          <w:rFonts w:ascii="Microsoft YaHei" w:hAnsi="Microsoft YaHei" w:eastAsia="Microsoft YaHei"/>
          <w:color w:val="000000"/>
          <w:sz w:val="21"/>
        </w:rPr>
        <w:t>纯色图、水平和垂直渐变、棋盘格、单像素亮点，用于暴露通道、步长和插值错误。</w:t>
      </w:r>
    </w:p>
    <w:p>
      <w:pPr>
        <w:pStyle w:val="ListBullet"/>
        <w:spacing w:after="60" w:line="283" w:lineRule="auto"/>
        <w:ind w:left="397" w:hanging="142"/>
        <w:keepLines/>
      </w:pPr>
      <w:r>
        <w:rPr>
          <w:rFonts w:ascii="Microsoft YaHei" w:hAnsi="Microsoft YaHei" w:eastAsia="Microsoft YaHei"/>
          <w:color w:val="000000"/>
          <w:sz w:val="21"/>
        </w:rPr>
        <w:t>量化临界值，包括恰好位于舍入边界、超过上下限和 zero point 附近的值。</w:t>
      </w:r>
    </w:p>
    <w:p>
      <w:pPr>
        <w:pStyle w:val="ListBullet"/>
        <w:spacing w:after="60" w:line="283" w:lineRule="auto"/>
        <w:ind w:left="397" w:hanging="142"/>
        <w:keepLines/>
      </w:pPr>
      <w:r>
        <w:rPr>
          <w:rFonts w:ascii="Microsoft YaHei" w:hAnsi="Microsoft YaHei" w:eastAsia="Microsoft YaHei"/>
          <w:color w:val="000000"/>
          <w:sz w:val="21"/>
        </w:rPr>
        <w:t>正常路标图、远距离小目标图、运动模糊图和无目标负样本。</w:t>
      </w:r>
    </w:p>
    <w:p>
      <w:pPr>
        <w:pStyle w:val="Heading2"/>
        <w:keepNext/>
        <w:spacing w:before="140" w:after="100"/>
      </w:pPr>
      <w:r>
        <w:rPr>
          <w:rFonts w:ascii="Microsoft YaHei" w:hAnsi="Microsoft YaHei" w:eastAsia="Microsoft YaHei"/>
          <w:b/>
          <w:color w:val="000000"/>
          <w:sz w:val="26"/>
        </w:rPr>
        <w:t>八 四 参考实现交付要求</w:t>
      </w:r>
    </w:p>
    <w:p>
      <w:pPr>
        <w:spacing w:before="0" w:after="100" w:line="300" w:lineRule="auto"/>
        <w:keepLines/>
      </w:pPr>
      <w:r>
        <w:rPr>
          <w:rFonts w:ascii="Microsoft YaHei" w:hAnsi="Microsoft YaHei" w:eastAsia="Microsoft YaHei"/>
          <w:color w:val="000000"/>
          <w:sz w:val="21"/>
        </w:rPr>
        <w:t>算法工程师必须提供独立于训练框架数据加载器的前处理参考函数。函数输入为明确字节序的 RGB565 帧和配置文件，输出为可保存的 NPU 输入张量，并同时输出 scale、pad 和坐标映射元数据。参考函数必须可在固定输入上生成稳定结果。</w:t>
      </w:r>
    </w:p>
    <w:p>
      <w:r>
        <w:br w:type="page"/>
      </w:r>
    </w:p>
    <w:p>
      <w:pPr>
        <w:pStyle w:val="Heading1"/>
        <w:keepNext/>
        <w:spacing w:before="180" w:after="100"/>
      </w:pPr>
      <w:r>
        <w:rPr>
          <w:rFonts w:ascii="Microsoft YaHei" w:hAnsi="Microsoft YaHei" w:eastAsia="Microsoft YaHei"/>
          <w:b/>
          <w:color w:val="000000"/>
          <w:sz w:val="32"/>
        </w:rPr>
        <w:t>九 模型轻量化 INT8 量化和算子约束</w:t>
      </w:r>
    </w:p>
    <w:p>
      <w:pPr>
        <w:pStyle w:val="Heading2"/>
        <w:keepNext/>
        <w:spacing w:before="140" w:after="100"/>
      </w:pPr>
      <w:r>
        <w:rPr>
          <w:rFonts w:ascii="Microsoft YaHei" w:hAnsi="Microsoft YaHei" w:eastAsia="Microsoft YaHei"/>
          <w:b/>
          <w:color w:val="000000"/>
          <w:sz w:val="26"/>
        </w:rPr>
        <w:t>九 一 轻量化优先级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13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优先级</w:t>
            </w:r>
          </w:p>
        </w:tc>
        <w:tc>
          <w:tcPr>
            <w:tcW w:type="dxa" w:w="255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方法</w:t>
            </w:r>
          </w:p>
        </w:tc>
        <w:tc>
          <w:tcPr>
            <w:tcW w:type="dxa" w:w="447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原因与检查项</w:t>
            </w:r>
          </w:p>
        </w:tc>
      </w:tr>
      <w:tr>
        <w:trPr>
          <w:cantSplit/>
        </w:trPr>
        <w:tc>
          <w:tcPr>
            <w:tcW w:type="dxa" w:w="113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一</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选择合适输入尺寸</w:t>
            </w:r>
          </w:p>
        </w:tc>
        <w:tc>
          <w:tcPr>
            <w:tcW w:type="dxa" w:w="447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计算量近似随像素数量增长 但需重点检查小目标精度</w:t>
            </w:r>
          </w:p>
        </w:tc>
      </w:tr>
      <w:tr>
        <w:trPr>
          <w:cantSplit/>
        </w:trPr>
        <w:tc>
          <w:tcPr>
            <w:tcW w:type="dxa" w:w="113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二</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缩减网络宽度和深度</w:t>
            </w:r>
          </w:p>
        </w:tc>
        <w:tc>
          <w:tcPr>
            <w:tcW w:type="dxa" w:w="447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同时检查通道对齐和 NPU 阵列利用率</w:t>
            </w:r>
          </w:p>
        </w:tc>
      </w:tr>
      <w:tr>
        <w:trPr>
          <w:cantSplit/>
        </w:trPr>
        <w:tc>
          <w:tcPr>
            <w:tcW w:type="dxa" w:w="113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三</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选择高效卷积和检测头</w:t>
            </w:r>
          </w:p>
        </w:tc>
        <w:tc>
          <w:tcPr>
            <w:tcW w:type="dxa" w:w="447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避免大量小算子和频繁 DDR 往返</w:t>
            </w:r>
          </w:p>
        </w:tc>
      </w:tr>
      <w:tr>
        <w:trPr>
          <w:cantSplit/>
        </w:trPr>
        <w:tc>
          <w:tcPr>
            <w:tcW w:type="dxa" w:w="113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四</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结构化剪枝</w:t>
            </w:r>
          </w:p>
        </w:tc>
        <w:tc>
          <w:tcPr>
            <w:tcW w:type="dxa" w:w="447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剪枝后必须真实减少通道并重新编译测量</w:t>
            </w:r>
          </w:p>
        </w:tc>
      </w:tr>
      <w:tr>
        <w:trPr>
          <w:cantSplit/>
        </w:trPr>
        <w:tc>
          <w:tcPr>
            <w:tcW w:type="dxa" w:w="113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五</w:t>
            </w:r>
          </w:p>
        </w:tc>
        <w:tc>
          <w:tcPr>
            <w:tcW w:type="dxa" w:w="255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知识蒸馏</w:t>
            </w:r>
          </w:p>
        </w:tc>
        <w:tc>
          <w:tcPr>
            <w:tcW w:type="dxa" w:w="447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训练阶段提升小模型精度 不增加部署算子为优先</w:t>
            </w:r>
          </w:p>
        </w:tc>
      </w:tr>
      <w:tr>
        <w:trPr>
          <w:cantSplit/>
        </w:trPr>
        <w:tc>
          <w:tcPr>
            <w:tcW w:type="dxa" w:w="113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六</w:t>
            </w:r>
          </w:p>
        </w:tc>
        <w:tc>
          <w:tcPr>
            <w:tcW w:type="dxa" w:w="255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算子融合</w:t>
            </w:r>
          </w:p>
        </w:tc>
        <w:tc>
          <w:tcPr>
            <w:tcW w:type="dxa" w:w="447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由编译器或模型重参数化实现 需检查结果一致性</w:t>
            </w:r>
          </w:p>
        </w:tc>
      </w:tr>
    </w:tbl>
    <w:p>
      <w:pPr>
        <w:spacing w:after="20"/>
      </w:pPr>
    </w:p>
    <w:p>
      <w:pPr>
        <w:pStyle w:val="Heading2"/>
        <w:keepNext/>
        <w:spacing w:before="140" w:after="100"/>
      </w:pPr>
      <w:r>
        <w:rPr>
          <w:rFonts w:ascii="Microsoft YaHei" w:hAnsi="Microsoft YaHei" w:eastAsia="Microsoft YaHei"/>
          <w:b/>
          <w:color w:val="000000"/>
          <w:sz w:val="26"/>
        </w:rPr>
        <w:t>九 二 INT8 量化策略</w:t>
      </w:r>
    </w:p>
    <w:p>
      <w:pPr>
        <w:pStyle w:val="ListBullet"/>
        <w:spacing w:after="60" w:line="283" w:lineRule="auto"/>
        <w:ind w:left="397" w:hanging="142"/>
        <w:keepLines/>
      </w:pPr>
      <w:r>
        <w:rPr>
          <w:rFonts w:ascii="Microsoft YaHei" w:hAnsi="Microsoft YaHei" w:eastAsia="Microsoft YaHei"/>
          <w:color w:val="000000"/>
          <w:sz w:val="21"/>
        </w:rPr>
        <w:t>先建立未量化模型指标，再执行 PTQ。校准集应覆盖真实亮度、目标尺度、背景和类别分布，不得只选容易样本。</w:t>
      </w:r>
    </w:p>
    <w:p>
      <w:pPr>
        <w:pStyle w:val="ListBullet"/>
        <w:spacing w:after="60" w:line="283" w:lineRule="auto"/>
        <w:ind w:left="397" w:hanging="142"/>
        <w:keepLines/>
      </w:pPr>
      <w:r>
        <w:rPr>
          <w:rFonts w:ascii="Microsoft YaHei" w:hAnsi="Microsoft YaHei" w:eastAsia="Microsoft YaHei"/>
          <w:color w:val="000000"/>
          <w:sz w:val="21"/>
        </w:rPr>
        <w:t>若 PTQ 造成关键类别召回率或总体精度不可接受的下降，执行 QAT。可接受下降阈值待项目负责人确认。</w:t>
      </w:r>
    </w:p>
    <w:p>
      <w:pPr>
        <w:pStyle w:val="ListBullet"/>
        <w:spacing w:after="60" w:line="283" w:lineRule="auto"/>
        <w:ind w:left="397" w:hanging="142"/>
        <w:keepLines/>
      </w:pPr>
      <w:r>
        <w:rPr>
          <w:rFonts w:ascii="Microsoft YaHei" w:hAnsi="Microsoft YaHei" w:eastAsia="Microsoft YaHei"/>
          <w:color w:val="000000"/>
          <w:sz w:val="21"/>
        </w:rPr>
        <w:t>权重采用 per tensor 或 per channel、激活采用对称或非对称量化，必须以 NPU 编译器支持为准。不得先按通用经验写死。</w:t>
      </w:r>
    </w:p>
    <w:p>
      <w:pPr>
        <w:pStyle w:val="ListBullet"/>
        <w:spacing w:after="60" w:line="283" w:lineRule="auto"/>
        <w:ind w:left="397" w:hanging="142"/>
        <w:keepLines/>
      </w:pPr>
      <w:r>
        <w:rPr>
          <w:rFonts w:ascii="Microsoft YaHei" w:hAnsi="Microsoft YaHei" w:eastAsia="Microsoft YaHei"/>
          <w:color w:val="000000"/>
          <w:sz w:val="21"/>
        </w:rPr>
        <w:t>逐层输出或敏感度分析应定位量化损失来源。必要时保留少量高精度层，但前提是 NPU 支持且板端性能达标。</w:t>
      </w:r>
    </w:p>
    <w:p>
      <w:pPr>
        <w:pStyle w:val="ListBullet"/>
        <w:spacing w:after="60" w:line="283" w:lineRule="auto"/>
        <w:ind w:left="397" w:hanging="142"/>
        <w:keepLines/>
      </w:pPr>
      <w:r>
        <w:rPr>
          <w:rFonts w:ascii="Microsoft YaHei" w:hAnsi="Microsoft YaHei" w:eastAsia="Microsoft YaHei"/>
          <w:color w:val="000000"/>
          <w:sz w:val="21"/>
        </w:rPr>
        <w:t>最终量化模型必须保存量化参数、校准数据清单、工具版本、转换命令和精度对比。</w:t>
      </w:r>
    </w:p>
    <w:p>
      <w:pPr>
        <w:pStyle w:val="Heading2"/>
        <w:keepNext/>
        <w:spacing w:before="140" w:after="100"/>
      </w:pPr>
      <w:r>
        <w:rPr>
          <w:rFonts w:ascii="Microsoft YaHei" w:hAnsi="Microsoft YaHei" w:eastAsia="Microsoft YaHei"/>
          <w:b/>
          <w:color w:val="000000"/>
          <w:sz w:val="26"/>
        </w:rPr>
        <w:t>九 三 算子白名单与风险算子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30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类型</w:t>
            </w:r>
          </w:p>
        </w:tc>
        <w:tc>
          <w:tcPr>
            <w:tcW w:type="dxa" w:w="379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候选算子</w:t>
            </w:r>
          </w:p>
        </w:tc>
        <w:tc>
          <w:tcPr>
            <w:tcW w:type="dxa" w:w="306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要求</w:t>
            </w:r>
          </w:p>
        </w:tc>
      </w:tr>
      <w:tr>
        <w:trPr>
          <w:cantSplit/>
        </w:trPr>
        <w:tc>
          <w:tcPr>
            <w:tcW w:type="dxa" w:w="130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优先</w:t>
            </w:r>
          </w:p>
        </w:tc>
        <w:tc>
          <w:tcPr>
            <w:tcW w:type="dxa" w:w="379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Conv DepthwiseConv Add Mul Concat ReLU 或已支持激活 Pool</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以目标 NPU 白名单为准</w:t>
            </w:r>
          </w:p>
        </w:tc>
      </w:tr>
      <w:tr>
        <w:trPr>
          <w:cantSplit/>
        </w:trPr>
        <w:tc>
          <w:tcPr>
            <w:tcW w:type="dxa" w:w="130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需验证</w:t>
            </w:r>
          </w:p>
        </w:tc>
        <w:tc>
          <w:tcPr>
            <w:tcW w:type="dxa" w:w="379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Resize Sigmoid SiLU LeakyReLU Focus Slice Transpose</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确认是否融合 是否落到 CPU 延迟多少</w:t>
            </w:r>
          </w:p>
        </w:tc>
      </w:tr>
      <w:tr>
        <w:trPr>
          <w:cantSplit/>
        </w:trPr>
        <w:tc>
          <w:tcPr>
            <w:tcW w:type="dxa" w:w="130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高风险</w:t>
            </w:r>
          </w:p>
        </w:tc>
        <w:tc>
          <w:tcPr>
            <w:tcW w:type="dxa" w:w="379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动态 shape 动态索引 ROIAlign DeformableConv GridSample 自定义插件</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首版尽量避免 除非 NPU 原生支持</w:t>
            </w:r>
          </w:p>
        </w:tc>
      </w:tr>
      <w:tr>
        <w:trPr>
          <w:cantSplit/>
        </w:trPr>
        <w:tc>
          <w:tcPr>
            <w:tcW w:type="dxa" w:w="130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后处理</w:t>
            </w:r>
          </w:p>
        </w:tc>
        <w:tc>
          <w:tcPr>
            <w:tcW w:type="dxa" w:w="379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Decode TopK NMS</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确认在 NPU FPGA 或 CPU 上执行并纳入总延迟</w:t>
            </w:r>
          </w:p>
        </w:tc>
      </w:tr>
    </w:tbl>
    <w:p>
      <w:pPr>
        <w:spacing w:after="20"/>
      </w:pPr>
    </w:p>
    <w:p>
      <w:pPr>
        <w:pStyle w:val="Heading2"/>
        <w:keepNext/>
        <w:spacing w:before="140" w:after="100"/>
      </w:pPr>
      <w:r>
        <w:rPr>
          <w:rFonts w:ascii="Microsoft YaHei" w:hAnsi="Microsoft YaHei" w:eastAsia="Microsoft YaHei"/>
          <w:b/>
          <w:color w:val="000000"/>
          <w:sz w:val="26"/>
        </w:rPr>
        <w:t>九 四 算子支持矩阵模板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3"/>
        <w:gridCol w:w="1583"/>
        <w:gridCol w:w="1583"/>
        <w:gridCol w:w="1583"/>
        <w:gridCol w:w="1583"/>
        <w:gridCol w:w="1583"/>
      </w:tblGrid>
      <w:tr>
        <w:trPr>
          <w:tblHeader w:val="true"/>
          <w:cantSplit/>
        </w:trPr>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算子</w:t>
            </w:r>
          </w:p>
        </w:tc>
        <w:tc>
          <w:tcPr>
            <w:tcW w:type="dxa" w:w="187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版本和属性</w:t>
            </w:r>
          </w:p>
        </w:tc>
        <w:tc>
          <w:tcPr>
            <w:tcW w:type="dxa" w:w="130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NPU 原生支持</w:t>
            </w:r>
          </w:p>
        </w:tc>
        <w:tc>
          <w:tcPr>
            <w:tcW w:type="dxa" w:w="130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量化支持</w:t>
            </w:r>
          </w:p>
        </w:tc>
        <w:tc>
          <w:tcPr>
            <w:tcW w:type="dxa" w:w="141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限制</w:t>
            </w:r>
          </w:p>
        </w:tc>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处置</w:t>
            </w:r>
          </w:p>
        </w:tc>
      </w:tr>
      <w:tr>
        <w:trPr>
          <w:cantSplit/>
        </w:trPr>
        <w:tc>
          <w:tcPr>
            <w:tcW w:type="dxa" w:w="119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待填写</w:t>
            </w:r>
          </w:p>
        </w:tc>
        <w:tc>
          <w:tcPr>
            <w:tcW w:type="dxa" w:w="187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kernel stride pad groups</w:t>
            </w:r>
          </w:p>
        </w:tc>
        <w:tc>
          <w:tcPr>
            <w:tcW w:type="dxa" w:w="130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是 否</w:t>
            </w:r>
          </w:p>
        </w:tc>
        <w:tc>
          <w:tcPr>
            <w:tcW w:type="dxa" w:w="130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INT8 混合精度</w:t>
            </w:r>
          </w:p>
        </w:tc>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输入尺寸 通道对齐</w:t>
            </w:r>
          </w:p>
        </w:tc>
        <w:tc>
          <w:tcPr>
            <w:tcW w:type="dxa" w:w="119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保留 替换 融合</w:t>
            </w:r>
          </w:p>
        </w:tc>
      </w:tr>
      <w:tr>
        <w:trPr>
          <w:cantSplit/>
        </w:trPr>
        <w:tc>
          <w:tcPr>
            <w:tcW w:type="dxa" w:w="119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待填写</w:t>
            </w:r>
          </w:p>
        </w:tc>
        <w:tc>
          <w:tcPr>
            <w:tcW w:type="dxa" w:w="187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activation 参数</w:t>
            </w:r>
          </w:p>
        </w:tc>
        <w:tc>
          <w:tcPr>
            <w:tcW w:type="dxa" w:w="130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是 否</w:t>
            </w:r>
          </w:p>
        </w:tc>
        <w:tc>
          <w:tcPr>
            <w:tcW w:type="dxa" w:w="130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INT8</w:t>
            </w:r>
          </w:p>
        </w:tc>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范围或精度</w:t>
            </w:r>
          </w:p>
        </w:tc>
        <w:tc>
          <w:tcPr>
            <w:tcW w:type="dxa" w:w="119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待确认</w:t>
            </w:r>
          </w:p>
        </w:tc>
      </w:tr>
      <w:tr>
        <w:trPr>
          <w:cantSplit/>
        </w:trPr>
        <w:tc>
          <w:tcPr>
            <w:tcW w:type="dxa" w:w="119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待填写</w:t>
            </w:r>
          </w:p>
        </w:tc>
        <w:tc>
          <w:tcPr>
            <w:tcW w:type="dxa" w:w="187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resize mode</w:t>
            </w:r>
          </w:p>
        </w:tc>
        <w:tc>
          <w:tcPr>
            <w:tcW w:type="dxa" w:w="130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是 否</w:t>
            </w:r>
          </w:p>
        </w:tc>
        <w:tc>
          <w:tcPr>
            <w:tcW w:type="dxa" w:w="130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输入输出类型</w:t>
            </w:r>
          </w:p>
        </w:tc>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坐标语义</w:t>
            </w:r>
          </w:p>
        </w:tc>
        <w:tc>
          <w:tcPr>
            <w:tcW w:type="dxa" w:w="119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硬件前处理或 NPU</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十 NPU 部署约束和 FPGA 资源预算</w:t>
      </w:r>
    </w:p>
    <w:p>
      <w:pPr>
        <w:pStyle w:val="Heading2"/>
        <w:keepNext/>
        <w:spacing w:before="140" w:after="100"/>
      </w:pPr>
      <w:r>
        <w:rPr>
          <w:rFonts w:ascii="Microsoft YaHei" w:hAnsi="Microsoft YaHei" w:eastAsia="Microsoft YaHei"/>
          <w:b/>
          <w:color w:val="000000"/>
          <w:sz w:val="26"/>
        </w:rPr>
        <w:t>十 一 当前仓库中的指令集结论</w:t>
      </w:r>
    </w:p>
    <w:p>
      <w:pPr>
        <w:spacing w:before="0" w:after="100" w:line="300" w:lineRule="auto"/>
        <w:keepLines/>
      </w:pPr>
      <w:r>
        <w:rPr>
          <w:rFonts w:ascii="Microsoft YaHei" w:hAnsi="Microsoft YaHei" w:eastAsia="Microsoft YaHei"/>
          <w:color w:val="000000"/>
          <w:sz w:val="21"/>
        </w:rPr>
        <w:t>当前仓库明确实现的是 RV32I 加 M 扩展 CPU。该 ISA 可以承担控制、DMA 配置或轻量后处理，但它不是 NPU 专用指令集，也不能证明卷积、池化、激活、量化或张量搬运已经由硬件加速。仓库中未发现 NPU RTL、专用指令编码、模型编译器接入说明或正式算子支持矩阵，因此不得据此承诺 YOLO 模型可直接部署。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58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层级</w:t>
            </w:r>
          </w:p>
        </w:tc>
        <w:tc>
          <w:tcPr>
            <w:tcW w:type="dxa" w:w="243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当前结论</w:t>
            </w:r>
          </w:p>
        </w:tc>
        <w:tc>
          <w:tcPr>
            <w:tcW w:type="dxa" w:w="232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允许据此开展的工作</w:t>
            </w:r>
          </w:p>
        </w:tc>
        <w:tc>
          <w:tcPr>
            <w:tcW w:type="dxa" w:w="181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禁止推断</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SoC CPU</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RV32I 加 M 已有工程和测试</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系统控制 接口验证 参考后处理基准</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不能把 MUL DIV 等同于卷积加速器</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NPU 指令集</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 NPU 负责人提供或设计</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先冻结需求模板和候选算子集合</w:t>
            </w:r>
          </w:p>
        </w:tc>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不能自创 opcode 或默认兼容某商业 NPU</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模型算子白名单</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仓库未提供</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算法可做通用轻量基线和可替换结构</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不能锁死具体 YOLO 版本或特殊算子</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量化规则</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INT8 为项目建议方向</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可先做 PTQ 可行性实验</w:t>
            </w:r>
          </w:p>
        </w:tc>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不能提前写死对称性 per channel 或 zero point 规则</w:t>
            </w:r>
          </w:p>
        </w:tc>
      </w:tr>
    </w:tbl>
    <w:p>
      <w:pPr>
        <w:spacing w:after="20"/>
      </w:pPr>
    </w:p>
    <w:p>
      <w:pPr>
        <w:pStyle w:val="Heading2"/>
        <w:keepNext/>
        <w:spacing w:before="140" w:after="100"/>
      </w:pPr>
      <w:r>
        <w:rPr>
          <w:rFonts w:ascii="Microsoft YaHei" w:hAnsi="Microsoft YaHei" w:eastAsia="Microsoft YaHei"/>
          <w:b/>
          <w:color w:val="000000"/>
          <w:sz w:val="26"/>
        </w:rPr>
        <w:t>十 二 必须由硬件团队提供的约束</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约束项</w:t>
            </w:r>
          </w:p>
        </w:tc>
        <w:tc>
          <w:tcPr>
            <w:tcW w:type="dxa" w:w="362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需要提供的参数</w:t>
            </w:r>
          </w:p>
        </w:tc>
        <w:tc>
          <w:tcPr>
            <w:tcW w:type="dxa" w:w="283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影响</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NPU 架构</w:t>
            </w:r>
          </w:p>
        </w:tc>
        <w:tc>
          <w:tcPr>
            <w:tcW w:type="dxa" w:w="362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阵列规模 数据位宽 累加位宽 片上缓存</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模型通道和 tile 设计</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算子支持</w:t>
            </w:r>
          </w:p>
        </w:tc>
        <w:tc>
          <w:tcPr>
            <w:tcW w:type="dxa" w:w="362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算子 属性 上限 融合规则</w:t>
            </w:r>
          </w:p>
        </w:tc>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模型可转换性和 CPU 回退</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时钟</w:t>
            </w:r>
          </w:p>
        </w:tc>
        <w:tc>
          <w:tcPr>
            <w:tcW w:type="dxa" w:w="362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NPU DDR 前处理时钟及可实现频率</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理论算力和时序裕量</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内存</w:t>
            </w:r>
          </w:p>
        </w:tc>
        <w:tc>
          <w:tcPr>
            <w:tcW w:type="dxa" w:w="362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片上 SRAM BRAM DDR 容量和可用带宽</w:t>
            </w:r>
          </w:p>
        </w:tc>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权重和特征图调度</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DMA</w:t>
            </w:r>
          </w:p>
        </w:tc>
        <w:tc>
          <w:tcPr>
            <w:tcW w:type="dxa" w:w="362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总线宽度 突发长度 对齐和并发通道</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输入输出和权重搬运效率</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编译器</w:t>
            </w:r>
          </w:p>
        </w:tc>
        <w:tc>
          <w:tcPr>
            <w:tcW w:type="dxa" w:w="362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版本 模型格式 量化规范 报告能力</w:t>
            </w:r>
          </w:p>
        </w:tc>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导出和可复现性</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运行时</w:t>
            </w:r>
          </w:p>
        </w:tc>
        <w:tc>
          <w:tcPr>
            <w:tcW w:type="dxa" w:w="362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启动开销 队列 中断 缓存一致性</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端到端延迟</w:t>
            </w:r>
          </w:p>
        </w:tc>
      </w:tr>
    </w:tbl>
    <w:p>
      <w:pPr>
        <w:spacing w:after="20"/>
      </w:pPr>
    </w:p>
    <w:p>
      <w:pPr>
        <w:pStyle w:val="Heading2"/>
        <w:keepNext/>
        <w:spacing w:before="140" w:after="100"/>
      </w:pPr>
      <w:r>
        <w:rPr>
          <w:rFonts w:ascii="Microsoft YaHei" w:hAnsi="Microsoft YaHei" w:eastAsia="Microsoft YaHei"/>
          <w:b/>
          <w:color w:val="000000"/>
          <w:sz w:val="26"/>
        </w:rPr>
        <w:t>十 三 LUT DSP BRAM DDR 和时钟考虑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资源</w:t>
            </w:r>
          </w:p>
        </w:tc>
        <w:tc>
          <w:tcPr>
            <w:tcW w:type="dxa" w:w="204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主要用途</w:t>
            </w:r>
          </w:p>
        </w:tc>
        <w:tc>
          <w:tcPr>
            <w:tcW w:type="dxa" w:w="283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设计关注点</w:t>
            </w:r>
          </w:p>
        </w:tc>
        <w:tc>
          <w:tcPr>
            <w:tcW w:type="dxa" w:w="209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必须输出</w:t>
            </w:r>
          </w:p>
        </w:tc>
      </w:tr>
      <w:tr>
        <w:trPr>
          <w:cantSplit/>
        </w:trPr>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LUT</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控制 地址生成 比较 加法 小型逻辑</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复杂控制和非规则算子会增加占用并影响频率</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综合前估算 综合后占用和裕量</w:t>
            </w:r>
          </w:p>
        </w:tc>
      </w:tr>
      <w:tr>
        <w:trPr>
          <w:cantSplit/>
        </w:trPr>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DSP</w:t>
            </w:r>
          </w:p>
        </w:tc>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卷积乘加和累加</w:t>
            </w:r>
          </w:p>
        </w:tc>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并行 MAC 数 数据位宽 复用率</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DSP 数量 利用率和每周期有效 MAC</w:t>
            </w:r>
          </w:p>
        </w:tc>
      </w:tr>
      <w:tr>
        <w:trPr>
          <w:cantSplit/>
        </w:trPr>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BRAM SRAM</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行缓存 权重 tile 特征图 tile FIFO</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峰值激活和双缓冲会占用片上存储</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分模块占用 峰值和冲突</w:t>
            </w:r>
          </w:p>
        </w:tc>
      </w:tr>
      <w:tr>
        <w:trPr>
          <w:cantSplit/>
        </w:trPr>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DDR</w:t>
            </w:r>
          </w:p>
        </w:tc>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完整帧 权重 大特征图 中间结果</w:t>
            </w:r>
          </w:p>
        </w:tc>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读写总带宽 仲裁 突发效率 最坏延迟</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实测平均和峰值带宽</w:t>
            </w:r>
          </w:p>
        </w:tc>
      </w:tr>
      <w:tr>
        <w:trPr>
          <w:cantSplit/>
        </w:trPr>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时钟</w:t>
            </w:r>
          </w:p>
        </w:tc>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决定每秒周期数</w:t>
            </w:r>
          </w:p>
        </w:tc>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资源越满时序越难收敛</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目标频率 实现频率和最差裕量</w:t>
            </w:r>
          </w:p>
        </w:tc>
      </w:tr>
    </w:tbl>
    <w:p>
      <w:pPr>
        <w:spacing w:after="20"/>
      </w:pPr>
    </w:p>
    <w:p>
      <w:pPr>
        <w:spacing w:before="0" w:after="100" w:line="300" w:lineRule="auto"/>
        <w:keepLines/>
      </w:pPr>
      <w:r>
        <w:rPr>
          <w:rFonts w:ascii="Microsoft YaHei" w:hAnsi="Microsoft YaHei" w:eastAsia="Microsoft YaHei"/>
          <w:color w:val="000000"/>
          <w:sz w:val="21"/>
        </w:rPr>
        <w:t>资源预算必须按完整系统计算，不能把 NPU 单独视为可使用全部器件资源。摄像头接收、DDR 控制、显示或通信、双目配对、前后处理和调试逻辑都需要预留。每类资源的安全余量比例待 FPGA 负责人确认。</w:t>
      </w:r>
    </w:p>
    <w:p>
      <w:pPr>
        <w:pStyle w:val="Heading2"/>
        <w:keepNext/>
        <w:spacing w:before="140" w:after="100"/>
      </w:pPr>
      <w:r>
        <w:rPr>
          <w:rFonts w:ascii="Microsoft YaHei" w:hAnsi="Microsoft YaHei" w:eastAsia="Microsoft YaHei"/>
          <w:b/>
          <w:color w:val="000000"/>
          <w:sz w:val="26"/>
        </w:rPr>
        <w:t>十 四 性能估算方法</w:t>
      </w:r>
    </w:p>
    <w:p>
      <w:pPr>
        <w:pStyle w:val="ListBullet"/>
        <w:spacing w:after="60" w:line="283" w:lineRule="auto"/>
        <w:ind w:left="397" w:hanging="142"/>
        <w:keepLines/>
      </w:pPr>
      <w:r>
        <w:rPr>
          <w:rFonts w:ascii="Microsoft YaHei" w:hAnsi="Microsoft YaHei" w:eastAsia="Microsoft YaHei"/>
          <w:color w:val="000000"/>
          <w:sz w:val="21"/>
        </w:rPr>
        <w:t>有效算力需求可按单帧 MAC 数乘以目标 FPS，再除以实际利用率估算。实际利用率必须由编译器和板端测量校正。</w:t>
      </w:r>
    </w:p>
    <w:p>
      <w:pPr>
        <w:pStyle w:val="ListBullet"/>
        <w:spacing w:after="60" w:line="283" w:lineRule="auto"/>
        <w:ind w:left="397" w:hanging="142"/>
        <w:keepLines/>
      </w:pPr>
      <w:r>
        <w:rPr>
          <w:rFonts w:ascii="Microsoft YaHei" w:hAnsi="Microsoft YaHei" w:eastAsia="Microsoft YaHei"/>
          <w:color w:val="000000"/>
          <w:sz w:val="21"/>
        </w:rPr>
        <w:t>DDR 带宽应累计摄像头写帧、前处理读帧、NPU 权重和特征图、输出写回以及其他主设备流量，并考虑协议和对齐开销。</w:t>
      </w:r>
    </w:p>
    <w:p>
      <w:pPr>
        <w:pStyle w:val="ListBullet"/>
        <w:spacing w:after="60" w:line="283" w:lineRule="auto"/>
        <w:ind w:left="397" w:hanging="142"/>
        <w:keepLines/>
      </w:pPr>
      <w:r>
        <w:rPr>
          <w:rFonts w:ascii="Microsoft YaHei" w:hAnsi="Microsoft YaHei" w:eastAsia="Microsoft YaHei"/>
          <w:color w:val="000000"/>
          <w:sz w:val="21"/>
        </w:rPr>
        <w:t>BRAM 预算应列出各模块峰值同时占用，而不是把分时使用的局部峰值简单相加或忽略重叠。</w:t>
      </w:r>
    </w:p>
    <w:p>
      <w:pPr>
        <w:pStyle w:val="ListBullet"/>
        <w:spacing w:after="60" w:line="283" w:lineRule="auto"/>
        <w:ind w:left="397" w:hanging="142"/>
        <w:keepLines/>
      </w:pPr>
      <w:r>
        <w:rPr>
          <w:rFonts w:ascii="Microsoft YaHei" w:hAnsi="Microsoft YaHei" w:eastAsia="Microsoft YaHei"/>
          <w:color w:val="000000"/>
          <w:sz w:val="21"/>
        </w:rPr>
        <w:t>时延报告应区分前处理、输入 DMA、NPU 计算、输出 DMA、后处理和排队等待。</w:t>
      </w:r>
    </w:p>
    <w:p>
      <w:r>
        <w:br w:type="page"/>
      </w:r>
    </w:p>
    <w:p>
      <w:pPr>
        <w:pStyle w:val="Heading1"/>
        <w:keepNext/>
        <w:spacing w:before="180" w:after="100"/>
      </w:pPr>
      <w:r>
        <w:rPr>
          <w:rFonts w:ascii="Microsoft YaHei" w:hAnsi="Microsoft YaHei" w:eastAsia="Microsoft YaHei"/>
          <w:b/>
          <w:color w:val="000000"/>
          <w:sz w:val="32"/>
        </w:rPr>
        <w:t>十一 双目扩大视野架构与单目调试基线</w:t>
      </w:r>
    </w:p>
    <w:p>
      <w:pPr>
        <w:pStyle w:val="Heading2"/>
        <w:keepNext/>
        <w:spacing w:before="140" w:after="100"/>
      </w:pPr>
      <w:r>
        <w:rPr>
          <w:rFonts w:ascii="Microsoft YaHei" w:hAnsi="Microsoft YaHei" w:eastAsia="Microsoft YaHei"/>
          <w:b/>
          <w:color w:val="000000"/>
          <w:sz w:val="26"/>
        </w:rPr>
        <w:t>十一 一 推荐实施顺序</w:t>
      </w:r>
    </w:p>
    <w:p>
      <w:pPr>
        <w:spacing w:before="0" w:after="100" w:line="300" w:lineRule="auto"/>
        <w:keepLines/>
      </w:pPr>
      <w:r>
        <w:rPr>
          <w:rFonts w:ascii="Microsoft YaHei" w:hAnsi="Microsoft YaHei" w:eastAsia="Microsoft YaHei"/>
          <w:color w:val="000000"/>
          <w:sz w:val="21"/>
        </w:rPr>
        <w:t>项目当前即按双目系统实施，主要用途已确认为扩大视野。工程联调仍建议先让单路链路通过数据闭环、模型部署和持续 15 FPS 验收，再开启双路并发；这只是调试顺序，不是把双目推迟到未来。双路元数据、缓存和输出接口从首版即纳入正式设计。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4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阶段</w:t>
            </w:r>
          </w:p>
        </w:tc>
        <w:tc>
          <w:tcPr>
            <w:tcW w:type="dxa" w:w="368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范围</w:t>
            </w:r>
          </w:p>
        </w:tc>
        <w:tc>
          <w:tcPr>
            <w:tcW w:type="dxa" w:w="300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通过条件</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阶段 A</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单目离线训练和评估</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模型精度达到待确认阈值</w:t>
            </w:r>
          </w:p>
        </w:tc>
      </w:tr>
      <w:tr>
        <w:trPr>
          <w:cantSplit/>
        </w:trPr>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阶段 B</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单目 FPGA 前处理和 NPU</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持续 15 FPS 且无长期积压</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阶段 C</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双路独立采集和缓存</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帧号 时间戳 缓冲状态稳定</w:t>
            </w:r>
          </w:p>
        </w:tc>
      </w:tr>
      <w:tr>
        <w:trPr>
          <w:cantSplit/>
        </w:trPr>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阶段 D</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双路推理调度</w:t>
            </w:r>
          </w:p>
        </w:tc>
        <w:tc>
          <w:tcPr>
            <w:tcW w:type="dxa" w:w="300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每路吞吐和总延迟达标</w:t>
            </w:r>
          </w:p>
        </w:tc>
      </w:tr>
      <w:tr>
        <w:trPr>
          <w:cantSplit/>
        </w:trPr>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阶段 E</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扩大视野结果汇总和重叠区去重</w:t>
            </w:r>
          </w:p>
        </w:tc>
        <w:tc>
          <w:tcPr>
            <w:tcW w:type="dxa" w:w="300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两路互补视场均可检测 统一输出且无错误重复</w:t>
            </w:r>
          </w:p>
        </w:tc>
      </w:tr>
    </w:tbl>
    <w:p>
      <w:pPr>
        <w:spacing w:after="20"/>
      </w:pPr>
    </w:p>
    <w:p>
      <w:pPr>
        <w:pStyle w:val="Heading2"/>
        <w:keepNext/>
        <w:spacing w:before="140" w:after="100"/>
      </w:pPr>
      <w:r>
        <w:rPr>
          <w:rFonts w:ascii="Microsoft YaHei" w:hAnsi="Microsoft YaHei" w:eastAsia="Microsoft YaHei"/>
          <w:b/>
          <w:color w:val="000000"/>
          <w:sz w:val="26"/>
        </w:rPr>
        <w:t>十一 二 双目总体结构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260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左路</w:t>
            </w:r>
          </w:p>
        </w:tc>
        <w:tc>
          <w:tcPr>
            <w:tcW w:type="dxa" w:w="294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配对和调度</w:t>
            </w:r>
          </w:p>
        </w:tc>
        <w:tc>
          <w:tcPr>
            <w:tcW w:type="dxa" w:w="260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右路</w:t>
            </w:r>
          </w:p>
        </w:tc>
      </w:tr>
      <w:tr>
        <w:trPr>
          <w:cantSplit/>
        </w:trPr>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Camera L  DVP</w:t>
            </w:r>
          </w:p>
        </w:tc>
        <w:tc>
          <w:tcPr>
            <w:tcW w:type="dxa" w:w="2948"/>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公共同步源或独立时间戳</w:t>
            </w:r>
          </w:p>
        </w:tc>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Camera R  DVP</w:t>
            </w:r>
          </w:p>
        </w:tc>
      </w:tr>
      <w:tr>
        <w:trPr>
          <w:cantSplit/>
        </w:trPr>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FIFO L</w:t>
            </w:r>
          </w:p>
        </w:tc>
        <w:tc>
          <w:tcPr>
            <w:tcW w:type="dxa" w:w="2948"/>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监控行帧完整性</w:t>
            </w:r>
          </w:p>
        </w:tc>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FIFO R</w:t>
            </w:r>
          </w:p>
        </w:tc>
      </w:tr>
      <w:tr>
        <w:trPr>
          <w:cantSplit/>
        </w:trPr>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DDR Frame Buffer L</w:t>
            </w:r>
          </w:p>
        </w:tc>
        <w:tc>
          <w:tcPr>
            <w:tcW w:type="dxa" w:w="2948"/>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frame_id timestamp pair_id</w:t>
            </w:r>
          </w:p>
        </w:tc>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DDR Frame Buffer R</w:t>
            </w:r>
          </w:p>
        </w:tc>
      </w:tr>
      <w:tr>
        <w:trPr>
          <w:cantSplit/>
        </w:trPr>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前处理 L</w:t>
            </w:r>
          </w:p>
        </w:tc>
        <w:tc>
          <w:tcPr>
            <w:tcW w:type="dxa" w:w="2948"/>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按带宽和 NPU 能力并行或串行</w:t>
            </w:r>
          </w:p>
        </w:tc>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前处理 R</w:t>
            </w:r>
          </w:p>
        </w:tc>
      </w:tr>
      <w:tr>
        <w:trPr>
          <w:cantSplit/>
        </w:trPr>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NPU 推理 L</w:t>
            </w:r>
          </w:p>
        </w:tc>
        <w:tc>
          <w:tcPr>
            <w:tcW w:type="dxa" w:w="2948"/>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结果按 pair_id 对齐</w:t>
            </w:r>
          </w:p>
        </w:tc>
        <w:tc>
          <w:tcPr>
            <w:tcW w:type="dxa" w:w="26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7"/>
              </w:rPr>
              <w:t>NPU 推理 R</w:t>
            </w:r>
          </w:p>
        </w:tc>
      </w:tr>
      <w:tr>
        <w:trPr>
          <w:cantSplit/>
        </w:trPr>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左路检测结果</w:t>
            </w:r>
          </w:p>
        </w:tc>
        <w:tc>
          <w:tcPr>
            <w:tcW w:type="dxa" w:w="2948"/>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按相机来源和视场区域汇总 重叠区按规则去重</w:t>
            </w:r>
          </w:p>
        </w:tc>
        <w:tc>
          <w:tcPr>
            <w:tcW w:type="dxa" w:w="26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7"/>
              </w:rPr>
              <w:t>右路检测结果</w:t>
            </w:r>
          </w:p>
        </w:tc>
      </w:tr>
    </w:tbl>
    <w:p>
      <w:pPr>
        <w:spacing w:after="20"/>
      </w:pPr>
    </w:p>
    <w:p>
      <w:pPr>
        <w:spacing w:before="60" w:after="160"/>
        <w:jc w:val="center"/>
        <w:keepNext w:val="0"/>
      </w:pPr>
      <w:r>
        <w:rPr>
          <w:rFonts w:ascii="Microsoft YaHei" w:hAnsi="Microsoft YaHei" w:eastAsia="Microsoft YaHei"/>
          <w:color w:val="595959"/>
          <w:sz w:val="18"/>
        </w:rPr>
        <w:t>图三 双目数据流和配对控制  中间列为跨路公共逻辑</w:t>
      </w:r>
    </w:p>
    <w:p>
      <w:pPr>
        <w:pStyle w:val="Heading2"/>
        <w:keepNext/>
        <w:spacing w:before="140" w:after="100"/>
      </w:pPr>
      <w:r>
        <w:rPr>
          <w:rFonts w:ascii="Microsoft YaHei" w:hAnsi="Microsoft YaHei" w:eastAsia="Microsoft YaHei"/>
          <w:b/>
          <w:color w:val="000000"/>
          <w:sz w:val="26"/>
        </w:rPr>
        <w:t>十一 三 双目用途边界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53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用途</w:t>
            </w:r>
          </w:p>
        </w:tc>
        <w:tc>
          <w:tcPr>
            <w:tcW w:type="dxa" w:w="328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数据和算法要求</w:t>
            </w:r>
          </w:p>
        </w:tc>
        <w:tc>
          <w:tcPr>
            <w:tcW w:type="dxa" w:w="23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硬件影响</w:t>
            </w:r>
          </w:p>
        </w:tc>
        <w:tc>
          <w:tcPr>
            <w:tcW w:type="dxa" w:w="96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状态</w:t>
            </w:r>
          </w:p>
        </w:tc>
      </w:tr>
      <w:tr>
        <w:trPr>
          <w:cantSplit/>
        </w:trPr>
        <w:tc>
          <w:tcPr>
            <w:tcW w:type="dxa" w:w="153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扩大视野</w:t>
            </w:r>
          </w:p>
        </w:tc>
        <w:tc>
          <w:tcPr>
            <w:tcW w:type="dxa" w:w="328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两路覆盖互补视场 输出保留 camera_id 在重叠区做可追溯去重</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同步可较深度测距放宽 但仍需帧号和时间戳</w:t>
            </w:r>
          </w:p>
        </w:tc>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已确认 本期目标</w:t>
            </w:r>
          </w:p>
        </w:tc>
      </w:tr>
      <w:tr>
        <w:trPr>
          <w:cantSplit/>
        </w:trPr>
        <w:tc>
          <w:tcPr>
            <w:tcW w:type="dxa" w:w="153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冗余检测</w:t>
            </w:r>
          </w:p>
        </w:tc>
        <w:tc>
          <w:tcPr>
            <w:tcW w:type="dxa" w:w="328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同一区域双路确认 需要目标关联规则</w:t>
            </w:r>
          </w:p>
        </w:tc>
        <w:tc>
          <w:tcPr>
            <w:tcW w:type="dxa" w:w="23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需要相近曝光和可控时间差</w:t>
            </w:r>
          </w:p>
        </w:tc>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非本期默认目标</w:t>
            </w:r>
          </w:p>
        </w:tc>
      </w:tr>
      <w:tr>
        <w:trPr>
          <w:cantSplit/>
        </w:trPr>
        <w:tc>
          <w:tcPr>
            <w:tcW w:type="dxa" w:w="153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深度测距</w:t>
            </w:r>
          </w:p>
        </w:tc>
        <w:tc>
          <w:tcPr>
            <w:tcW w:type="dxa" w:w="328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需要内外参 标定 校正 视差或三角测量</w:t>
            </w:r>
          </w:p>
        </w:tc>
        <w:tc>
          <w:tcPr>
            <w:tcW w:type="dxa" w:w="23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需要严格同步和额外计算 带宽</w:t>
            </w:r>
          </w:p>
        </w:tc>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非本期目标</w:t>
            </w:r>
          </w:p>
        </w:tc>
      </w:tr>
    </w:tbl>
    <w:p>
      <w:pPr>
        <w:spacing w:after="20"/>
      </w:pPr>
    </w:p>
    <w:p>
      <w:pPr>
        <w:pStyle w:val="Heading2"/>
        <w:keepNext/>
        <w:spacing w:before="140" w:after="100"/>
      </w:pPr>
      <w:r>
        <w:rPr>
          <w:rFonts w:ascii="Microsoft YaHei" w:hAnsi="Microsoft YaHei" w:eastAsia="Microsoft YaHei"/>
          <w:b/>
          <w:color w:val="000000"/>
          <w:sz w:val="26"/>
        </w:rPr>
        <w:t>十一 四 双目帧配对</w:t>
      </w:r>
    </w:p>
    <w:p>
      <w:pPr>
        <w:pStyle w:val="ListBullet"/>
        <w:spacing w:after="60" w:line="283" w:lineRule="auto"/>
        <w:ind w:left="397" w:hanging="142"/>
        <w:keepLines/>
      </w:pPr>
      <w:r>
        <w:rPr>
          <w:rFonts w:ascii="Microsoft YaHei" w:hAnsi="Microsoft YaHei" w:eastAsia="Microsoft YaHei"/>
          <w:color w:val="000000"/>
          <w:sz w:val="21"/>
        </w:rPr>
        <w:t>优先选择硬件同步触发或公共帧同步信号。若两个摄像头自由运行，必须用同一时钟域时间戳配对。</w:t>
      </w:r>
    </w:p>
    <w:p>
      <w:pPr>
        <w:pStyle w:val="ListBullet"/>
        <w:spacing w:after="60" w:line="283" w:lineRule="auto"/>
        <w:ind w:left="397" w:hanging="142"/>
        <w:keepLines/>
      </w:pPr>
      <w:r>
        <w:rPr>
          <w:rFonts w:ascii="Microsoft YaHei" w:hAnsi="Microsoft YaHei" w:eastAsia="Microsoft YaHei"/>
          <w:color w:val="000000"/>
          <w:sz w:val="21"/>
        </w:rPr>
        <w:t>配对键至少包含 camera_id frame_id timestamp。若相机帧号独立，配对管理器应生成 pair_id。</w:t>
      </w:r>
    </w:p>
    <w:p>
      <w:pPr>
        <w:pStyle w:val="ListBullet"/>
        <w:spacing w:after="60" w:line="283" w:lineRule="auto"/>
        <w:ind w:left="397" w:hanging="142"/>
        <w:keepLines/>
      </w:pPr>
      <w:r>
        <w:rPr>
          <w:rFonts w:ascii="Microsoft YaHei" w:hAnsi="Microsoft YaHei" w:eastAsia="Microsoft YaHei"/>
          <w:color w:val="000000"/>
          <w:sz w:val="21"/>
        </w:rPr>
        <w:t>最大允许时间差仍为待确认参数。扩大视野模式不要求用于视差计算的严格同步，但时间差仍必须受控，以免车辆运动时两侧结果属于明显不同场景时刻。</w:t>
      </w:r>
    </w:p>
    <w:p>
      <w:pPr>
        <w:pStyle w:val="ListBullet"/>
        <w:spacing w:after="60" w:line="283" w:lineRule="auto"/>
        <w:ind w:left="397" w:hanging="142"/>
        <w:keepLines/>
      </w:pPr>
      <w:r>
        <w:rPr>
          <w:rFonts w:ascii="Microsoft YaHei" w:hAnsi="Microsoft YaHei" w:eastAsia="Microsoft YaHei"/>
          <w:color w:val="000000"/>
          <w:sz w:val="21"/>
        </w:rPr>
        <w:t>一侧丢帧、超时或图像损坏时，系统应记录 orphan frame，并按策略单路处理或丢弃，不得错配下一帧。</w:t>
      </w:r>
    </w:p>
    <w:p>
      <w:pPr>
        <w:pStyle w:val="ListBullet"/>
        <w:spacing w:after="60" w:line="283" w:lineRule="auto"/>
        <w:ind w:left="397" w:hanging="142"/>
        <w:keepLines/>
      </w:pPr>
      <w:r>
        <w:rPr>
          <w:rFonts w:ascii="Microsoft YaHei" w:hAnsi="Microsoft YaHei" w:eastAsia="Microsoft YaHei"/>
          <w:color w:val="000000"/>
          <w:sz w:val="21"/>
        </w:rPr>
        <w:t>左右曝光和白平衡若独立变化，可能影响匹配和融合。是否锁定曝光或同步控制待确认。</w:t>
      </w:r>
    </w:p>
    <w:p>
      <w:r>
        <w:br w:type="page"/>
      </w:r>
    </w:p>
    <w:p>
      <w:pPr>
        <w:pStyle w:val="Heading1"/>
        <w:keepNext/>
        <w:spacing w:before="180" w:after="100"/>
      </w:pPr>
      <w:r>
        <w:rPr>
          <w:rFonts w:ascii="Microsoft YaHei" w:hAnsi="Microsoft YaHei" w:eastAsia="Microsoft YaHei"/>
          <w:b/>
          <w:color w:val="000000"/>
          <w:sz w:val="32"/>
        </w:rPr>
        <w:t>十二 性能预算</w:t>
      </w:r>
    </w:p>
    <w:p>
      <w:pPr>
        <w:pStyle w:val="Heading2"/>
        <w:keepNext/>
        <w:spacing w:before="140" w:after="100"/>
      </w:pPr>
      <w:r>
        <w:rPr>
          <w:rFonts w:ascii="Microsoft YaHei" w:hAnsi="Microsoft YaHei" w:eastAsia="Microsoft YaHei"/>
          <w:b/>
          <w:color w:val="000000"/>
          <w:sz w:val="26"/>
        </w:rPr>
        <w:t>十二 一 15 FPS 时间预算</w:t>
      </w:r>
    </w:p>
    <w:p>
      <w:pPr>
        <w:spacing w:before="0" w:after="100" w:line="300" w:lineRule="auto"/>
        <w:keepLines/>
      </w:pPr>
      <w:r>
        <w:rPr>
          <w:rFonts w:ascii="Microsoft YaHei" w:hAnsi="Microsoft YaHei" w:eastAsia="Microsoft YaHei"/>
          <w:color w:val="000000"/>
          <w:sz w:val="21"/>
        </w:rPr>
        <w:t>在 15 FPS 下，每路帧周期约为 66.7 ms。持续运行的平均处理时间必须小于该周期，同时应给 DDR 仲裁、缓存等待、操作系统或软核任务和偶发延迟留出余量。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204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阶段</w:t>
            </w:r>
          </w:p>
        </w:tc>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建议预算</w:t>
            </w:r>
          </w:p>
        </w:tc>
        <w:tc>
          <w:tcPr>
            <w:tcW w:type="dxa" w:w="294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说明</w:t>
            </w:r>
          </w:p>
        </w:tc>
        <w:tc>
          <w:tcPr>
            <w:tcW w:type="dxa" w:w="14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最终值</w:t>
            </w:r>
          </w:p>
        </w:tc>
      </w:tr>
      <w:tr>
        <w:trPr>
          <w:cantSplit/>
        </w:trPr>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DDR 取帧和前处理</w:t>
            </w:r>
          </w:p>
        </w:tc>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5 到 10 ms</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建议值 受缩放方法 时钟和带宽影响</w:t>
            </w:r>
          </w:p>
        </w:tc>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待实测</w:t>
            </w:r>
          </w:p>
        </w:tc>
      </w:tr>
      <w:tr>
        <w:trPr>
          <w:cantSplit/>
        </w:trPr>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NPU 推理</w:t>
            </w:r>
          </w:p>
        </w:tc>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20 到 30 ms</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建议值 由模型和 NPU 决定</w:t>
            </w:r>
          </w:p>
        </w:tc>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待实测</w:t>
            </w:r>
          </w:p>
        </w:tc>
      </w:tr>
      <w:tr>
        <w:trPr>
          <w:cantSplit/>
        </w:trPr>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后处理</w:t>
            </w:r>
          </w:p>
        </w:tc>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2 到 5 ms</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建议值 取决于候选框数量和 NMS 位置</w:t>
            </w:r>
          </w:p>
        </w:tc>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待实测</w:t>
            </w:r>
          </w:p>
        </w:tc>
      </w:tr>
      <w:tr>
        <w:trPr>
          <w:cantSplit/>
        </w:trPr>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排队和系统余量</w:t>
            </w:r>
          </w:p>
        </w:tc>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至少 20 ms 左右</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建议保留 不作为固定要求</w:t>
            </w:r>
          </w:p>
        </w:tc>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204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端到端目标</w:t>
            </w:r>
          </w:p>
        </w:tc>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建议 30 到 45 ms</w:t>
            </w:r>
          </w:p>
        </w:tc>
        <w:tc>
          <w:tcPr>
            <w:tcW w:type="dxa" w:w="294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当前对话中的舒适目标区间</w:t>
            </w:r>
          </w:p>
        </w:tc>
        <w:tc>
          <w:tcPr>
            <w:tcW w:type="dxa" w:w="14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204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硬上限</w:t>
            </w:r>
          </w:p>
        </w:tc>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持续平均必须低于 66.7 ms</w:t>
            </w:r>
          </w:p>
        </w:tc>
        <w:tc>
          <w:tcPr>
            <w:tcW w:type="dxa" w:w="294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否则长期必然积压</w:t>
            </w:r>
          </w:p>
        </w:tc>
        <w:tc>
          <w:tcPr>
            <w:tcW w:type="dxa" w:w="14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已知基线</w:t>
            </w:r>
          </w:p>
        </w:tc>
      </w:tr>
    </w:tbl>
    <w:p>
      <w:pPr>
        <w:spacing w:after="20"/>
      </w:pPr>
    </w:p>
    <w:p>
      <w:pPr>
        <w:pStyle w:val="Heading2"/>
        <w:keepNext/>
        <w:spacing w:before="140" w:after="100"/>
      </w:pPr>
      <w:r>
        <w:rPr>
          <w:rFonts w:ascii="Microsoft YaHei" w:hAnsi="Microsoft YaHei" w:eastAsia="Microsoft YaHei"/>
          <w:b/>
          <w:color w:val="000000"/>
          <w:sz w:val="26"/>
        </w:rPr>
        <w:t>十二 二 双目吞吐解释</w:t>
      </w:r>
    </w:p>
    <w:p>
      <w:pPr>
        <w:spacing w:before="0" w:after="100" w:line="300" w:lineRule="auto"/>
        <w:keepLines/>
      </w:pPr>
      <w:r>
        <w:rPr>
          <w:rFonts w:ascii="Microsoft YaHei" w:hAnsi="Microsoft YaHei" w:eastAsia="Microsoft YaHei"/>
          <w:color w:val="000000"/>
          <w:sz w:val="21"/>
        </w:rPr>
        <w:t>双目扩大视野系统若两路均为 15 FPS，则每秒产生 30 张图像。若共享单个 NPU 串行处理，两路合计平均每张图像可用时间约为 33.3 ms，且还要包含切换和 DMA 开销；若以帧对调度，则应按每 66.7 ms 完成一对图像。扩大视野不降低总吞吐要求，具体采用单 NPU 串行 双实例并行或交错流水仍待 NPU 能力和资源报告确认。</w:t>
      </w:r>
    </w:p>
    <w:p>
      <w:pPr>
        <w:pStyle w:val="Heading2"/>
        <w:keepNext/>
        <w:spacing w:before="140" w:after="100"/>
      </w:pPr>
      <w:r>
        <w:rPr>
          <w:rFonts w:ascii="Microsoft YaHei" w:hAnsi="Microsoft YaHei" w:eastAsia="Microsoft YaHei"/>
          <w:b/>
          <w:color w:val="000000"/>
          <w:sz w:val="26"/>
        </w:rPr>
        <w:t>十二 三 性能测量规范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41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指标</w:t>
            </w:r>
          </w:p>
        </w:tc>
        <w:tc>
          <w:tcPr>
            <w:tcW w:type="dxa" w:w="215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测量起点</w:t>
            </w:r>
          </w:p>
        </w:tc>
        <w:tc>
          <w:tcPr>
            <w:tcW w:type="dxa" w:w="215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测量终点</w:t>
            </w:r>
          </w:p>
        </w:tc>
        <w:tc>
          <w:tcPr>
            <w:tcW w:type="dxa" w:w="243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报告要求</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采集延迟</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帧开始或帧结束信号</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Frame Buffer READY</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定义清楚起点并固定</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前处理延迟</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开始读帧</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输入张量 READY</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包含 DDR 等待</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推理延迟</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提交 NPU</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输出张量完成</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区分纯计算和排队</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后处理延迟</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输出张量完成</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最终结果发布</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包含 NMS 和坐标映射</w:t>
            </w:r>
          </w:p>
        </w:tc>
      </w:tr>
      <w:tr>
        <w:trPr>
          <w:cantSplit/>
        </w:trPr>
        <w:tc>
          <w:tcPr>
            <w:tcW w:type="dxa" w:w="141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端到端延迟</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帧采集基准点</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结果发布</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报告 P50 P95 P99 最大值</w:t>
            </w:r>
          </w:p>
        </w:tc>
      </w:tr>
      <w:tr>
        <w:trPr>
          <w:cantSplit/>
        </w:trPr>
        <w:tc>
          <w:tcPr>
            <w:tcW w:type="dxa" w:w="141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持续吞吐</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稳定运行区间</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处理完成计数</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至少运行时长待确认 并报告丢帧</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十三 模型输入规范模板</w:t>
      </w:r>
    </w:p>
    <w:p>
      <w:pPr>
        <w:spacing w:before="0" w:after="100" w:line="300" w:lineRule="auto"/>
        <w:keepLines/>
      </w:pPr>
      <w:r>
        <w:rPr>
          <w:rFonts w:ascii="Microsoft YaHei" w:hAnsi="Microsoft YaHei" w:eastAsia="Microsoft YaHei"/>
          <w:color w:val="000000"/>
          <w:sz w:val="21"/>
        </w:rPr>
        <w:t>下表应由算法负责人和 FPGA NPU 负责人共同填写并签字。模型一旦发布，任何字段变化都必须提升接口版本并重新执行金样测试。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283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字段</w:t>
            </w:r>
          </w:p>
        </w:tc>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正式值</w:t>
            </w:r>
          </w:p>
        </w:tc>
        <w:tc>
          <w:tcPr>
            <w:tcW w:type="dxa" w:w="306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状态或填写说明</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spec_version</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例如 1.0.0</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camera_model</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OV5640 待复核</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双路是否一致</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source_width source_height</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640 480 待复核</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有效像素 不含 blanking</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source_pixel_format</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RGB565 待复核</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附位定义</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source_byte_order</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例如高字节先到</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source_channel_order</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RGB 或 BGR</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crop_roi</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全图或 x y w h</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model_width model_height</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建议 320 320</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最终需模型和硬件确认</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resize_mode</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nearest bilinear 等</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keep_aspect_ratio</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true false</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padding_top bottom left right</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像素数</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padding_value</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按通道列出</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input_layout</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NCHW 或 NHWC</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input_dtype</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INT8 优先 待确认</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int8 uint8 等</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mean std</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逐通道顺序必须明确</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input_scale input_zero_point</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待量化工具输出</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写明对称性和粒度</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rounding_mode</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与 RTL 和 NPU 一致</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saturation_rule</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上下限</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tensor_stride alignment</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行 通道和首地址对齐</w:t>
            </w:r>
          </w:p>
        </w:tc>
      </w:tr>
      <w:tr>
        <w:trPr>
          <w:cantSplit/>
        </w:trPr>
        <w:tc>
          <w:tcPr>
            <w:tcW w:type="dxa" w:w="283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color w:val="000000"/>
                <w:sz w:val="16"/>
              </w:rPr>
              <w:t>coordinate_transform</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模型框映射回原图公式和边界处理</w:t>
            </w:r>
          </w:p>
        </w:tc>
      </w:tr>
      <w:tr>
        <w:trPr>
          <w:cantSplit/>
        </w:trPr>
        <w:tc>
          <w:tcPr>
            <w:tcW w:type="dxa" w:w="2834"/>
            <w:vAlign w:val="center"/>
            <w:tcMar>
              <w:top w:w="90" w:type="dxa"/>
              <w:start w:w="105" w:type="dxa"/>
              <w:bottom w:w="90" w:type="dxa"/>
              <w:end w:w="105" w:type="dxa"/>
            </w:tcMar>
          </w:tcPr>
          <w:p>
            <w:pPr>
              <w:spacing w:after="0" w:line="271" w:lineRule="auto"/>
              <w:jc w:val="left"/>
            </w:pPr>
            <w:r>
              <w:rPr>
                <w:rFonts w:ascii="Microsoft YaHei" w:hAnsi="Microsoft YaHei" w:eastAsia="Microsoft YaHei"/>
                <w:b/>
                <w:color w:val="000000"/>
                <w:sz w:val="16"/>
              </w:rPr>
              <w:t>golden_set_version</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待填写</w:t>
            </w:r>
          </w:p>
        </w:tc>
        <w:tc>
          <w:tcPr>
            <w:tcW w:type="dxa" w:w="306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金样输入输出的版本和哈希</w:t>
            </w:r>
          </w:p>
        </w:tc>
      </w:tr>
    </w:tbl>
    <w:p>
      <w:pPr>
        <w:spacing w:after="20"/>
      </w:pPr>
    </w:p>
    <w:p>
      <w:pPr>
        <w:pStyle w:val="Heading2"/>
        <w:keepNext/>
        <w:spacing w:before="140" w:after="100"/>
      </w:pPr>
      <w:r>
        <w:rPr>
          <w:rFonts w:ascii="Microsoft YaHei" w:hAnsi="Microsoft YaHei" w:eastAsia="Microsoft YaHei"/>
          <w:b/>
          <w:color w:val="000000"/>
          <w:sz w:val="26"/>
        </w:rPr>
        <w:t>十三 一 配置文件建议结构</w:t>
      </w:r>
    </w:p>
    <w:p>
      <w:pPr>
        <w:spacing w:after="120" w:line="240" w:lineRule="auto"/>
        <w:ind w:left="454" w:right="283"/>
        <w:keepLines/>
      </w:pPr>
      <w:r>
        <w:rPr>
          <w:rFonts w:ascii="Courier New" w:hAnsi="Courier New" w:eastAsia="Courier New"/>
          <w:color w:val="333333"/>
          <w:sz w:val="17"/>
        </w:rPr>
        <w:t>spec_version: 待填写</w:t>
        <w:br/>
      </w:r>
      <w:r>
        <w:rPr>
          <w:rFonts w:ascii="Courier New" w:hAnsi="Courier New" w:eastAsia="Courier New"/>
          <w:color w:val="333333"/>
          <w:sz w:val="17"/>
        </w:rPr>
        <w:t>source: {width: 640, height: 480, format: RGB565, byte_order: 待填写}</w:t>
        <w:br/>
      </w:r>
      <w:r>
        <w:rPr>
          <w:rFonts w:ascii="Courier New" w:hAnsi="Courier New" w:eastAsia="Courier New"/>
          <w:color w:val="333333"/>
          <w:sz w:val="17"/>
        </w:rPr>
        <w:t>resize: {mode: 待填写, keep_aspect: 待填写, dst: [待填写, 待填写]}</w:t>
        <w:br/>
      </w:r>
      <w:r>
        <w:rPr>
          <w:rFonts w:ascii="Courier New" w:hAnsi="Courier New" w:eastAsia="Courier New"/>
          <w:color w:val="333333"/>
          <w:sz w:val="17"/>
        </w:rPr>
        <w:t>padding: {top: 待填写, bottom: 待填写, left: 待填写, right: 待填写, value: 待填写}</w:t>
        <w:br/>
      </w:r>
      <w:r>
        <w:rPr>
          <w:rFonts w:ascii="Courier New" w:hAnsi="Courier New" w:eastAsia="Courier New"/>
          <w:color w:val="333333"/>
          <w:sz w:val="17"/>
        </w:rPr>
        <w:t>tensor: {layout: 待填写, dtype: 待填写, channel_order: 待填写}</w:t>
        <w:br/>
      </w:r>
      <w:r>
        <w:rPr>
          <w:rFonts w:ascii="Courier New" w:hAnsi="Courier New" w:eastAsia="Courier New"/>
          <w:color w:val="333333"/>
          <w:sz w:val="17"/>
        </w:rPr>
        <w:t>quantization: {scale: 待填写, zero_point: 待填写, rounding: 待填写, saturation: 待填写}</w:t>
        <w:br/>
      </w:r>
      <w:r>
        <w:rPr>
          <w:rFonts w:ascii="Courier New" w:hAnsi="Courier New" w:eastAsia="Courier New"/>
          <w:color w:val="333333"/>
          <w:sz w:val="17"/>
        </w:rPr>
        <w:t>model: {name: 待填写, version: 待填写, sha256: 待填写}</w:t>
      </w:r>
    </w:p>
    <w:p>
      <w:r>
        <w:br w:type="page"/>
      </w:r>
    </w:p>
    <w:p>
      <w:pPr>
        <w:pStyle w:val="Heading1"/>
        <w:keepNext/>
        <w:spacing w:before="180" w:after="100"/>
      </w:pPr>
      <w:r>
        <w:rPr>
          <w:rFonts w:ascii="Microsoft YaHei" w:hAnsi="Microsoft YaHei" w:eastAsia="Microsoft YaHei"/>
          <w:b/>
          <w:color w:val="000000"/>
          <w:sz w:val="32"/>
        </w:rPr>
        <w:t>十四 模型导出 接口和版本管理</w:t>
      </w:r>
    </w:p>
    <w:p>
      <w:pPr>
        <w:pStyle w:val="Heading2"/>
        <w:keepNext/>
        <w:spacing w:before="140" w:after="100"/>
      </w:pPr>
      <w:r>
        <w:rPr>
          <w:rFonts w:ascii="Microsoft YaHei" w:hAnsi="Microsoft YaHei" w:eastAsia="Microsoft YaHei"/>
          <w:b/>
          <w:color w:val="000000"/>
          <w:sz w:val="26"/>
        </w:rPr>
        <w:t>十四 一 导出格式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98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交付格式</w:t>
            </w:r>
          </w:p>
        </w:tc>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用途</w:t>
            </w:r>
          </w:p>
        </w:tc>
        <w:tc>
          <w:tcPr>
            <w:tcW w:type="dxa" w:w="391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要求</w:t>
            </w:r>
          </w:p>
        </w:tc>
      </w:tr>
      <w:tr>
        <w:trPr>
          <w:cantSplit/>
        </w:trPr>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训练框架权重</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继续训练和复现</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含完整模型定义 优化器状态是否保留待约定</w:t>
            </w:r>
          </w:p>
        </w:tc>
      </w:tr>
      <w:tr>
        <w:trPr>
          <w:cantSplit/>
        </w:trPr>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ONNX</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跨工具检查和 NPU 转换</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固定 batch 1 固定输入尺寸 opset 待 NPU 确认</w:t>
            </w:r>
          </w:p>
        </w:tc>
      </w:tr>
      <w:tr>
        <w:trPr>
          <w:cantSplit/>
        </w:trPr>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量化中间模型</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量化检查</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保存 scale zero point 和校准信息</w:t>
            </w:r>
          </w:p>
        </w:tc>
      </w:tr>
      <w:tr>
        <w:trPr>
          <w:cantSplit/>
        </w:trPr>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NPU 可执行模型</w:t>
            </w:r>
          </w:p>
        </w:tc>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板端部署</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由指定编译器版本生成 附完整日志</w:t>
            </w:r>
          </w:p>
        </w:tc>
      </w:tr>
      <w:tr>
        <w:trPr>
          <w:cantSplit/>
        </w:trPr>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参考模型</w:t>
            </w:r>
          </w:p>
        </w:tc>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PC 侧回归</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支持读取同一输入张量并输出原始张量</w:t>
            </w:r>
          </w:p>
        </w:tc>
      </w:tr>
    </w:tbl>
    <w:p>
      <w:pPr>
        <w:spacing w:after="20"/>
      </w:pPr>
    </w:p>
    <w:p>
      <w:pPr>
        <w:pStyle w:val="Heading2"/>
        <w:keepNext/>
        <w:spacing w:before="140" w:after="100"/>
      </w:pPr>
      <w:r>
        <w:rPr>
          <w:rFonts w:ascii="Microsoft YaHei" w:hAnsi="Microsoft YaHei" w:eastAsia="Microsoft YaHei"/>
          <w:b/>
          <w:color w:val="000000"/>
          <w:sz w:val="26"/>
        </w:rPr>
        <w:t>十四 二 模型输出接口</w:t>
      </w:r>
    </w:p>
    <w:p>
      <w:pPr>
        <w:spacing w:before="0" w:after="100" w:line="300" w:lineRule="auto"/>
        <w:keepLines/>
      </w:pPr>
      <w:r>
        <w:rPr>
          <w:rFonts w:ascii="Microsoft YaHei" w:hAnsi="Microsoft YaHei" w:eastAsia="Microsoft YaHei"/>
          <w:color w:val="000000"/>
          <w:sz w:val="21"/>
        </w:rPr>
        <w:t>算法工程师应提供模型原始输出张量定义和后处理后的应用结果定义。输出张量的数量、shape、布局、量化参数、anchor 或 anchor free 解码方式、置信度计算、阈值、NMS 类型和最大候选数均应写入接口文档。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170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应用字段</w:t>
            </w:r>
          </w:p>
        </w:tc>
        <w:tc>
          <w:tcPr>
            <w:tcW w:type="dxa" w:w="260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类型建议</w:t>
            </w:r>
          </w:p>
        </w:tc>
        <w:tc>
          <w:tcPr>
            <w:tcW w:type="dxa" w:w="385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含义</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frame_id</w:t>
            </w:r>
          </w:p>
        </w:tc>
        <w:tc>
          <w:tcPr>
            <w:tcW w:type="dxa" w:w="260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uint32 或 uint64 待确认</w:t>
            </w:r>
          </w:p>
        </w:tc>
        <w:tc>
          <w:tcPr>
            <w:tcW w:type="dxa" w:w="385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对应输入帧</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camera_id</w:t>
            </w:r>
          </w:p>
        </w:tc>
        <w:tc>
          <w:tcPr>
            <w:tcW w:type="dxa" w:w="260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枚举</w:t>
            </w:r>
          </w:p>
        </w:tc>
        <w:tc>
          <w:tcPr>
            <w:tcW w:type="dxa" w:w="385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left right 或设备编号</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pair_id</w:t>
            </w:r>
          </w:p>
        </w:tc>
        <w:tc>
          <w:tcPr>
            <w:tcW w:type="dxa" w:w="260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uint32 或 uint64 可选</w:t>
            </w:r>
          </w:p>
        </w:tc>
        <w:tc>
          <w:tcPr>
            <w:tcW w:type="dxa" w:w="385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双目帧对</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class_id</w:t>
            </w:r>
          </w:p>
        </w:tc>
        <w:tc>
          <w:tcPr>
            <w:tcW w:type="dxa" w:w="260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uint16 建议</w:t>
            </w:r>
          </w:p>
        </w:tc>
        <w:tc>
          <w:tcPr>
            <w:tcW w:type="dxa" w:w="385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类别表索引</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score</w:t>
            </w:r>
          </w:p>
        </w:tc>
        <w:tc>
          <w:tcPr>
            <w:tcW w:type="dxa" w:w="260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定点或浮点待确认</w:t>
            </w:r>
          </w:p>
        </w:tc>
        <w:tc>
          <w:tcPr>
            <w:tcW w:type="dxa" w:w="385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最终置信度</w:t>
            </w:r>
          </w:p>
        </w:tc>
      </w:tr>
      <w:tr>
        <w:trPr>
          <w:cantSplit/>
        </w:trPr>
        <w:tc>
          <w:tcPr>
            <w:tcW w:type="dxa" w:w="170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bbox</w:t>
            </w:r>
          </w:p>
        </w:tc>
        <w:tc>
          <w:tcPr>
            <w:tcW w:type="dxa" w:w="260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x1 y1 x2 y2</w:t>
            </w:r>
          </w:p>
        </w:tc>
        <w:tc>
          <w:tcPr>
            <w:tcW w:type="dxa" w:w="385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原始图像像素坐标</w:t>
            </w:r>
          </w:p>
        </w:tc>
      </w:tr>
      <w:tr>
        <w:trPr>
          <w:cantSplit/>
        </w:trPr>
        <w:tc>
          <w:tcPr>
            <w:tcW w:type="dxa" w:w="170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status</w:t>
            </w:r>
          </w:p>
        </w:tc>
        <w:tc>
          <w:tcPr>
            <w:tcW w:type="dxa" w:w="260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位域或枚举</w:t>
            </w:r>
          </w:p>
        </w:tc>
        <w:tc>
          <w:tcPr>
            <w:tcW w:type="dxa" w:w="385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正常 丢帧 异常 超时等</w:t>
            </w:r>
          </w:p>
        </w:tc>
      </w:tr>
    </w:tbl>
    <w:p>
      <w:pPr>
        <w:spacing w:after="20"/>
      </w:pPr>
    </w:p>
    <w:p>
      <w:pPr>
        <w:pStyle w:val="Heading2"/>
        <w:keepNext/>
        <w:spacing w:before="140" w:after="100"/>
      </w:pPr>
      <w:r>
        <w:rPr>
          <w:rFonts w:ascii="Microsoft YaHei" w:hAnsi="Microsoft YaHei" w:eastAsia="Microsoft YaHei"/>
          <w:b/>
          <w:color w:val="000000"/>
          <w:sz w:val="26"/>
        </w:rPr>
        <w:t>十四 三 版本标识</w:t>
      </w:r>
    </w:p>
    <w:p>
      <w:pPr>
        <w:pStyle w:val="ListBullet"/>
        <w:spacing w:after="60" w:line="283" w:lineRule="auto"/>
        <w:ind w:left="397" w:hanging="142"/>
        <w:keepLines/>
      </w:pPr>
      <w:r>
        <w:rPr>
          <w:rFonts w:ascii="Microsoft YaHei" w:hAnsi="Microsoft YaHei" w:eastAsia="Microsoft YaHei"/>
          <w:color w:val="000000"/>
          <w:sz w:val="21"/>
        </w:rPr>
        <w:t>model_version 使用语义化版本或项目统一规则，并与文件名一致。</w:t>
      </w:r>
    </w:p>
    <w:p>
      <w:pPr>
        <w:pStyle w:val="ListBullet"/>
        <w:spacing w:after="60" w:line="283" w:lineRule="auto"/>
        <w:ind w:left="397" w:hanging="142"/>
        <w:keepLines/>
      </w:pPr>
      <w:r>
        <w:rPr>
          <w:rFonts w:ascii="Microsoft YaHei" w:hAnsi="Microsoft YaHei" w:eastAsia="Microsoft YaHei"/>
          <w:color w:val="000000"/>
          <w:sz w:val="21"/>
        </w:rPr>
        <w:t>dataset_version 标识原始数据、标注和划分。任何测试集变化必须提升版本。</w:t>
      </w:r>
    </w:p>
    <w:p>
      <w:pPr>
        <w:pStyle w:val="ListBullet"/>
        <w:spacing w:after="60" w:line="283" w:lineRule="auto"/>
        <w:ind w:left="397" w:hanging="142"/>
        <w:keepLines/>
      </w:pPr>
      <w:r>
        <w:rPr>
          <w:rFonts w:ascii="Microsoft YaHei" w:hAnsi="Microsoft YaHei" w:eastAsia="Microsoft YaHei"/>
          <w:color w:val="000000"/>
          <w:sz w:val="21"/>
        </w:rPr>
        <w:t>preprocess_spec_version 与模型绑定。若颜色、resize、padding、归一化或量化任一规则变化，必须提升版本。</w:t>
      </w:r>
    </w:p>
    <w:p>
      <w:pPr>
        <w:pStyle w:val="ListBullet"/>
        <w:spacing w:after="60" w:line="283" w:lineRule="auto"/>
        <w:ind w:left="397" w:hanging="142"/>
        <w:keepLines/>
      </w:pPr>
      <w:r>
        <w:rPr>
          <w:rFonts w:ascii="Microsoft YaHei" w:hAnsi="Microsoft YaHei" w:eastAsia="Microsoft YaHei"/>
          <w:color w:val="000000"/>
          <w:sz w:val="21"/>
        </w:rPr>
        <w:t>toolchain_version 记录训练框架、CUDA 或运行库、ONNX 导出器、量化工具、NPU 编译器、FPGA bitstream 和运行时。</w:t>
      </w:r>
    </w:p>
    <w:p>
      <w:pPr>
        <w:pStyle w:val="ListBullet"/>
        <w:spacing w:after="60" w:line="283" w:lineRule="auto"/>
        <w:ind w:left="397" w:hanging="142"/>
        <w:keepLines/>
      </w:pPr>
      <w:r>
        <w:rPr>
          <w:rFonts w:ascii="Microsoft YaHei" w:hAnsi="Microsoft YaHei" w:eastAsia="Microsoft YaHei"/>
          <w:color w:val="000000"/>
          <w:sz w:val="21"/>
        </w:rPr>
        <w:t>所有二进制文件提供 SHA256，发布清单记录 Git 提交、构建命令、日期、负责人和兼容硬件版本。</w:t>
      </w:r>
    </w:p>
    <w:p>
      <w:r>
        <w:br w:type="page"/>
      </w:r>
    </w:p>
    <w:p>
      <w:pPr>
        <w:pStyle w:val="Heading1"/>
        <w:keepNext/>
        <w:spacing w:before="180" w:after="100"/>
      </w:pPr>
      <w:r>
        <w:rPr>
          <w:rFonts w:ascii="Microsoft YaHei" w:hAnsi="Microsoft YaHei" w:eastAsia="Microsoft YaHei"/>
          <w:b/>
          <w:color w:val="000000"/>
          <w:sz w:val="32"/>
        </w:rPr>
        <w:t>十五 验收指标与测试矩阵</w:t>
      </w:r>
    </w:p>
    <w:p>
      <w:pPr>
        <w:pStyle w:val="Heading2"/>
        <w:keepNext/>
        <w:spacing w:before="140" w:after="100"/>
      </w:pPr>
      <w:r>
        <w:rPr>
          <w:rFonts w:ascii="Microsoft YaHei" w:hAnsi="Microsoft YaHei" w:eastAsia="Microsoft YaHei"/>
          <w:b/>
          <w:color w:val="000000"/>
          <w:sz w:val="26"/>
        </w:rPr>
        <w:t>十五 一 精度指标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226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指标</w:t>
            </w:r>
          </w:p>
        </w:tc>
        <w:tc>
          <w:tcPr>
            <w:tcW w:type="dxa" w:w="181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验收阈值</w:t>
            </w:r>
          </w:p>
        </w:tc>
        <w:tc>
          <w:tcPr>
            <w:tcW w:type="dxa" w:w="408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说明</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mAP50</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总体检测基线</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mAP50至95</w:t>
            </w:r>
          </w:p>
        </w:tc>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更严格的定位质量</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每类 AP</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防止总体指标掩盖弱类别</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关键类别召回率</w:t>
            </w:r>
          </w:p>
        </w:tc>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业务关键指标 应规定置信度阈值</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误检率</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按帧 每公里或场景定义待确认</w:t>
            </w:r>
          </w:p>
        </w:tc>
      </w:tr>
      <w:tr>
        <w:trPr>
          <w:cantSplit/>
        </w:trPr>
        <w:tc>
          <w:tcPr>
            <w:tcW w:type="dxa" w:w="226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小目标 AP 或召回率</w:t>
            </w:r>
          </w:p>
        </w:tc>
        <w:tc>
          <w:tcPr>
            <w:tcW w:type="dxa" w:w="181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目标尺寸区间待确认</w:t>
            </w:r>
          </w:p>
        </w:tc>
      </w:tr>
      <w:tr>
        <w:trPr>
          <w:cantSplit/>
        </w:trPr>
        <w:tc>
          <w:tcPr>
            <w:tcW w:type="dxa" w:w="226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INT8 相对 FP32 损失</w:t>
            </w:r>
          </w:p>
        </w:tc>
        <w:tc>
          <w:tcPr>
            <w:tcW w:type="dxa" w:w="181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c>
          <w:tcPr>
            <w:tcW w:type="dxa" w:w="408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同时检查总体和关键类别</w:t>
            </w:r>
          </w:p>
        </w:tc>
      </w:tr>
    </w:tbl>
    <w:p>
      <w:pPr>
        <w:spacing w:after="20"/>
      </w:pPr>
    </w:p>
    <w:p>
      <w:pPr>
        <w:pStyle w:val="Heading2"/>
        <w:keepNext/>
        <w:spacing w:before="140" w:after="100"/>
      </w:pPr>
      <w:r>
        <w:rPr>
          <w:rFonts w:ascii="Microsoft YaHei" w:hAnsi="Microsoft YaHei" w:eastAsia="Microsoft YaHei"/>
          <w:b/>
          <w:color w:val="000000"/>
          <w:sz w:val="26"/>
        </w:rPr>
        <w:t>十五 二 板端性能和稳定性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232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指标</w:t>
            </w:r>
          </w:p>
        </w:tc>
        <w:tc>
          <w:tcPr>
            <w:tcW w:type="dxa" w:w="419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验收要求</w:t>
            </w:r>
          </w:p>
        </w:tc>
        <w:tc>
          <w:tcPr>
            <w:tcW w:type="dxa" w:w="164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7"/>
              </w:rPr>
              <w:t>状态</w:t>
            </w:r>
          </w:p>
        </w:tc>
      </w:tr>
      <w:tr>
        <w:trPr>
          <w:cantSplit/>
        </w:trPr>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单目持续吞吐</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不低于 15 FPS 且无长期队列增长</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已知基线</w:t>
            </w:r>
          </w:p>
        </w:tc>
      </w:tr>
      <w:tr>
        <w:trPr>
          <w:cantSplit/>
        </w:trPr>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单目端到端平均延迟</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小于 66.7 ms 建议目标 30 到 45 ms</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最终阈值待确认</w:t>
            </w:r>
          </w:p>
        </w:tc>
      </w:tr>
      <w:tr>
        <w:trPr>
          <w:cantSplit/>
        </w:trPr>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P95 P99 延迟</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待确认</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需覆盖 DDR 仲裁和系统负载</w:t>
            </w:r>
          </w:p>
        </w:tc>
      </w:tr>
      <w:tr>
        <w:trPr>
          <w:cantSplit/>
        </w:trPr>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丢帧和重复帧</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阈值待确认 必须可计数</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双目吞吐</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每路 15 FPS 或每 66.7 ms 一对图像</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待架构确认</w:t>
            </w:r>
          </w:p>
        </w:tc>
      </w:tr>
      <w:tr>
        <w:trPr>
          <w:cantSplit/>
        </w:trPr>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FIFO 上溢下溢</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正常运行不发生</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建议硬要求</w:t>
            </w:r>
          </w:p>
        </w:tc>
      </w:tr>
      <w:tr>
        <w:trPr>
          <w:cantSplit/>
        </w:trPr>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Frame Buffer 状态错误</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不发生读写冲突或非法覆盖</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硬要求</w:t>
            </w:r>
          </w:p>
        </w:tc>
      </w:tr>
      <w:tr>
        <w:trPr>
          <w:cantSplit/>
        </w:trPr>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长稳运行</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时长待确认 无死锁 内存泄漏或持续性能退化</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待确认</w:t>
            </w:r>
          </w:p>
        </w:tc>
      </w:tr>
      <w:tr>
        <w:trPr>
          <w:cantSplit/>
        </w:trPr>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资源占用</w:t>
            </w:r>
          </w:p>
        </w:tc>
        <w:tc>
          <w:tcPr>
            <w:tcW w:type="dxa" w:w="419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低于各类资源预算并保留安全余量</w:t>
            </w:r>
          </w:p>
        </w:tc>
        <w:tc>
          <w:tcPr>
            <w:tcW w:type="dxa" w:w="164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7"/>
              </w:rPr>
              <w:t>预算待确认</w:t>
            </w:r>
          </w:p>
        </w:tc>
      </w:tr>
      <w:tr>
        <w:trPr>
          <w:cantSplit/>
        </w:trPr>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时序</w:t>
            </w:r>
          </w:p>
        </w:tc>
        <w:tc>
          <w:tcPr>
            <w:tcW w:type="dxa" w:w="419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目标频率下完成时序收敛</w:t>
            </w:r>
          </w:p>
        </w:tc>
        <w:tc>
          <w:tcPr>
            <w:tcW w:type="dxa" w:w="164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7"/>
              </w:rPr>
              <w:t>目标频率待确认</w:t>
            </w:r>
          </w:p>
        </w:tc>
      </w:tr>
    </w:tbl>
    <w:p>
      <w:pPr>
        <w:spacing w:after="20"/>
      </w:pPr>
    </w:p>
    <w:p>
      <w:pPr>
        <w:pStyle w:val="Heading2"/>
        <w:keepNext/>
        <w:spacing w:before="140" w:after="100"/>
      </w:pPr>
      <w:r>
        <w:rPr>
          <w:rFonts w:ascii="Microsoft YaHei" w:hAnsi="Microsoft YaHei" w:eastAsia="Microsoft YaHei"/>
          <w:b/>
          <w:color w:val="000000"/>
          <w:sz w:val="26"/>
        </w:rPr>
        <w:t>十五 三 验收分层</w:t>
      </w:r>
    </w:p>
    <w:p>
      <w:pPr>
        <w:pStyle w:val="ListBullet"/>
        <w:spacing w:after="60" w:line="283" w:lineRule="auto"/>
        <w:ind w:left="397" w:hanging="142"/>
        <w:keepLines/>
      </w:pPr>
      <w:r>
        <w:rPr>
          <w:rFonts w:ascii="Microsoft YaHei" w:hAnsi="Microsoft YaHei" w:eastAsia="Microsoft YaHei"/>
          <w:color w:val="000000"/>
          <w:sz w:val="21"/>
        </w:rPr>
        <w:t>离线模型验收  在冻结测试集上评估 FP32 和 INT8 精度。</w:t>
      </w:r>
    </w:p>
    <w:p>
      <w:pPr>
        <w:pStyle w:val="ListBullet"/>
        <w:spacing w:after="60" w:line="283" w:lineRule="auto"/>
        <w:ind w:left="397" w:hanging="142"/>
        <w:keepLines/>
      </w:pPr>
      <w:r>
        <w:rPr>
          <w:rFonts w:ascii="Microsoft YaHei" w:hAnsi="Microsoft YaHei" w:eastAsia="Microsoft YaHei"/>
          <w:color w:val="000000"/>
          <w:sz w:val="21"/>
        </w:rPr>
        <w:t>转换验收  ONNX 与 NPU 模型对同一输入的输出满足约定误差。</w:t>
      </w:r>
    </w:p>
    <w:p>
      <w:pPr>
        <w:pStyle w:val="ListBullet"/>
        <w:spacing w:after="60" w:line="283" w:lineRule="auto"/>
        <w:ind w:left="397" w:hanging="142"/>
        <w:keepLines/>
      </w:pPr>
      <w:r>
        <w:rPr>
          <w:rFonts w:ascii="Microsoft YaHei" w:hAnsi="Microsoft YaHei" w:eastAsia="Microsoft YaHei"/>
          <w:color w:val="000000"/>
          <w:sz w:val="21"/>
        </w:rPr>
        <w:t>前处理验收  软件参考和 FPGA 张量通过金样比较。</w:t>
      </w:r>
    </w:p>
    <w:p>
      <w:pPr>
        <w:pStyle w:val="ListBullet"/>
        <w:spacing w:after="60" w:line="283" w:lineRule="auto"/>
        <w:ind w:left="397" w:hanging="142"/>
        <w:keepLines/>
      </w:pPr>
      <w:r>
        <w:rPr>
          <w:rFonts w:ascii="Microsoft YaHei" w:hAnsi="Microsoft YaHei" w:eastAsia="Microsoft YaHei"/>
          <w:color w:val="000000"/>
          <w:sz w:val="21"/>
        </w:rPr>
        <w:t>板端功能验收  实时视频结果正确关联 frame_id camera_id 和坐标。</w:t>
      </w:r>
    </w:p>
    <w:p>
      <w:pPr>
        <w:pStyle w:val="ListBullet"/>
        <w:spacing w:after="60" w:line="283" w:lineRule="auto"/>
        <w:ind w:left="397" w:hanging="142"/>
        <w:keepLines/>
      </w:pPr>
      <w:r>
        <w:rPr>
          <w:rFonts w:ascii="Microsoft YaHei" w:hAnsi="Microsoft YaHei" w:eastAsia="Microsoft YaHei"/>
          <w:color w:val="000000"/>
          <w:sz w:val="21"/>
        </w:rPr>
        <w:t>性能验收  在规定时钟 DDR 负载和温度条件下测量延迟和吞吐。</w:t>
      </w:r>
    </w:p>
    <w:p>
      <w:pPr>
        <w:pStyle w:val="ListBullet"/>
        <w:spacing w:after="60" w:line="283" w:lineRule="auto"/>
        <w:ind w:left="397" w:hanging="142"/>
        <w:keepLines/>
      </w:pPr>
      <w:r>
        <w:rPr>
          <w:rFonts w:ascii="Microsoft YaHei" w:hAnsi="Microsoft YaHei" w:eastAsia="Microsoft YaHei"/>
          <w:color w:val="000000"/>
          <w:sz w:val="21"/>
        </w:rPr>
        <w:t>长稳验收  记录帧计数、缓冲水位、错误计数和温度，不得只观察画面。</w:t>
      </w:r>
    </w:p>
    <w:p>
      <w:r>
        <w:br w:type="page"/>
      </w:r>
    </w:p>
    <w:p>
      <w:pPr>
        <w:pStyle w:val="Heading1"/>
        <w:keepNext/>
        <w:spacing w:before="180" w:after="100"/>
      </w:pPr>
      <w:r>
        <w:rPr>
          <w:rFonts w:ascii="Microsoft YaHei" w:hAnsi="Microsoft YaHei" w:eastAsia="Microsoft YaHei"/>
          <w:b/>
          <w:color w:val="000000"/>
          <w:sz w:val="32"/>
        </w:rPr>
        <w:t>十六 交付物清单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79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编号</w:t>
            </w:r>
          </w:p>
        </w:tc>
        <w:tc>
          <w:tcPr>
            <w:tcW w:type="dxa" w:w="209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交付物</w:t>
            </w:r>
          </w:p>
        </w:tc>
        <w:tc>
          <w:tcPr>
            <w:tcW w:type="dxa" w:w="391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内容要求</w:t>
            </w:r>
          </w:p>
        </w:tc>
        <w:tc>
          <w:tcPr>
            <w:tcW w:type="dxa" w:w="136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责任方</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D01</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任务和类别定义</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类别表 业务优先级 标注规则 忽略规则</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项目负责人 算法</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D02</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数据集清单</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数据版本 划分 统计 来源和授权</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算法</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D03</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标注文件</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统一格式 质量报告 修改记录</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算法 数据团队</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D04</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训练代码和配置</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可复现环境 命令 随机种子 日志</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算法</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D05</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模型评估报告</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FP32 INT8 每类指标 难例分析</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算法</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D06</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前处理规范</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完整输入模板 参考实现 坐标映射</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算法 FPGA</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D07</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金样包</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RGB565 原始帧 中间图 张量 输出 哈希</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算法 FPGA NPU</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D08</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模型文件</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训练权重 ONNX INT8 中间模型 NPU 文件</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算法 NPU</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D09</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算子支持矩阵</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版本 属性 限制 回退和替换方案</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NPU</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D10</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NPU 编译报告</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日志 内存 算子映射 融合和性能估计</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NPU</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D11</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FPGA 接口文档</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Frame Buffer FIFO DMA 中断 元数据</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FPGA</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D12</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资源和时序报告</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LUT DSP BRAM DDR 带宽 时钟裕量</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FPGA</w:t>
            </w:r>
          </w:p>
        </w:tc>
      </w:tr>
      <w:tr>
        <w:trPr>
          <w:cantSplit/>
        </w:trPr>
        <w:tc>
          <w:tcPr>
            <w:tcW w:type="dxa" w:w="793"/>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D13</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板端测试报告</w:t>
            </w:r>
          </w:p>
        </w:tc>
        <w:tc>
          <w:tcPr>
            <w:tcW w:type="dxa" w:w="391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功能 性能 长稳 丢帧 版本和环境</w:t>
            </w:r>
          </w:p>
        </w:tc>
        <w:tc>
          <w:tcPr>
            <w:tcW w:type="dxa" w:w="1360"/>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6"/>
              </w:rPr>
              <w:t>联合</w:t>
            </w:r>
          </w:p>
        </w:tc>
      </w:tr>
      <w:tr>
        <w:trPr>
          <w:cantSplit/>
        </w:trPr>
        <w:tc>
          <w:tcPr>
            <w:tcW w:type="dxa" w:w="793"/>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D14</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发布清单</w:t>
            </w:r>
          </w:p>
        </w:tc>
        <w:tc>
          <w:tcPr>
            <w:tcW w:type="dxa" w:w="391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版本 哈希 兼容性 已知问题 回滚包</w:t>
            </w:r>
          </w:p>
        </w:tc>
        <w:tc>
          <w:tcPr>
            <w:tcW w:type="dxa" w:w="1360"/>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6"/>
              </w:rPr>
              <w:t>联合</w:t>
            </w:r>
          </w:p>
        </w:tc>
      </w:tr>
    </w:tbl>
    <w:p>
      <w:pPr>
        <w:spacing w:after="20"/>
      </w:pPr>
    </w:p>
    <w:p>
      <w:pPr>
        <w:pStyle w:val="Heading2"/>
        <w:keepNext/>
        <w:spacing w:before="140" w:after="100"/>
      </w:pPr>
      <w:r>
        <w:rPr>
          <w:rFonts w:ascii="Microsoft YaHei" w:hAnsi="Microsoft YaHei" w:eastAsia="Microsoft YaHei"/>
          <w:b/>
          <w:color w:val="000000"/>
          <w:sz w:val="26"/>
        </w:rPr>
        <w:t>十六 一 模型发布目录建议</w:t>
      </w:r>
    </w:p>
    <w:p>
      <w:pPr>
        <w:spacing w:after="120" w:line="240" w:lineRule="auto"/>
        <w:ind w:left="454" w:right="283"/>
        <w:keepLines/>
      </w:pPr>
      <w:r>
        <w:rPr>
          <w:rFonts w:ascii="Courier New" w:hAnsi="Courier New" w:eastAsia="Courier New"/>
          <w:color w:val="333333"/>
          <w:sz w:val="17"/>
        </w:rPr>
        <w:t>release/model_name/version/</w:t>
        <w:br/>
      </w:r>
      <w:r>
        <w:rPr>
          <w:rFonts w:ascii="Courier New" w:hAnsi="Courier New" w:eastAsia="Courier New"/>
          <w:color w:val="333333"/>
          <w:sz w:val="17"/>
        </w:rPr>
        <w:t xml:space="preserve">  README.md</w:t>
        <w:br/>
      </w:r>
      <w:r>
        <w:rPr>
          <w:rFonts w:ascii="Courier New" w:hAnsi="Courier New" w:eastAsia="Courier New"/>
          <w:color w:val="333333"/>
          <w:sz w:val="17"/>
        </w:rPr>
        <w:t xml:space="preserve">  manifest.json</w:t>
        <w:br/>
      </w:r>
      <w:r>
        <w:rPr>
          <w:rFonts w:ascii="Courier New" w:hAnsi="Courier New" w:eastAsia="Courier New"/>
          <w:color w:val="333333"/>
          <w:sz w:val="17"/>
        </w:rPr>
        <w:t xml:space="preserve">  class_map.json</w:t>
        <w:br/>
      </w:r>
      <w:r>
        <w:rPr>
          <w:rFonts w:ascii="Courier New" w:hAnsi="Courier New" w:eastAsia="Courier New"/>
          <w:color w:val="333333"/>
          <w:sz w:val="17"/>
        </w:rPr>
        <w:t xml:space="preserve">  preprocess.yaml</w:t>
        <w:br/>
      </w:r>
      <w:r>
        <w:rPr>
          <w:rFonts w:ascii="Courier New" w:hAnsi="Courier New" w:eastAsia="Courier New"/>
          <w:color w:val="333333"/>
          <w:sz w:val="17"/>
        </w:rPr>
        <w:t xml:space="preserve">  model_fp32.onnx</w:t>
        <w:br/>
      </w:r>
      <w:r>
        <w:rPr>
          <w:rFonts w:ascii="Courier New" w:hAnsi="Courier New" w:eastAsia="Courier New"/>
          <w:color w:val="333333"/>
          <w:sz w:val="17"/>
        </w:rPr>
        <w:t xml:space="preserve">  model_int8.onnx</w:t>
        <w:br/>
      </w:r>
      <w:r>
        <w:rPr>
          <w:rFonts w:ascii="Courier New" w:hAnsi="Courier New" w:eastAsia="Courier New"/>
          <w:color w:val="333333"/>
          <w:sz w:val="17"/>
        </w:rPr>
        <w:t xml:space="preserve">  model_target_npu.bin</w:t>
        <w:br/>
      </w:r>
      <w:r>
        <w:rPr>
          <w:rFonts w:ascii="Courier New" w:hAnsi="Courier New" w:eastAsia="Courier New"/>
          <w:color w:val="333333"/>
          <w:sz w:val="17"/>
        </w:rPr>
        <w:t xml:space="preserve">  calibration_manifest.csv</w:t>
        <w:br/>
      </w:r>
      <w:r>
        <w:rPr>
          <w:rFonts w:ascii="Courier New" w:hAnsi="Courier New" w:eastAsia="Courier New"/>
          <w:color w:val="333333"/>
          <w:sz w:val="17"/>
        </w:rPr>
        <w:t xml:space="preserve">  golden_inputs/</w:t>
        <w:br/>
      </w:r>
      <w:r>
        <w:rPr>
          <w:rFonts w:ascii="Courier New" w:hAnsi="Courier New" w:eastAsia="Courier New"/>
          <w:color w:val="333333"/>
          <w:sz w:val="17"/>
        </w:rPr>
        <w:t xml:space="preserve">  golden_outputs/</w:t>
        <w:br/>
      </w:r>
      <w:r>
        <w:rPr>
          <w:rFonts w:ascii="Courier New" w:hAnsi="Courier New" w:eastAsia="Courier New"/>
          <w:color w:val="333333"/>
          <w:sz w:val="17"/>
        </w:rPr>
        <w:t xml:space="preserve">  reports/accuracy.pdf  reports/compiler.txt  reports/board_benchmark.csv</w:t>
      </w:r>
    </w:p>
    <w:p>
      <w:r>
        <w:br w:type="page"/>
      </w:r>
    </w:p>
    <w:p>
      <w:pPr>
        <w:pStyle w:val="Heading1"/>
        <w:keepNext/>
        <w:spacing w:before="180" w:after="100"/>
      </w:pPr>
      <w:r>
        <w:rPr>
          <w:rFonts w:ascii="Microsoft YaHei" w:hAnsi="Microsoft YaHei" w:eastAsia="Microsoft YaHei"/>
          <w:b/>
          <w:color w:val="000000"/>
          <w:sz w:val="32"/>
        </w:rPr>
        <w:t>十七 主要风险和控制措施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158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风险</w:t>
            </w:r>
          </w:p>
        </w:tc>
        <w:tc>
          <w:tcPr>
            <w:tcW w:type="dxa" w:w="215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表现</w:t>
            </w:r>
          </w:p>
        </w:tc>
        <w:tc>
          <w:tcPr>
            <w:tcW w:type="dxa" w:w="317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控制措施</w:t>
            </w:r>
          </w:p>
        </w:tc>
        <w:tc>
          <w:tcPr>
            <w:tcW w:type="dxa" w:w="124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责任方</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模型过重</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NPU 延迟超过帧周期</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限制输入尺寸和 MACs 先做板端早期基准</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NPU</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小目标精度不足</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远处路标漏检</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统计目标尺寸 尝试更高输入尺寸或检测头 并评估硬件代价</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算法</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前处理不一致</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PC 精度正常 板端结果异常</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单一规范 参考实现 金样逐层比对</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FPGA</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量化损失</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INT8 关键类别召回下降</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改进校准集 QAT 敏感层分析</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算法 NPU</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不支持算子</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转换失败或 CPU 回退</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训练前冻结算子白名单 编译日志检查</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NPU</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DDR 带宽不足</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延迟抖动 FIFO 水位升高</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带宽预算 突发优化 片上复用 仲裁压力测试</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缓冲覆盖</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帧撕裂 错帧 重复帧</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所有权状态机 帧号 校验和错误计数</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FPGA</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双目错配</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左右结果对应不同时间</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公共时钟 硬同步 时间差门限 orphan 处理</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 系统</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数据泄漏</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离线指标虚高</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按视频段和采集任务划分 去重</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w:t>
            </w:r>
          </w:p>
        </w:tc>
      </w:tr>
      <w:tr>
        <w:trPr>
          <w:cantSplit/>
        </w:trPr>
        <w:tc>
          <w:tcPr>
            <w:tcW w:type="dxa" w:w="158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场景偏差</w:t>
            </w:r>
          </w:p>
        </w:tc>
        <w:tc>
          <w:tcPr>
            <w:tcW w:type="dxa" w:w="215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实车性能明显低于测试集</w:t>
            </w:r>
          </w:p>
        </w:tc>
        <w:tc>
          <w:tcPr>
            <w:tcW w:type="dxa" w:w="317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目标硬件实拍 困难场景和负样本回灌</w:t>
            </w:r>
          </w:p>
        </w:tc>
        <w:tc>
          <w:tcPr>
            <w:tcW w:type="dxa" w:w="124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项目 算法</w:t>
            </w:r>
          </w:p>
        </w:tc>
      </w:tr>
      <w:tr>
        <w:trPr>
          <w:cantSplit/>
        </w:trPr>
        <w:tc>
          <w:tcPr>
            <w:tcW w:type="dxa" w:w="158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版本不可追溯</w:t>
            </w:r>
          </w:p>
        </w:tc>
        <w:tc>
          <w:tcPr>
            <w:tcW w:type="dxa" w:w="215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模型和 bitstream 无法复现</w:t>
            </w:r>
          </w:p>
        </w:tc>
        <w:tc>
          <w:tcPr>
            <w:tcW w:type="dxa" w:w="317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统一 manifest 哈希和发布审批</w:t>
            </w:r>
          </w:p>
        </w:tc>
        <w:tc>
          <w:tcPr>
            <w:tcW w:type="dxa" w:w="124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联合</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十八 待确认事项</w:t>
      </w:r>
    </w:p>
    <w:p>
      <w:pPr>
        <w:spacing w:before="0" w:after="100" w:line="300" w:lineRule="auto"/>
        <w:keepLines/>
      </w:pPr>
      <w:r>
        <w:rPr>
          <w:rFonts w:ascii="Microsoft YaHei" w:hAnsi="Microsoft YaHei" w:eastAsia="Microsoft YaHei"/>
          <w:color w:val="000000"/>
          <w:sz w:val="21"/>
        </w:rPr>
        <w:t>双目主要用途和 FPGA 器件已关闭。下列剩余问题应在算法选型和批量采集前确认。P0 会直接改变模型、前处理或硬件架构；P1 影响验收和性能；P2 可在实现过程中补齐，但必须在发布前关闭。</w:t>
      </w:r>
    </w:p>
    <w:p>
      <w:pPr>
        <w:pStyle w:val="Heading2"/>
        <w:keepNext/>
        <w:spacing w:before="140" w:after="100"/>
      </w:pPr>
      <w:r>
        <w:rPr>
          <w:rFonts w:ascii="Microsoft YaHei" w:hAnsi="Microsoft YaHei" w:eastAsia="Microsoft YaHei"/>
          <w:b/>
          <w:color w:val="000000"/>
          <w:sz w:val="26"/>
        </w:rPr>
        <w:t>十八 一 已关闭事项</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96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编号</w:t>
            </w:r>
          </w:p>
        </w:tc>
        <w:tc>
          <w:tcPr>
            <w:tcW w:type="dxa" w:w="198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事项</w:t>
            </w:r>
          </w:p>
        </w:tc>
        <w:tc>
          <w:tcPr>
            <w:tcW w:type="dxa" w:w="3118"/>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正式结论</w:t>
            </w:r>
          </w:p>
        </w:tc>
        <w:tc>
          <w:tcPr>
            <w:tcW w:type="dxa" w:w="209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证据来源</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C 01</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双目主要用途</w:t>
            </w:r>
          </w:p>
        </w:tc>
        <w:tc>
          <w:tcPr>
            <w:tcW w:type="dxa" w:w="311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扩大视野 两路覆盖互补视场</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项目方于 2026 10 02 明确确认</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C 02</w:t>
            </w:r>
          </w:p>
        </w:tc>
        <w:tc>
          <w:tcPr>
            <w:tcW w:type="dxa" w:w="198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 器件</w:t>
            </w:r>
          </w:p>
        </w:tc>
        <w:tc>
          <w:tcPr>
            <w:tcW w:type="dxa" w:w="3118"/>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Logos2 PG2L200H FBB676 速度等级 -6</w:t>
            </w:r>
          </w:p>
        </w:tc>
        <w:tc>
          <w:tcPr>
            <w:tcW w:type="dxa" w:w="209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当前 PDS 工程 实现脚本和 IP 生成日志</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C 03</w:t>
            </w:r>
          </w:p>
        </w:tc>
        <w:tc>
          <w:tcPr>
            <w:tcW w:type="dxa" w:w="198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SoC CPU ISA</w:t>
            </w:r>
          </w:p>
        </w:tc>
        <w:tc>
          <w:tcPr>
            <w:tcW w:type="dxa" w:w="3118"/>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RV32I 加 M 扩展</w:t>
            </w:r>
          </w:p>
        </w:tc>
        <w:tc>
          <w:tcPr>
            <w:tcW w:type="dxa" w:w="209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仓库 README 和 ISA 测试</w:t>
            </w:r>
          </w:p>
        </w:tc>
      </w:tr>
    </w:tbl>
    <w:p>
      <w:pPr>
        <w:spacing w:after="20"/>
      </w:pPr>
    </w:p>
    <w:p>
      <w:pPr>
        <w:pStyle w:val="Heading2"/>
        <w:keepNext/>
        <w:spacing w:before="140" w:after="100"/>
      </w:pPr>
      <w:r>
        <w:rPr>
          <w:rFonts w:ascii="Microsoft YaHei" w:hAnsi="Microsoft YaHei" w:eastAsia="Microsoft YaHei"/>
          <w:b/>
          <w:color w:val="000000"/>
          <w:sz w:val="26"/>
        </w:rPr>
        <w:t>十八 二 P0 架构与任务确认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96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编号</w:t>
            </w:r>
          </w:p>
        </w:tc>
        <w:tc>
          <w:tcPr>
            <w:tcW w:type="dxa" w:w="243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问题</w:t>
            </w:r>
          </w:p>
        </w:tc>
        <w:tc>
          <w:tcPr>
            <w:tcW w:type="dxa" w:w="357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需要的决定或证据</w:t>
            </w:r>
          </w:p>
        </w:tc>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负责人</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P0 01</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最终路标类别有哪些</w:t>
            </w:r>
          </w:p>
        </w:tc>
        <w:tc>
          <w:tcPr>
            <w:tcW w:type="dxa" w:w="357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class_id 中文名 英文名 示例 关键等级；仓库当前未提供</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项目负责人 算法</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P0 02</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NPU 具体实现和专用指令接口是什么</w:t>
            </w:r>
          </w:p>
        </w:tc>
        <w:tc>
          <w:tcPr>
            <w:tcW w:type="dxa" w:w="357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NPU RTL 或 IP 型号 指令编码 寄存器 DMA 编译器；仓库当前未提供</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 NPU</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P0 03</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NPU 支持哪些算子和量化方式</w:t>
            </w:r>
          </w:p>
        </w:tc>
        <w:tc>
          <w:tcPr>
            <w:tcW w:type="dxa" w:w="357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正式白名单 属性限制和回退规则</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NPU</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P0 04</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双路是否共享一个 NPU</w:t>
            </w:r>
          </w:p>
        </w:tc>
        <w:tc>
          <w:tcPr>
            <w:tcW w:type="dxa" w:w="357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并行 串行 或双实例 目标吞吐</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系统 FPGA</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P0 05</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摄像头实参是否与基线一致</w:t>
            </w:r>
          </w:p>
        </w:tc>
        <w:tc>
          <w:tcPr>
            <w:tcW w:type="dxa" w:w="357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双路型号 640 × 480 RGB565 15 FPS 寄存器和抓帧</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FPGA</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P0 06</w:t>
            </w:r>
          </w:p>
        </w:tc>
        <w:tc>
          <w:tcPr>
            <w:tcW w:type="dxa" w:w="2437"/>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扩大视野模式的最大配对时间差</w:t>
            </w:r>
          </w:p>
        </w:tc>
        <w:tc>
          <w:tcPr>
            <w:tcW w:type="dxa" w:w="357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触发方式 时间戳时钟 门限 orphan 策略</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系统 FPGA</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P0 07</w:t>
            </w:r>
          </w:p>
        </w:tc>
        <w:tc>
          <w:tcPr>
            <w:tcW w:type="dxa" w:w="2437"/>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模型输入尺寸上限和候选</w:t>
            </w:r>
          </w:p>
        </w:tc>
        <w:tc>
          <w:tcPr>
            <w:tcW w:type="dxa" w:w="357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至少三档候选及资源 性能 精度比较</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NPU</w:t>
            </w:r>
          </w:p>
        </w:tc>
      </w:tr>
    </w:tbl>
    <w:p>
      <w:pPr>
        <w:spacing w:after="20"/>
      </w:pPr>
    </w:p>
    <w:p>
      <w:pPr>
        <w:pStyle w:val="Heading2"/>
        <w:keepNext/>
        <w:spacing w:before="140" w:after="100"/>
      </w:pPr>
      <w:r>
        <w:rPr>
          <w:rFonts w:ascii="Microsoft YaHei" w:hAnsi="Microsoft YaHei" w:eastAsia="Microsoft YaHei"/>
          <w:b/>
          <w:color w:val="000000"/>
          <w:sz w:val="26"/>
        </w:rPr>
        <w:t>十八 三 P1 指标与接口确认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96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编号</w:t>
            </w:r>
          </w:p>
        </w:tc>
        <w:tc>
          <w:tcPr>
            <w:tcW w:type="dxa" w:w="232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问题</w:t>
            </w:r>
          </w:p>
        </w:tc>
        <w:tc>
          <w:tcPr>
            <w:tcW w:type="dxa" w:w="368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需要的决定或证据</w:t>
            </w:r>
          </w:p>
        </w:tc>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负责人</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P1 01</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精度阈值是什么</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总体 每类 关键类别 小目标和误检阈值</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项目负责人 算法</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P1 02</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端到端延迟阈值是什么</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平均 P95 P99 和最大允许值</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项目负责人</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P1 03</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丢帧策略是什么</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丢新帧 丢旧帧 降帧或告警</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系统</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P1 04</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前处理由哪些模块完成</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 NPU CPU 的明确边界</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 NPU 算法</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P1 05</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resize 和 padding 的正式规则</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插值 坐标语义 填充值 舍入</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FPGA</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P1 06</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输入张量格式是什么</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dtype layout stride alignment scale zero point</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NPU</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P1 07</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后处理运行在哪里</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NMS 和解码的执行单元与预算</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算法 NPU 系统</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P1 08</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资源安全余量是多少</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LUT DSP BRAM DDR 和时钟余量</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FPGA</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P1 09</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长稳测试时长和工况</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运行时长 温度 负载 日志采样</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测试</w:t>
            </w:r>
          </w:p>
        </w:tc>
      </w:tr>
    </w:tbl>
    <w:p>
      <w:pPr>
        <w:spacing w:after="20"/>
      </w:pPr>
    </w:p>
    <w:p>
      <w:pPr>
        <w:pStyle w:val="Heading2"/>
        <w:keepNext/>
        <w:spacing w:before="140" w:after="100"/>
      </w:pPr>
      <w:r>
        <w:rPr>
          <w:rFonts w:ascii="Microsoft YaHei" w:hAnsi="Microsoft YaHei" w:eastAsia="Microsoft YaHei"/>
          <w:b/>
          <w:color w:val="000000"/>
          <w:sz w:val="26"/>
        </w:rPr>
        <w:t>十八 四 P2 工程管理确认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4"/>
        <w:gridCol w:w="2374"/>
        <w:gridCol w:w="2374"/>
        <w:gridCol w:w="2374"/>
      </w:tblGrid>
      <w:tr>
        <w:trPr>
          <w:tblHeader w:val="true"/>
          <w:cantSplit/>
        </w:trPr>
        <w:tc>
          <w:tcPr>
            <w:tcW w:type="dxa" w:w="963"/>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编号</w:t>
            </w:r>
          </w:p>
        </w:tc>
        <w:tc>
          <w:tcPr>
            <w:tcW w:type="dxa" w:w="2324"/>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问题</w:t>
            </w:r>
          </w:p>
        </w:tc>
        <w:tc>
          <w:tcPr>
            <w:tcW w:type="dxa" w:w="368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需要的决定或证据</w:t>
            </w:r>
          </w:p>
        </w:tc>
        <w:tc>
          <w:tcPr>
            <w:tcW w:type="dxa" w:w="1190"/>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6"/>
              </w:rPr>
              <w:t>负责人</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P2 01</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数据和模型存储位置</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权限 备份 大文件管理</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项目</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P2 02</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版本和发布审批流程</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命名 审批 回滚和归档</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项目</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P2 03</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数据授权和隐私要求</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公开数据许可 实拍数据处理规则</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项目</w:t>
            </w:r>
          </w:p>
        </w:tc>
      </w:tr>
      <w:tr>
        <w:trPr>
          <w:cantSplit/>
        </w:trPr>
        <w:tc>
          <w:tcPr>
            <w:tcW w:type="dxa" w:w="963"/>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P2 04</w:t>
            </w:r>
          </w:p>
        </w:tc>
        <w:tc>
          <w:tcPr>
            <w:tcW w:type="dxa" w:w="2324"/>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问题回灌周期</w:t>
            </w:r>
          </w:p>
        </w:tc>
        <w:tc>
          <w:tcPr>
            <w:tcW w:type="dxa" w:w="368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误检漏检样本进入训练集的节奏</w:t>
            </w:r>
          </w:p>
        </w:tc>
        <w:tc>
          <w:tcPr>
            <w:tcW w:type="dxa" w:w="1190"/>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6"/>
              </w:rPr>
              <w:t>算法 测试</w:t>
            </w:r>
          </w:p>
        </w:tc>
      </w:tr>
      <w:tr>
        <w:trPr>
          <w:cantSplit/>
        </w:trPr>
        <w:tc>
          <w:tcPr>
            <w:tcW w:type="dxa" w:w="963"/>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P2 05</w:t>
            </w:r>
          </w:p>
        </w:tc>
        <w:tc>
          <w:tcPr>
            <w:tcW w:type="dxa" w:w="2324"/>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接口变更通知机制</w:t>
            </w:r>
          </w:p>
        </w:tc>
        <w:tc>
          <w:tcPr>
            <w:tcW w:type="dxa" w:w="368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评审人 兼容策略 生效版本</w:t>
            </w:r>
          </w:p>
        </w:tc>
        <w:tc>
          <w:tcPr>
            <w:tcW w:type="dxa" w:w="1190"/>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6"/>
              </w:rPr>
              <w:t>联合</w:t>
            </w:r>
          </w:p>
        </w:tc>
      </w:tr>
    </w:tbl>
    <w:p>
      <w:pPr>
        <w:spacing w:after="20"/>
      </w:pPr>
    </w:p>
    <w:p>
      <w:r>
        <w:br w:type="page"/>
      </w:r>
    </w:p>
    <w:p>
      <w:pPr>
        <w:pStyle w:val="Heading1"/>
        <w:keepNext/>
        <w:spacing w:before="180" w:after="100"/>
      </w:pPr>
      <w:r>
        <w:rPr>
          <w:rFonts w:ascii="Microsoft YaHei" w:hAnsi="Microsoft YaHei" w:eastAsia="Microsoft YaHei"/>
          <w:b/>
          <w:color w:val="000000"/>
          <w:sz w:val="32"/>
        </w:rPr>
        <w:t>十九 启动实施检查表</w:t>
      </w:r>
    </w:p>
    <w:p>
      <w:pPr>
        <w:spacing w:before="0" w:after="100" w:line="300" w:lineRule="auto"/>
        <w:keepLines/>
      </w:pPr>
      <w:r>
        <w:rPr>
          <w:rFonts w:ascii="Microsoft YaHei" w:hAnsi="Microsoft YaHei" w:eastAsia="Microsoft YaHei"/>
          <w:color w:val="000000"/>
          <w:sz w:val="21"/>
        </w:rPr>
        <w:t>在专业 AI 或算法工程师正式开始训练前，项目方至少应完成以下输入。未完成项可先做探索实验，但不得视为最终交付。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65"/>
        <w:gridCol w:w="3165"/>
        <w:gridCol w:w="3165"/>
      </w:tblGrid>
      <w:tr>
        <w:trPr>
          <w:tblHeader w:val="true"/>
          <w:cantSplit/>
        </w:trPr>
        <w:tc>
          <w:tcPr>
            <w:tcW w:type="dxa" w:w="4535"/>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检查项</w:t>
            </w:r>
          </w:p>
        </w:tc>
        <w:tc>
          <w:tcPr>
            <w:tcW w:type="dxa" w:w="907"/>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完成</w:t>
            </w:r>
          </w:p>
        </w:tc>
        <w:tc>
          <w:tcPr>
            <w:tcW w:type="dxa" w:w="2721"/>
            <w:vAlign w:val="center"/>
            <w:shd w:fill="17365D"/>
            <w:tcMar>
              <w:top w:w="100" w:type="dxa"/>
              <w:start w:w="110" w:type="dxa"/>
              <w:bottom w:w="100" w:type="dxa"/>
              <w:end w:w="110" w:type="dxa"/>
            </w:tcMar>
          </w:tcPr>
          <w:p>
            <w:pPr>
              <w:spacing w:after="0" w:line="264" w:lineRule="auto"/>
              <w:jc w:val="center"/>
            </w:pPr>
            <w:r>
              <w:rPr>
                <w:rFonts w:ascii="Microsoft YaHei" w:hAnsi="Microsoft YaHei" w:eastAsia="Microsoft YaHei"/>
                <w:b/>
                <w:color w:val="FFFFFF"/>
                <w:sz w:val="18"/>
              </w:rPr>
              <w:t>证据或链接</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类别表和示例图已确认</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关键类别和最低召回要求已确认</w:t>
            </w:r>
          </w:p>
        </w:tc>
        <w:tc>
          <w:tcPr>
            <w:tcW w:type="dxa" w:w="9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双目用途已确认</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已完成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扩大视野 两路覆盖互补视场</w:t>
            </w:r>
          </w:p>
        </w:tc>
      </w:tr>
      <w:tr>
        <w:trPr>
          <w:cantSplit/>
        </w:trPr>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真实摄像头抓帧已提供</w:t>
            </w:r>
          </w:p>
        </w:tc>
        <w:tc>
          <w:tcPr>
            <w:tcW w:type="dxa" w:w="9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字节序 通道序和分辨率已复核</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NPU 算子和量化白名单已提供</w:t>
            </w:r>
          </w:p>
        </w:tc>
        <w:tc>
          <w:tcPr>
            <w:tcW w:type="dxa" w:w="9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FPGA 器件已确认</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已完成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Logos2 PG2L200H FBB676 速度等级 -6</w:t>
            </w:r>
          </w:p>
        </w:tc>
      </w:tr>
      <w:tr>
        <w:trPr>
          <w:cantSplit/>
        </w:trPr>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FPGA 资源和 DDR 带宽边界已提供</w:t>
            </w:r>
          </w:p>
        </w:tc>
        <w:tc>
          <w:tcPr>
            <w:tcW w:type="dxa" w:w="9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仍需最终综合报告和带宽实测</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验收测试集冻结规则已确认</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前处理规范负责人已指定</w:t>
            </w:r>
          </w:p>
        </w:tc>
        <w:tc>
          <w:tcPr>
            <w:tcW w:type="dxa" w:w="907"/>
            <w:vAlign w:val="center"/>
            <w:tcMar>
              <w:top w:w="90" w:type="dxa"/>
              <w:start w:w="105" w:type="dxa"/>
              <w:bottom w:w="90" w:type="dxa"/>
              <w:end w:w="105" w:type="dxa"/>
            </w:tcMar>
            <w:shd w:fill="F3F7FB"/>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shd w:fill="F3F7FB"/>
          </w:tcPr>
          <w:p>
            <w:pPr>
              <w:spacing w:after="0" w:line="271" w:lineRule="auto"/>
              <w:jc w:val="left"/>
            </w:pPr>
            <w:r>
              <w:rPr>
                <w:rFonts w:ascii="Microsoft YaHei" w:hAnsi="Microsoft YaHei" w:eastAsia="Microsoft YaHei"/>
                <w:b w:val="0"/>
                <w:color w:val="000000"/>
                <w:sz w:val="18"/>
              </w:rPr>
              <w:t>待填写</w:t>
            </w:r>
          </w:p>
        </w:tc>
      </w:tr>
      <w:tr>
        <w:trPr>
          <w:cantSplit/>
        </w:trPr>
        <w:tc>
          <w:tcPr>
            <w:tcW w:type="dxa" w:w="4535"/>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模型发布和回滚流程已确认</w:t>
            </w:r>
          </w:p>
        </w:tc>
        <w:tc>
          <w:tcPr>
            <w:tcW w:type="dxa" w:w="907"/>
            <w:vAlign w:val="center"/>
            <w:tcMar>
              <w:top w:w="90" w:type="dxa"/>
              <w:start w:w="105" w:type="dxa"/>
              <w:bottom w:w="90" w:type="dxa"/>
              <w:end w:w="105" w:type="dxa"/>
            </w:tcMar>
          </w:tcPr>
          <w:p>
            <w:pPr>
              <w:spacing w:after="0" w:line="271" w:lineRule="auto"/>
              <w:jc w:val="center"/>
            </w:pPr>
            <w:r>
              <w:rPr>
                <w:rFonts w:ascii="Microsoft YaHei" w:hAnsi="Microsoft YaHei" w:eastAsia="Microsoft YaHei"/>
                <w:b w:val="0"/>
                <w:color w:val="000000"/>
                <w:sz w:val="18"/>
              </w:rPr>
              <w:t>未完成</w:t>
            </w:r>
          </w:p>
        </w:tc>
        <w:tc>
          <w:tcPr>
            <w:tcW w:type="dxa" w:w="2721"/>
            <w:vAlign w:val="center"/>
            <w:tcMar>
              <w:top w:w="90" w:type="dxa"/>
              <w:start w:w="105" w:type="dxa"/>
              <w:bottom w:w="90" w:type="dxa"/>
              <w:end w:w="105" w:type="dxa"/>
            </w:tcMar>
          </w:tcPr>
          <w:p>
            <w:pPr>
              <w:spacing w:after="0" w:line="271" w:lineRule="auto"/>
              <w:jc w:val="left"/>
            </w:pPr>
            <w:r>
              <w:rPr>
                <w:rFonts w:ascii="Microsoft YaHei" w:hAnsi="Microsoft YaHei" w:eastAsia="Microsoft YaHei"/>
                <w:b w:val="0"/>
                <w:color w:val="000000"/>
                <w:sz w:val="18"/>
              </w:rPr>
              <w:t>待填写</w:t>
            </w:r>
          </w:p>
        </w:tc>
      </w:tr>
    </w:tbl>
    <w:p>
      <w:pPr>
        <w:spacing w:after="20"/>
      </w:pPr>
    </w:p>
    <w:p>
      <w:pPr>
        <w:pStyle w:val="Heading1"/>
        <w:keepNext/>
        <w:spacing w:before="180" w:after="100"/>
      </w:pPr>
      <w:r>
        <w:rPr>
          <w:rFonts w:ascii="Microsoft YaHei" w:hAnsi="Microsoft YaHei" w:eastAsia="Microsoft YaHei"/>
          <w:b/>
          <w:color w:val="000000"/>
          <w:sz w:val="32"/>
        </w:rPr>
        <w:t>二十 结论</w:t>
      </w:r>
    </w:p>
    <w:p>
      <w:pPr>
        <w:spacing w:before="0" w:after="100" w:line="300" w:lineRule="auto"/>
        <w:keepLines/>
      </w:pPr>
      <w:r>
        <w:rPr>
          <w:rFonts w:ascii="Microsoft YaHei" w:hAnsi="Microsoft YaHei" w:eastAsia="Microsoft YaHei"/>
          <w:color w:val="000000"/>
          <w:sz w:val="21"/>
        </w:rPr>
        <w:t>本项目应以双目扩大视野的端到端持续吞吐为主约束，以前处理位精确一致性为接口核心，以板端实测为最终验收依据。工程调试可以先跑通单路，但正式架构必须同时覆盖左右路 Frame Buffer 所有权、帧配对、双路调度和结果汇总。模型可以立即建立通用轻量基线，但在 NPU 专用指令接口和算子白名单尚未提供前，不得承诺最终可部署性。</w:t>
      </w:r>
    </w:p>
    <w:p>
      <w:pPr>
        <w:spacing w:before="0" w:after="100" w:line="300" w:lineRule="auto"/>
        <w:keepLines/>
      </w:pPr>
      <w:r>
        <w:rPr>
          <w:rFonts w:ascii="Microsoft YaHei" w:hAnsi="Microsoft YaHei" w:eastAsia="Microsoft YaHei"/>
          <w:color w:val="000000"/>
          <w:sz w:val="21"/>
        </w:rPr>
        <w:t>下一次需求评审应优先关闭类别映射、NPU 指令或寄存器接口、算子与量化白名单、双路 NPU 调度方式四项 P0 输入，并形成三份签字基线：类别与验收指标、模型输入规范、NPU 与 FPGA 约束清单。三份基线齐备后，算法工程师即可提交候选模型对比和首轮板端基准。</w:t>
      </w:r>
    </w:p>
    <w:sectPr w:rsidR="00FC693F" w:rsidRPr="0006063C" w:rsidSect="00034616">
      <w:headerReference w:type="default" r:id="rId9"/>
      <w:footerReference w:type="default" r:id="rId10"/>
      <w:pgSz w:w="11906" w:h="16838"/>
      <w:pgMar w:top="1134" w:right="1134" w:bottom="1020" w:left="1276"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95959"/>
        <w:sz w:val="18"/>
      </w:rPr>
      <w:t xml:space="preserve">第 </w:t>
    </w:r>
    <w:r>
      <w:rPr>
        <w:rFonts w:ascii="Microsoft YaHei" w:hAnsi="Microsoft YaHei" w:eastAsia="Microsoft YaHei"/>
        <w:color w:val="595959"/>
        <w:sz w:val="18"/>
      </w:rPr>
      <w:fldChar w:fldCharType="begin"/>
      <w:instrText xml:space="preserve"> PAGE </w:instrText>
      <w:fldChar w:fldCharType="end"/>
    </w:r>
    <w:r>
      <w:rPr>
        <w:rFonts w:ascii="Microsoft YaHei" w:hAnsi="Microsoft YaHei" w:eastAsia="Microsoft YaHei"/>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95959"/>
        <w:sz w:val="17"/>
      </w:rPr>
      <w:t>FPGA 双目摄像头路标识别  模型与前处理设计基线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双目摄像头路标识别模型训练与前处理设计文档</dc:title>
  <dc:subject>模型训练 前处理 INT8 量化 NPU 部署和双目架构需求基线</dc:subject>
  <dc:creator>项目需求方</dc:creator>
  <cp:keywords>FPGA 双目摄像头 路标识别 YOLO 前处理 NPU INT8</cp:keywords>
  <dc:description>V0.2 仓库核验补充版</dc:description>
  <cp:lastModifiedBy/>
  <cp:revision>1</cp:revision>
  <dcterms:created xsi:type="dcterms:W3CDTF">2013-12-23T23:15:00Z</dcterms:created>
  <dcterms:modified xsi:type="dcterms:W3CDTF">2013-12-23T23:15:00Z</dcterms:modified>
  <cp:category/>
</cp:coreProperties>
</file>