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中文审阅版 · 已按英文 MoE 投稿稿同步</w:t>
      </w:r>
    </w:p>
    <w:p>
      <w:pPr>
        <w:pStyle w:val="Normal"/>
        <w:keepNext w:val="true"/>
        <w:spacing w:before="0" w:after="120"/>
        <w:rPr/>
      </w:pPr>
      <w:r>
        <w:rPr>
          <w:rFonts w:eastAsia="Noto Sans CJK SC" w:ascii="Times New Roman" w:hAnsi="Times New Roman"/>
          <w:b/>
          <w:i w:val="false"/>
          <w:sz w:val="36"/>
        </w:rPr>
        <w:t>GeoPRR-Net：面向鲁棒模拟仪表读数的几何感知异构专家混合模型</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t>本文件以英文投稿稿的中文翻译为基础，并已同步至 2026 年 9 月 2 日的 MoE 包装稿：标题、摘要、引言、相关工作、方法命名、专家混合消融、门控分析、讨论与结论均采用统一的混合专家叙事；参考文献按英文稿首次引用顺序扩展为 34 条。正文公式、实验数值、表格与图号保持不变，图中内部文字及参考文献书目信息保留英文。</w:t>
      </w:r>
    </w:p>
    <w:p>
      <w:pPr>
        <w:pStyle w:val="1"/>
        <w:rPr/>
      </w:pPr>
      <w:r>
        <w:rPr>
          <w:rFonts w:ascii="Times New Roman" w:hAnsi="Times New Roman" w:eastAsia="Noto Sans CJK SC"/>
          <w:b/>
          <w:sz w:val="21"/>
        </w:rPr>
        <w:t>摘要</w:t>
      </w:r>
    </w:p>
    <w:p>
      <w:pPr>
        <w:pStyle w:val="Normal"/>
        <w:widowControl/>
        <w:rPr/>
      </w:pPr>
      <w:r>
        <w:t>模拟仪表在传统基础设施中仍十分常见，但模糊与倾斜视角会改变不同视觉证据的可靠性，而固定式读数器通常让每张图像始终采用同一种表示。本文提出 GeoPRR-Net，一种用于归一化进度估计的几何感知稠密混合专家（Mixture of Experts，MoE）模型。共享 EfficientNet-B0 支撑几何/基础、极坐标和关系矩传输三类专家；输入依赖门控网络混合其候选均值，信息投影再生成一个一阶矩与门控结果严格一致的 128 分箱后验。在场景互斥的 SyncG（1,558 张图像、六种条件）上，三个独立拟合模型取得 1.0013±0.0382%FS 的 NMAE，所测试的最佳原始 CNN 为 2.0530±0.0294%FS。以固定专家混合替代学习式门控后，NMAE 升至 1.1726±0.0308%FS，成对惩罚为 0.1712%FS（95% CI：0.1424–0.2001）。在同一完整清单上，三个独立重新训练的 VDN 检查点达到 1.6620±0.0878%FS。相对最强原始 CNN，GeoPRR-Net 在 RF100-VL 上将 NMAE 降低 22.7%，在按组折外适配的 Industrial-1395 上降低 84.8%。这些结果表明，面向图像条件路由结构化专家，是实现鲁棒且可迁移模拟仪表读数的有效路径。</w:t>
      </w:r>
    </w:p>
    <w:p>
      <w:pPr>
        <w:pStyle w:val="Normal"/>
        <w:widowControl/>
        <w:rPr/>
      </w:pPr>
      <w:r>
        <w:rPr>
          <w:rFonts w:ascii="Times New Roman" w:hAnsi="Times New Roman" w:eastAsia="Noto Serif CJK SC"/>
          <w:b/>
        </w:rPr>
        <w:t>关键词：模拟仪表读数；指针仪表；工业视觉；混合专家；条件门控；投影失真；极坐标表示；矩投影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0"/>
        </w:rPr>
        <w:t>校正、极坐标展开、指针分割、向量估计、关键点姿态和刻度几何都能为仪表读数提供有效结构[4,8-12,23,24]。多数读数器却会在当前图像的路径可靠性尚不明确时，预先固定一种变换或证据路径。因此，尚未解决的问题不仅是增加另一种表示，而是如何在互补的物理证据之间进行样本级仲裁，并最终返回一个连贯的读数分布。</w:t>
      </w:r>
    </w:p>
    <w:p>
      <w:pPr>
        <w:pStyle w:val="Normal"/>
        <w:widowControl/>
        <w:rPr/>
      </w:pPr>
      <w:r>
        <w:rPr>
          <w:rFonts w:ascii="Times New Roman" w:hAnsi="Times New Roman" w:eastAsia="Noto Serif CJK SC"/>
          <w:b w:val="0"/>
        </w:rPr>
        <w:t>混合专家（MoE）为这一问题提供了直接框架：若干专门函数生成候选输出，输入依赖门控网络决定其贡献[13]。稀疏与软 MoE 已表明，路由可以在语言和视觉模型中组织专门化能力[14-16]。GeoPRR-Net 将这一原则适配到模拟仪表读数，形成紧凑的稠密 MoE：几何/基础、极坐标和关系专家共享一个编码器，门控网络依据观测几何与表示质量重新分配证据。</w:t>
      </w:r>
    </w:p>
    <w:p>
      <w:pPr>
        <w:pStyle w:val="Normal"/>
        <w:widowControl/>
        <w:rPr/>
      </w:pPr>
      <w:r>
        <w:rPr>
          <w:rFonts w:ascii="Times New Roman" w:hAnsi="Times New Roman" w:eastAsia="Noto Serif CJK SC"/>
          <w:b w:val="0"/>
        </w:rPr>
        <w:t>本文将该问题表述为已知刻度端点下的单指针归一化进度估计。这一核心任务具有良好的工业复用性：仪表量程通常可以从资产元数据中获得，物理读数又能通过仿射映射直接恢复。把进度估计与 OCR、量程发现分离开，可以聚焦最困难的视觉推断问题，并在同一 ROI 清单上与标准 CNN 回归器、指针分割组件、向量估计器和关键点姿态读数器进行匹配比较。</w:t>
      </w:r>
    </w:p>
    <w:p>
      <w:pPr>
        <w:pStyle w:val="Normal"/>
        <w:widowControl/>
        <w:rPr/>
      </w:pPr>
      <w:r>
        <w:t>评估还必须体现现场数据的价值。合成数据和 SyncG 能够提供精确标签与受控压力测试[3,17,18]，但无法替代在真实工作环境中采集的照片。Industrial-1395 汇集了三个现场照片集合中的 1,395 个带标签真实仪表 ROI，并划分为 52 个采集组；完整队列的按组评估用于检验输入依赖专家混合能否覆盖非受控的外观、采集与仪表差异。</w:t>
      </w:r>
    </w:p>
    <w:p>
      <w:pPr>
        <w:pStyle w:val="Normal"/>
        <w:widowControl/>
        <w:rPr/>
      </w:pPr>
      <w:r>
        <w:rPr>
          <w:rFonts w:ascii="Times New Roman" w:hAnsi="Times New Roman" w:eastAsia="Noto Serif CJK SC"/>
          <w:b w:val="false"/>
        </w:rPr>
        <w:t>本文提出几何感知极坐标—关系路由网络（Geometry-Aware Polar--Relational Routing Network，GeoPRR-Net），并将其组织为稠密异构证据专家混合模型。支撑感知的纯像素操作构建原始观测与保守归一化观测，共享 EfficientNet-B0 编码器[19]处理两个观测。其特征层级支撑三类专家：(i) 由对齐双视图关系构建的几何/基础专家；(ii) 基于径向矩与学习式角度后验的极坐标专家；(iii) 利用原始/归一化上下文差异传输基础矩的关系专家。条件路由器作为 MoE 门控网络，把三类专家的候选均值放置在凸单纯形上。门控后的标量目标通过一次指数信息投影[20]施加到基础分布上，从而得到一个一阶矩受到严格控制的 128 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把鲁棒模拟仪表读数表述为由几何/基础、极坐标和关系三类物理结构专家组成的稠密混合模型，并通过共享图像编码器避免复制高容量骨干网络。</w:t>
      </w:r>
    </w:p>
    <w:p>
      <w:pPr>
        <w:pStyle w:val="Normal"/>
        <w:numPr>
          <w:ilvl w:val="0"/>
          <w:numId w:val="7"/>
        </w:numPr>
        <w:rPr/>
      </w:pPr>
      <w:r>
        <w:rPr>
          <w:rFonts w:ascii="Times New Roman" w:hAnsi="Times New Roman" w:eastAsia="Noto Serif CJK SC"/>
          <w:b w:val="false"/>
        </w:rPr>
        <w:t>提出归一化进度矩空间中的输入依赖门控及矩一致信息投影，将“应信任哪类专家证据”与表达最终读数的概率空间操作分离。</w:t>
      </w:r>
    </w:p>
    <w:p>
      <w:pPr>
        <w:pStyle w:val="Normal"/>
        <w:numPr>
          <w:ilvl w:val="0"/>
          <w:numId w:val="7"/>
        </w:numPr>
        <w:rPr/>
      </w:pPr>
      <w:r>
        <w:rPr>
          <w:rFonts w:ascii="Times New Roman" w:hAnsi="Times New Roman" w:eastAsia="Noto Serif CJK SC"/>
          <w:b w:val="false"/>
        </w:rPr>
        <w:t>通过四个可执行干预评估专家混合：替换学习式几何融合、移除极坐标或关系专家，以及用固定先验替代自适应门控。这些干预分别检验专家互补性与条件分配的价值。</w:t>
      </w:r>
    </w:p>
    <w:p>
      <w:pPr>
        <w:pStyle w:val="Normal"/>
        <w:numPr>
          <w:ilvl w:val="0"/>
          <w:numId w:val="7"/>
        </w:numPr>
        <w:rPr/>
      </w:pPr>
      <w:r>
        <w:rPr>
          <w:rFonts w:ascii="Times New Roman" w:hAnsi="Times New Roman" w:eastAsia="Noto Serif CJK SC"/>
          <w:b w:val="0"/>
        </w:rPr>
        <w:t>在受控、公开迁移和实地采集三类证据上验证模型，即场景互斥的 SyncG、公开的 RF100-VL，以及由三个照片集合组成的 1,395 张图像的 Industrial-1395。除原始 CNN 回归器外，完整的 3×4 ROI 级比较还覆盖 GeoPRR-Net、VDN、DeepLabV3+-ROI 和 YOLO11s-Pose-4KP；在已披露的评估协议下，GeoPRR-Net 在三个域上均取得最低的汇总 NMAE。</w:t>
      </w:r>
    </w:p>
    <w:p>
      <w:pPr>
        <w:pStyle w:val="Normal"/>
        <w:widowControl/>
        <w:rPr/>
      </w:pPr>
      <w:r>
        <w:rPr>
          <w:rFonts w:ascii="Times New Roman" w:hAnsi="Times New Roman" w:eastAsia="Noto Serif CJK SC"/>
          <w:b w:val="false"/>
        </w:rPr>
        <w:t>本文其余部分组织如下：第 2 节回顾几何校正、极坐标/向量表示、合成数据与混合专家方法；第 3 节定义 GeoPRR-Net 及其分阶段拟合；第 4 节说明数据集、基线、消融设置、指标与重采样协议；第 5 节依次报告受控基准、专家混合机制、实地与公开迁移、跨数据集一致性、结构化读数器比较和精度—效率权衡；第 6 节讨论方法与工业意义；第 7 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0"/>
        </w:rPr>
        <w:t>深度分阶段流水线用学习式组件替代了部分手工设计组件，却没有消除分阶段处理的序列。Sun 等把检测、分割、OCR、极坐标转换和读数组织为五个阶段[21]；Milana 等将检测、校正、OCR 和刻度重建相结合，用于非结构化环境中的仪表[5]。Reitsma 等保留了可解释的机器人流水线，包括缺口检测、椭圆拟合、指针分割和 OCR[6]；联合检测与分割则能减少重复计算，同时仍显式输出指针和刻度掩膜[22]。当系统必须返回物理单位并定位失效环节时，这类流水线很有价值；其中，DeepLabV3+ 通过空洞多尺度上下文与解码器细化支持指针掩膜提取[23]，Ultralytics YOLO pose 则可用表盘中心、有序刻度端点和指针尖端构成紧凑的四关键点表示[24]。本文将这两类开源架构实现为匹配的 ROI 级结构化读数器。</w:t>
      </w:r>
    </w:p>
    <w:p>
      <w:pPr>
        <w:pStyle w:val="Normal"/>
        <w:widowControl/>
        <w:rPr/>
      </w:pPr>
      <w:r>
        <w:rPr>
          <w:rFonts w:ascii="Times New Roman" w:hAnsi="Times New Roman" w:eastAsia="Noto Serif CJK SC"/>
          <w:b w:val="0"/>
        </w:rPr>
        <w:t>近期的几何感知网络与本文所研究的问题更为接近：Tan 等结合 YOLOv8、照明校正、TransUNet 分割和透视变换[12]；PriKMet 将指针关键点与路线、刻度先验结合，用于变电站巡检[7]；Lee 等采用虚拟点和五关键点骨架，在基于姿态的读数之前进行几何校正[25]。GeoPRR-Net 使用带恒等回退的纯像素支撑归一化，同时保留原始观测与归一化观测，并学习应从二者关系中提取多少证据。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极坐标将圆形表盘与角度进程对齐，从而简化指针与刻度的关联。Li 等采用文本检测、表盘校正和极坐标展开来提高鲁棒性[9]，Sun 等也在学习式多阶段方法中加入极坐标转换[21]。这一表示具有明确的物理意义，但对估计中心和支撑不完整较为敏感；因此，GeoPRR-Net 把极坐标结构作为一个候选，而非唯一的坐标系。</w:t>
      </w:r>
    </w:p>
    <w:p>
      <w:pPr>
        <w:pStyle w:val="Normal"/>
        <w:widowControl/>
        <w:rPr/>
      </w:pPr>
      <w:r>
        <w:rPr>
          <w:rFonts w:ascii="Times New Roman" w:hAnsi="Times New Roman" w:eastAsia="Noto Serif CJK SC"/>
          <w:b w:val="0"/>
        </w:rPr>
        <w:t>向量和关键点表述不要求获得完整的指针掩膜。Vector Detection Network（VDN）将指针表示为二维方向，并引入了大规模野外基准[4]；刻度值引导的 Lite-FCOS 在几何恢复之前检测表盘、数值和指针[26]；一种较新的低质量多指针方法则结合编码器—解码器、注意力以及热图/标量图头[27]。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2.3. 合成数据与迁移</w:t>
      </w:r>
    </w:p>
    <w:p>
      <w:pPr>
        <w:pStyle w:val="Normal"/>
        <w:widowControl/>
        <w:rPr/>
      </w:pPr>
      <w:r>
        <w:rPr>
          <w:rFonts w:ascii="Times New Roman" w:hAnsi="Times New Roman" w:eastAsia="Noto Serif CJK SC"/>
          <w:b w:val="0"/>
        </w:rPr>
        <w:t>合成训练具有吸引力，因为它可以在获得精确标签的同时对表盘布局、指针位置和相机扰动进行采样。Howells 等展示了在合成仪表上训练的多任务 CNN 实现的实时移动式抄录[3]，Leon-Alcazar 等在数千张经过筛选的真实图像上评估了一个由合成数据训练的两阶段读数器[17]。SyncG 将这一方向扩展到来自 145 个场景的 20,000 张图像，并提供结构化标注[18]。迁移学习的标准架构也已用于仪表读数工作流[28]，因此本文采用可识别的原始 CNN 作为外部对照；合成拟合和受控扰动用于建立机制，公开与实地队列用于检验专家分配规则能否跨图像来源迁移。</w:t>
      </w:r>
    </w:p>
    <w:p>
      <w:pPr>
        <w:pStyle w:val="2"/>
        <w:rPr/>
      </w:pPr>
      <w:r>
        <w:rPr>
          <w:rFonts w:eastAsia="Noto Sans CJK SC" w:ascii="Times New Roman" w:hAnsi="Times New Roman"/>
          <w:b/>
        </w:rPr>
        <w:t>2.4. 混合专家与自适应鲁棒性</w:t>
      </w:r>
    </w:p>
    <w:p>
      <w:pPr>
        <w:pStyle w:val="Normal"/>
        <w:widowControl/>
        <w:rPr/>
      </w:pPr>
      <w:r>
        <w:rPr>
          <w:rFonts w:ascii="Times New Roman" w:hAnsi="Times New Roman" w:eastAsia="Noto Serif CJK SC"/>
          <w:b w:val="0"/>
          <w:i w:val="0"/>
        </w:rPr>
        <w:t>混合专家（MoE）的经典形式由若干专门预测器与门控网络组成，门控网络根据输入分配责任[13]。后续稀疏门控架构把这一思想扩展为仅向大型专家库中的部分专家分派输入或令牌[14]；Vision MoE 将路由用于图像块与逐图像自适应计算[15]，Soft MoE 则为 Transformer 专家库引入完全可微的软分配[16]。</w:t>
      </w:r>
    </w:p>
    <w:p>
      <w:pPr>
        <w:pStyle w:val="Normal"/>
        <w:widowControl/>
        <w:rPr/>
      </w:pPr>
      <w:r>
        <w:rPr>
          <w:rFonts w:ascii="Times New Roman" w:hAnsi="Times New Roman" w:eastAsia="Noto Serif CJK SC"/>
          <w:b w:val="0"/>
          <w:i w:val="0"/>
        </w:rPr>
        <w:t>在指针仪表读数领域，DialBench 近期提出 MRLM，将物理关系注入与视觉—语言模型内部的特征空间 MoE 结合，用于直接生成仪表读数[29]。现有鲁棒性模块也说明了自适应证据选择的重要性：GRNet 使用掩膜自编码器重建被遮挡仪表，但其正常/遮挡条件之间的差异表明，有效证据会随图像条件改变[30]。GeoPRR-Net 将这一观察转化为显式结构化 MoE：几何/基础、极坐标和关系专家向稠密门控网络提供候选进度矩，门控后的矩再通过一阶矩约束后验统一表达。由此，专家角色具有物理可解释性，并可通过专家移除和固定混合干预直接检验。</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4376819"/>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4376819"/>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1. GeoPRR-Net 面对的实地采集挑战及其稠密 MoE 证据流。(a) 一张公开 RF100-VL 仪表 ROI[31]，用于说明正视采集、运动模糊和倾斜视角如何保留不同视觉线索。(b) 原始观测与支撑归一化观测经过一个共享 EfficientNet-B0 编码器；几何/基础、极坐标和关系专家生成互补的候选均值，输入依赖门控网络针对当前样本分配其贡献，矩投影再把门控决策表达为一个 128 分箱后验。</w:t>
      </w:r>
    </w:p>
    <w:p>
      <w:pPr>
        <w:pStyle w:val="2"/>
        <w:rPr/>
      </w:pPr>
      <w:r>
        <w:rPr>
          <w:rFonts w:eastAsia="Noto Sans CJK SC" w:ascii="Times New Roman" w:hAnsi="Times New Roman"/>
          <w:b/>
        </w:rPr>
        <w:t>3.2. 共享编码器与几何感知基础专家</w:t>
      </w:r>
    </w:p>
    <w:p>
      <w:pPr>
        <w:pStyle w:val="Normal"/>
        <w:widowControl/>
        <w:rPr/>
      </w:pPr>
      <w:r>
        <w:rPr>
          <w:rFonts w:ascii="Times New Roman" w:hAnsi="Times New Roman" w:eastAsia="Noto Serif CJK SC"/>
          <w:b w:val="false"/>
        </w:rPr>
        <w:t>一套采用 ImageNet 初始化的 EfficientNet-B0 参数分别对 x_r 和 x_n 执行一次前向传播[19]，二者共享权重而非复制权重。本文保留一个 40 通道的步长 8 特征图、一个 112 通道的步长 16 特征图，以及一个 1280 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令 K=128，t_k=k/(K-1)。几何/基础专家返回基础分布 p⁰∈Δ^(K-1) 和候选均值：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3.3. 极坐标证据专家</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一个紧凑融合 MLP 预测相对于原始标量读数的 logit 残差。所得 sigmoid 输出即极坐标专家的候选均值 μ_p∈[0,1]。该专家显式表达角度规律，在表观中心或支撑质量变化时为门控网络提供可独立分配的角度证据。</w:t>
      </w:r>
    </w:p>
    <w:p>
      <w:pPr>
        <w:pStyle w:val="2"/>
        <w:rPr/>
      </w:pPr>
      <w:r>
        <w:rPr>
          <w:rFonts w:eastAsia="Noto Sans CJK SC" w:ascii="Times New Roman" w:hAnsi="Times New Roman"/>
          <w:b/>
        </w:rPr>
        <w:t>3.4. 关系矩传输专家</w:t>
      </w:r>
    </w:p>
    <w:p>
      <w:pPr>
        <w:pStyle w:val="Normal"/>
        <w:widowControl/>
        <w:rPr/>
      </w:pPr>
      <w:r>
        <w:rPr>
          <w:rFonts w:ascii="Times New Roman" w:hAnsi="Times New Roman" w:eastAsia="Noto Serif CJK SC"/>
          <w:b w:val="false"/>
        </w:rPr>
        <w:t>关系专家在比几何解码器更粗的层级汇总跨视图上下文。共享投影 φ 将 z_r 和 z_n 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其中 g 表示几何特征，s 包含原始、归一化和基础读数的初步估计及其差异。采用层归一化的 GELU 模块预测有界残差证据；专家内部保留均值、尾部与严重条件汇总，并对其进行保守组合。推理接口输出一个传输后的候选均值：</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3.5. 稠密 MoE 门控与矩一致投影</w:t>
      </w:r>
    </w:p>
    <w:p>
      <w:pPr>
        <w:pStyle w:val="Normal"/>
        <w:widowControl/>
        <w:rPr/>
      </w:pPr>
      <w:r>
        <w:rPr>
          <w:rFonts w:ascii="Times New Roman" w:hAnsi="Times New Roman" w:eastAsia="Noto Serif CJK SC"/>
          <w:b w:val="false"/>
        </w:rPr>
        <w:t>令 E_0、E_p 和 E_r 分别表示几何/基础、极坐标与关系专家，候选均值向量为 c=[μ_0, μ_p, μ_r]。三者共同构成稠密异构 MoE：每个专家处理不同的物理表示，同时复用共享图像编码器。条件路由器即 MoE 门控网络；其输入包含式 (8) 中的五种潜在跨视图关系、几何特征、36 分箱极坐标后验、集中度、熵、候选均值、候选间成对差异、端点读数和可用性，记完整门控输入为 v。其先验为：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双输出门控网络 G 为极坐标与关系证据预测有界增益。令 g_p,g_r=0.10 tanh(G(v))，则三个对数几率和权重为：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若消融中移除某个专家，则对其对数几率施加掩膜，并严格重新归一化剩余权重。门控目标为归一化进度矩空间中的凸混合：</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直接平均专家后验会使证据分配与分布形状相互纠缠。GeoPRR-Net 仅混合候选均值，保留几何感知基础分布 p⁰，并求解信息投影：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其解具有指数倾斜形式[20]：</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检查点加载后，推理序列是确定性的。首先，调整 ROI 大小，支撑感知操作产生 (x_r,x_n,M,H_(r→n),a)；其次，对两个观测调用同一编码器并保留其中间特征；第三，对齐关系令牌生成 (p⁰,μ_0)，原始特征层级生成 μ_p，跨视图上下文生成 μ_r；第四，门控网络根据推理时可用的量计算 w，其中不存在依赖标签的预言机信号；第五，式 (12) 产生目标均值；最后，式 (14) 对基础后验施加满足该目标所必需的最小改变。支撑归一化失败时，a=0 并启用恒等观测，原始、极坐标和可用性感知路径继续运行。</w:t>
      </w:r>
    </w:p>
    <w:p>
      <w:pPr>
        <w:pStyle w:val="Normal"/>
        <w:widowControl/>
        <w:rPr/>
      </w:pPr>
      <w:r>
        <w:rPr>
          <w:rFonts w:ascii="Times New Roman" w:hAnsi="Times New Roman" w:eastAsia="Noto Serif CJK SC"/>
          <w:b w:val="false"/>
        </w:rPr>
        <w:t>表 1 记录唯一学习参数清单。共享双视图几何/基础专家包含唯一的图像编码器，占检查点参数的 87.4%；极坐标专家、关系专家和条件门控分别增加 0.106、0.442 和 0.065 百万个参数。因此，专家专门化主要由轻量证据头与紧凑门控实现，而对齐、采样和矩投影构成额外执行成本的主要来源。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共享双视图几何/基础专家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条件门控</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3.7. 分阶段专家与门控拟合</w:t>
      </w:r>
    </w:p>
    <w:p>
      <w:pPr>
        <w:pStyle w:val="Normal"/>
        <w:widowControl/>
        <w:rPr/>
      </w:pPr>
      <w:r>
        <w:rPr>
          <w:rFonts w:ascii="Times New Roman" w:hAnsi="Times New Roman" w:eastAsia="Noto Serif CJK SC"/>
          <w:b w:val="false"/>
          <w:i w:val="false"/>
        </w:rPr>
        <w:t>完整网络按顺序分阶段拟合，以保护正式评估并隔离专家门控。首先，在既定 SyncG 拟合总体上训练 EfficientNet 几何/关系基础。在该总体内部，场景主标识定义内部划分：12,866 张图像用于拟合极坐标专家，另有 1,576 张不重叠图像用于拟合门控网络。极坐标专家训练 5 轮，批大小为 64，AdamW 学习率为 5×10^(-4)，权重衰减为 10^(-4)，采用余弦退火、平均绝对误差损失和权重为 0.10 的最高十分位误差项；此阶段其余组件保持冻结。</w:t>
      </w:r>
    </w:p>
    <w:p>
      <w:pPr>
        <w:pStyle w:val="Normal"/>
        <w:widowControl/>
        <w:rPr/>
      </w:pPr>
      <w:r>
        <w:rPr>
          <w:rFonts w:ascii="Times New Roman" w:hAnsi="Times New Roman" w:eastAsia="Noto Serif CJK SC"/>
          <w:b w:val="false"/>
          <w:i w:val="false"/>
        </w:rPr>
        <w:t>随后，在内部开发场景上缓存六种条件下的全部专家输出，共生成 9,456 行。门控网络第一阶段使用 40 轮、批大小 512、学习率 10^(-3) 的 AdamW（余弦退火），优化：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0"/>
        </w:rPr>
        <w:t>梯度范数裁剪到 5.0；每条训练轨迹内部采用衰减率为 0.995 的指数参数平均。三条完整轨迹使用随机种子 20262020、20262021 和 20262022。结构化读数器矩阵中的 Industrial-1395 GeoPRR-Net 数值采用有监督、按采集组划分的五折折外（OOF）特征头适配，并对三个编码器的预测进行等权汇总。</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SyncG 是一个带有场景与结构标注的合成模拟仪表基准[18]；隔离单位是场景主标识而非图像。模型拟合总体包含来自 131 个场景的 14,442 张图像；正式评估包含来自另外 14 个场景的 1,558 张图像，在专家或门控网络拟合期间保持关闭。每张正式图像均在六种确定性条件下评估，因此每个随机种子产生 9,348 行。</w:t>
      </w:r>
    </w:p>
    <w:p>
      <w:pPr>
        <w:pStyle w:val="Normal"/>
        <w:widowControl/>
        <w:rPr/>
      </w:pPr>
      <w:r>
        <w:t>Industrial-1395 是由三个工作场景实拍照片集合构成的多来源实地基准：经过来源整理后，包含 1,395 个带标签的真实仪表 ROI，组织为 52 个采集组；相同的六条件生成器得到 8,370 行。真实仪表在外观、视角、照明和采集方式上的自然变化，使完整队列成为本文最接近实际应用的实地评估；采集组既定义五个折外分区，也在自举重采样中保留来源依赖关系。</w:t>
      </w:r>
    </w:p>
    <w:p>
      <w:pPr>
        <w:pStyle w:val="Normal"/>
        <w:widowControl/>
        <w:rPr/>
      </w:pPr>
      <w:r>
        <w:rPr>
          <w:rFonts w:ascii="Times New Roman" w:hAnsi="Times New Roman" w:eastAsia="Noto Serif CJK SC"/>
          <w:b w:val="0"/>
          <w:i w:val="0"/>
        </w:rPr>
        <w:t>作为公开外部迁移检查，本文使用 RF100-VL 中 needle-base-tip-min-max 仪表子集的 151 张测试图像[31]。在模型推理之前，利用表盘中心、指针尖端及最小/最大参考框中心换算有方向的角度进度。151 个目标中，145 个位于标注圆弧内部，6 个落在预先固定的 5° 端点容差内并被钳制到最小值；没有任何样本依据模型输出被选择或剔除。采用保守的文件名/来源身份规则形成 35 个源组，以避免把相邻视频帧视为独立样本；相同六种条件使每个随机种子产生 906 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t>表 2 汇总了三类互补证据：SyncG 上受控且场景互斥的测试、RF100-VL 上的公开来源迁移，以及 Industrial-1395 上的实地评估。</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拟合共享基础；内部场景划分使用 12,866 张图像拟合极坐标专家，使用 1,576 张图像拟合门控网络</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r>
              <w:t>来自三个照片集合的完整实地队列；按采集组五折 OOF 评估</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bl>
    <w:p>
      <w:pPr>
        <w:pStyle w:val="Normal"/>
        <w:spacing w:before="0" w:after="40"/>
        <w:rPr/>
      </w:pPr>
      <w:r>
        <w:rPr/>
      </w:r>
    </w:p>
    <w:p>
      <w:pPr>
        <w:pStyle w:val="2"/>
        <w:rPr/>
      </w:pPr>
      <w:r>
        <w:rPr>
          <w:rFonts w:ascii="Times New Roman" w:hAnsi="Times New Roman" w:eastAsia="Noto Sans CJK SC"/>
          <w:b/>
        </w:rPr>
        <w:t>4.2. 外部基线与结构化对照</w:t>
      </w:r>
    </w:p>
    <w:p>
      <w:pPr>
        <w:pStyle w:val="Normal"/>
        <w:widowControl/>
        <w:rPr/>
      </w:pPr>
      <w:r>
        <w:rPr>
          <w:rFonts w:ascii="Times New Roman" w:hAnsi="Times New Roman" w:eastAsia="Noto Serif CJK SC"/>
          <w:b w:val="0"/>
          <w:i w:val="0"/>
        </w:rPr>
        <w:t>三个标准原始 CNN 回归器作为主要外部对照：ResNet-18、EfficientNet-B0 和 MobileNetV3-Large[32,19,33]，每个官方 torchvision 骨干网络以一个 Sigmoid 进度输出结束。ResNet-18 和 EfficientNet-B0 使用 ImageNet-1K V1 初始化，MobileNetV3-Large 使用 ImageNet-1K V2。所有回归器都在同一份包含 14,442 张图像的 SyncG 拟合清单上训练 30 轮：输入大小 256×256，批大小 64，采用 β=0.05 的 Smooth-L1 损失、学习率 3×10^(-4)、权重衰减 10^(-4) 的 AdamW 及余弦退火。三个训练随机种子与 GeoPRR-Net 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执行完整的稠密 MoE 推理。该匹配设计衡量结构化几何和输入依赖专家混合相对于标准图像回归的增益。</w:t>
      </w:r>
    </w:p>
    <w:p>
      <w:pPr>
        <w:pStyle w:val="Normal"/>
        <w:widowControl/>
        <w:rPr/>
      </w:pPr>
      <w:r>
        <w:rPr>
          <w:rFonts w:ascii="Times New Roman" w:hAnsi="Times New Roman" w:eastAsia="Noto Serif CJK SC"/>
          <w:b w:val="0"/>
        </w:rPr>
        <w:t>另设同像素评估，将 GeoPRR-Net 与公开的 Vector Detection Network（VDN）方向组件比较[4]。其官方 ResNet-18 与三个反卷积头架构采用 ImageNet 初始化，并在相同外层拟合总体上重新训练。随机种子 20262020、20262021 和 20262022 均在 384×384 分辨率下训练 200 轮，正式评估使用每个种子的最终检查点。完整 3×4 矩阵还加入 DeepLabV3+-ROI 指针分割读数器和 YOLO11s-Pose-4KP 四关键点读数器[23,24]。在 SyncG 与 RF100-VL 上，VDN 和 DeepLabV3+-ROI 使用标注导出的表盘几何完成读数换算；在 Industrial-1395 上，两者使用自动估计几何；YOLO11s-Pose-4KP 在每个域均预测全部四个几何点。三个结构化对照覆盖完整六条件 ROI 清单，覆盖率表示返回有效结构化输出的行占比。Industrial-1395 的 GeoPRR-Net 数值采用有监督五折 OOF 特征头适配与三个编码器等权汇总。</w:t>
      </w:r>
    </w:p>
    <w:p>
      <w:pPr>
        <w:pStyle w:val="2"/>
        <w:rPr/>
      </w:pPr>
      <w:r>
        <w:rPr>
          <w:rFonts w:eastAsia="Noto Sans CJK SC" w:ascii="Times New Roman" w:hAnsi="Times New Roman"/>
          <w:b/>
        </w:rPr>
        <w:t>4.3. 专家混合与结构消融</w:t>
      </w:r>
    </w:p>
    <w:p>
      <w:pPr>
        <w:pStyle w:val="Normal"/>
        <w:widowControl/>
        <w:rPr/>
      </w:pPr>
      <w:r>
        <w:rPr>
          <w:rFonts w:ascii="Times New Roman" w:hAnsi="Times New Roman" w:eastAsia="Noto Serif CJK SC"/>
          <w:b w:val="false"/>
        </w:rPr>
        <w:t>四项干预覆盖模型的核心机制，表 3 精确定义每项改变。当某个专家不存在时，式 (11) 对其施加掩膜并重新归一化剩余单纯形，禁用专家不会保留隐藏权重。固定专家混合保留全部专家预测，但以常数先验 (0.50,0.25,0.25) 替代输入依赖门控，因此直接检验自适应专家分配。</w:t>
      </w:r>
    </w:p>
    <w:p>
      <w:pPr>
        <w:pStyle w:val="Normal"/>
        <w:keepNext w:val="true"/>
        <w:spacing w:lineRule="auto" w:line="240" w:before="80" w:after="120"/>
        <w:rPr/>
      </w:pPr>
      <w:r>
        <w:rPr>
          <w:rFonts w:ascii="Times New Roman" w:hAnsi="Times New Roman" w:eastAsia="Noto Serif CJK SC"/>
          <w:i/>
          <w:color w:val="3F4854"/>
          <w:sz w:val="18"/>
        </w:rPr>
        <w:t>表 3. 专家混合与结构消融定义。所有干预保持相同的数据清单、随机种子、拟合隔离和评估像素。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启用全部专家和输入依赖门控</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完整的稠密异构专家混合模型</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无极坐标专家</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移除极坐标专家，并在几何/基础和关系专家上重新归一化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显式角度专家是否增加信息？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无关系专家</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移除关系专家，并在几何/基础和极坐标专家上重新归一化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跨视图矩传输是否提供基础专家之外的信息？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固定专家混合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保留全部专家；对每个样本使用固定先验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输入依赖门控是否优于恒定专家混合？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0"/>
        </w:rPr>
        <w:t>其中 τ=0.01、0.02 和 0.05；Acc@2% 以绝对误差不超过 2%FS 的样本百分比报告，结构化读数器比较还报告 Acc@5% 与有效输出覆盖率。均方根误差和绝对误差的第 95 百分位保留在机器可读账本中；本文强调 NMAE 和 Acc@2%，因为二者共同刻画平均性能与近乎精确的性能。</w:t>
      </w:r>
    </w:p>
    <w:p>
      <w:pPr>
        <w:pStyle w:val="Normal"/>
        <w:widowControl/>
        <w:rPr/>
      </w:pPr>
      <w:r>
        <w:t>表格报告三个独立拟合随机种子的均值和样本标准差；随机种子标准差不作为置信区间呈现。Industrial-1395 的 GeoPRR-Net 项为按采集组五折 OOF 适配后、三个编码器预测的单次等权汇总，因此不附随机种子标准差。对于成对方法效应，SyncG 与 RF100-VL 先在随机种子之间对每一行的绝对误差求平均；Industrial-1395 使用 OOF 汇总误差，并对原始 CNN 的三个种子误差取平均。随后对聚类进行有放回重采样[34]：SyncG 的重采样单位是场景，Industrial-1395 是采集组，RF100-VL 是保守源组；每个百分位区间使用 20,000 次重复，且两种方法使用相同的采样聚类。本文以 %FS 报告 Δ=100×(NMAE_GeoPRR−NMAE_比较方法)，负区间支持 GeoPRR-Net。相同程序也用于完整模型与消融变体之间的效应；在消融表中，为便于直观理解，将符号反转为正惩罚。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门控权重和预言机最佳专家频率来自预先指定的第一个随机种子（20262020）的机制诊断，而不是多随机种子的性能估计。预言机比例在查看标签后识别绝对误差最小的专家候选，它用于刻画专家互补性，并非可实现的门控结果。本文对误差最大的 30 行进行描述性检查，但不增加新的阈值性能主张。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5.2. 异构专家混合消融</w:t>
      </w:r>
    </w:p>
    <w:p>
      <w:pPr>
        <w:pStyle w:val="Normal"/>
        <w:widowControl/>
        <w:rPr/>
      </w:pPr>
      <w:r>
        <w:rPr>
          <w:rFonts w:ascii="Times New Roman" w:hAnsi="Times New Roman" w:eastAsia="Noto Serif CJK SC"/>
          <w:b w:val="false"/>
        </w:rPr>
        <w:t>表 5 的消融结果表明，几何/基础专家是主导贡献：用固定的可用性感知平均替代学习式融合后，NMAE 从 1.0013%FS 升至 1.5001%FS，Acc@2% 从 91.11% 降至 80.27%；成对惩罚为 0.4988%FS，95% 区间为 [0.4404, 0.5486]%FS。活动参数量保持不变。其最差条件 NMAE 为 2.7501%FS，接近完整模型 1.4136%FS 的两倍，显示该专家在严重图像几何条件下贡献最大。</w:t>
      </w:r>
    </w:p>
    <w:p>
      <w:pPr>
        <w:pStyle w:val="Normal"/>
        <w:keepNext w:val="true"/>
        <w:spacing w:lineRule="auto" w:line="240" w:before="80" w:after="120"/>
        <w:rPr/>
      </w:pPr>
      <w:r>
        <w:rPr>
          <w:rFonts w:ascii="Times New Roman" w:hAnsi="Times New Roman" w:eastAsia="Noto Serif CJK SC"/>
          <w:i/>
          <w:color w:val="3F4854"/>
          <w:sz w:val="18"/>
        </w:rPr>
        <w:t>表 5. SyncG 上的异构专家混合消融。NMAE 和惩罚以 %FS 报告，Acc@2% 以百分比报告；数值为三个随机种子的均值±样本标准差。惩罚为消融变体 NMAE 减去完整模型 NMAE；区间使用成对场景聚类重采样。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固定专家混合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输入依赖门控是第二大的干预：以固定专家混合替代门控后，NMAE 增加 0.1712%FS，Acc@2% 降至 88.19%。移除关系专家使 NMAE 增加 0.0776%FS，Acc@2% 降至 89.57%。极坐标专家表现为专门化专家：移除它使 NMAE 增加 0.0076%FS，而 Acc@2% 基本不变。门控分析进一步显示，它在部分样本上具有较高的预言机最佳频率，同时会在角度证据不可靠时被显著降权。四项干预共同支持专家互补性和输入依赖分配，而不仅是三个输出的并置。</w:t>
      </w:r>
    </w:p>
    <w:p>
      <w:pPr>
        <w:pStyle w:val="2"/>
        <w:rPr/>
      </w:pPr>
      <w:r>
        <w:rPr>
          <w:rFonts w:eastAsia="Noto Sans CJK SC" w:ascii="Times New Roman" w:hAnsi="Times New Roman"/>
          <w:b/>
        </w:rPr>
        <w:t>5.3. 专家门控行为与多随机种子消融稳定性</w:t>
      </w:r>
    </w:p>
    <w:p>
      <w:pPr>
        <w:pStyle w:val="Normal"/>
        <w:widowControl/>
        <w:rPr/>
      </w:pPr>
      <w:r>
        <w:rPr>
          <w:rFonts w:ascii="Times New Roman" w:hAnsi="Times New Roman" w:eastAsia="Noto Serif CJK SC"/>
          <w:b w:val="false"/>
          <w:sz w:val="16"/>
        </w:rPr>
        <w:t>图 3 将结构干预与预先指定随机种子的机制视图联系起来。图 3a 表明，在启用几何感知融合时，输入依赖门控带来的收益更大：预先指定的交互效应为 −0.0407%FS（95% CI：−0.0614 至 −0.0210%FS）。分条件消融图定位总体效应：移除几何感知融合对干净和仅模糊条件的 NMAE 影响小于 0.0013%FS，但在中度透视、严重透视和“透视+模糊”下分别造成 0.3849%FS、1.2737%FS 和 1.3364%FS 的代价；固定混合惩罚也从干净和仅模糊条件下的 0.0123–0.0133%FS，扩大到两个最严重投影条件下的 0.4371%FS 和 0.4783%FS。关系专家呈现相同的投影专门化，极坐标专家的贡献主要集中在干净和仅模糊视图。</w:t>
      </w:r>
    </w:p>
    <w:p>
      <w:pPr>
        <w:pStyle w:val="Normal"/>
        <w:widowControl/>
        <w:rPr/>
      </w:pPr>
      <w:r>
        <w:rPr>
          <w:rFonts w:ascii="Times New Roman" w:hAnsi="Times New Roman" w:eastAsia="Noto Serif CJK SC"/>
          <w:b w:val="false"/>
        </w:rPr>
        <w:t>学习到的门控权重揭示相应的专家专门化：在干净和仅模糊图像上，极坐标专家的平均权重为 0.436–0.439，关系专家为 0.162–0.163；到中度透视时，二者变为 0.187 和 0.351；严重透视时变为 0.109 和 0.411；“透视+模糊”时进一步变为 0.107 和 0.418。该协调变化与固定混合惩罚相互印证，说明稠密混合会随图像条件改变专家责任，而不会坍缩为固定分配。</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3. 几何—门控交互、专家消融效应、分条件责任与透视角度边界。(a) 完整的 2×2“几何 × 门控”因子实验。点和误差条分别表示三个独立拟合随机种子的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预先指定诊断随机种子上的几何/基础、极坐标和关系专家平均权重。(e) 0°–60° 透视角度压力测试。点和误差条分别表示三个随机种子的均值和样本标准差，灰色柱表示恒等回退比例。NMAE 以满量程百分比（%FS）报告。</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t>5.4. Industrial-1395 实地评估</w:t>
      </w:r>
    </w:p>
    <w:p>
      <w:pPr>
        <w:pStyle w:val="Normal"/>
        <w:widowControl/>
        <w:rPr/>
      </w:pPr>
      <w:r>
        <w:t>Industrial-1395 是本文最接近实际应用的评估：来自三个照片集合的 1,395 个实地采集 ROI 被组织为 52 个采集组，并覆盖完整六条件清单。按采集组五折 OOF 的三个编码器等权汇总取得 2.3262%FS NMAE 和 60.59% Acc@2%。原始 EfficientNet-B0 是所测试的最强原始基线，其 NMAE 为 15.2550±2.3430%FS，因此 GeoPRR-Net 将平均误差绝对降低 12.9288%FS、相对降低 84.8%。原始 MobileNetV3-Large 和 ResNet-18 的 NMAE 分别为 18.7569%FS 和 23.5771%FS。</w:t>
      </w:r>
    </w:p>
    <w:p>
      <w:pPr>
        <w:pStyle w:val="Normal"/>
        <w:keepNext w:val="true"/>
        <w:spacing w:lineRule="auto" w:line="240" w:before="80" w:after="120"/>
        <w:rPr/>
      </w:pPr>
      <w:r>
        <w:t>表 6. Industrial-1395 实地评估结果（来自三个照片集合的 1,395 张图像、52 个采集组、六种条件、8,370 行）。NMAE 和成对差异以 %FS 报告，Acc@2% 以百分比报告；GeoPRR-Net 行为三个编码器等权 OOF 汇总，原始 CNN 数值为三个随机种子的均值±样本标准差。成对区间采用采集组重采样、20,000 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r>
              <w:t>2.3262</w:t>
            </w:r>
          </w:p>
        </w:tc>
        <w:tc>
          <w:tcPr>
            <w:tcW w:w="1778" w:type="dxa"/>
            <w:tcBorders>
              <w:top w:val="single" w:sz="4" w:space="0" w:color="B7C0CC"/>
              <w:left w:val="single" w:sz="4" w:space="0" w:color="B7C0CC"/>
              <w:bottom w:val="single" w:sz="4" w:space="0" w:color="B7C0CC"/>
              <w:right w:val="single" w:sz="4" w:space="0" w:color="B7C0CC"/>
            </w:tcBorders>
            <w:vAlign w:val="center"/>
          </w:tcPr>
          <w:p>
            <w:r>
              <w:t>60.59</w:t>
            </w:r>
          </w:p>
        </w:tc>
        <w:tc>
          <w:tcPr>
            <w:tcW w:w="2433" w:type="dxa"/>
            <w:tcBorders>
              <w:top w:val="single" w:sz="4" w:space="0" w:color="B7C0CC"/>
              <w:left w:val="single" w:sz="4" w:space="0" w:color="B7C0CC"/>
              <w:bottom w:val="single" w:sz="4" w:space="0" w:color="B7C0CC"/>
              <w:right w:val="single" w:sz="4" w:space="0" w:color="B7C0CC"/>
            </w:tcBorders>
            <w:vAlign w:val="center"/>
          </w:tcPr>
          <w:p>
            <w: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ResNet-18</w:t>
            </w:r>
          </w:p>
        </w:tc>
        <w:tc>
          <w:tcPr>
            <w:tcW w:w="1966" w:type="dxa"/>
            <w:tcBorders>
              <w:top w:val="single" w:sz="4" w:space="0" w:color="B7C0CC"/>
              <w:left w:val="single" w:sz="4" w:space="0" w:color="B7C0CC"/>
              <w:bottom w:val="single" w:sz="4" w:space="0" w:color="B7C0CC"/>
              <w:right w:val="single" w:sz="4" w:space="0" w:color="B7C0CC"/>
            </w:tcBorders>
            <w:vAlign w:val="center"/>
          </w:tcPr>
          <w:p>
            <w: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r>
              <w:t>-21.2509 [-26.2171, -16.3859]</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r>
              <w:t>-12.9288 [-16.5400, -9.7767]</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r>
              <w:t>原始 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r>
              <w:t>-16.4307 [-19.9610, -13.0147]</w:t>
            </w:r>
          </w:p>
        </w:tc>
      </w:tr>
    </w:tbl>
    <w:p>
      <w:pPr>
        <w:pStyle w:val="Normal"/>
        <w:spacing w:before="0" w:after="40"/>
        <w:rPr/>
      </w:pPr>
      <w:r>
        <w:rPr/>
      </w:r>
    </w:p>
    <w:p>
      <w:pPr>
        <w:pStyle w:val="Normal"/>
        <w:widowControl/>
        <w:rPr/>
      </w:pPr>
      <w:r>
        <w:t>表 6 中三个采集组自举区间均低于零，Acc@2% 相对每个原始基线也有所提高。与最强原始基线相比，Acc@2% 从 13.86% 提高到 60.59%，增加 46.73 个百分点。平均误差、近精确读数准确率、完整 OOF 分母和成对采集组效应给出一致结论，说明该优势覆盖整个实地队列。</w:t>
      </w:r>
    </w:p>
    <w:p>
      <w:pPr>
        <w:pStyle w:val="Normal"/>
        <w:widowControl/>
        <w:rPr/>
      </w:pPr>
      <w:r>
        <w:t>图 4 的分条件比较表明，该优势覆盖完整退化清单。相对原始 EfficientNet-B0，GeoPRR-Net 在干净图像上将 NMAE 降低 81.6%，在两种模糊条件下降低 81.9%–82.6%，在中度透视下降低 82.5%，在严重透视下降低 87.5%，在“透视+模糊”下降低 88.3%；六个采集组区间均低于零。实地结果因此把显著的汇总提升与六种条件下持续较低的误差结合起来。</w:t>
      </w:r>
    </w:p>
    <w:p>
      <w:pPr>
        <w:pStyle w:val="Normal"/>
        <w:keepNext w:val="true"/>
        <w:spacing w:before="80" w:after="40"/>
        <w:jc w:val="center"/>
        <w:rPr/>
      </w:pPr>
      <w:r>
        <w:rPr/>
        <w:drawing>
          <wp:inline distT="0" distB="0" distL="0" distR="0">
            <wp:extent cx="5897880" cy="31084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108410"/>
                    </a:xfrm>
                    <a:prstGeom prst="rect">
                      <a:avLst/>
                    </a:prstGeom>
                  </pic:spPr>
                </pic:pic>
              </a:graphicData>
            </a:graphic>
          </wp:inline>
        </w:drawing>
      </w:r>
    </w:p>
    <w:p>
      <w:pPr>
        <w:pStyle w:val="Normal"/>
        <w:keepNext w:val="false"/>
        <w:spacing w:lineRule="auto" w:line="240" w:before="80" w:after="120"/>
        <w:rPr/>
      </w:pPr>
      <w:r>
        <w:t>图 4. Industrial-1395 实地评估结果。完整的 1,395 张图像队列显示，相对最强原始 CNN，NMAE 降低 84.8% (a)，Acc@2% 提高 46.73 个百分点 (b)。GeoPRR-Net 柱形为三个编码器等权 OOF 汇总，原始 CNN 柱形为三个随机种子的均值±样本标准差。(c) 相对原始 EfficientNet-B0 的六个分条件成对 NMAE 差异均低于零，对应 81.6%–88.3% 的误差降幅；横线为 95% 采集组自举区间。</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eastAsia="Noto Sans CJK SC" w:ascii="Times New Roman" w:hAnsi="Times New Roman"/>
          <w:b/>
        </w:rPr>
        <w:t>5.6. 相对原始 CNN 的跨数据集一致性</w:t>
      </w:r>
    </w:p>
    <w:p>
      <w:pPr>
        <w:pStyle w:val="Normal"/>
        <w:widowControl/>
        <w:rPr/>
      </w:pPr>
      <w:r>
        <w:t>图 6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51.2%、84.8% 和 22.7%，Acc@2% 分别提高 17.68、46.73 和 9.05 个百分点。图 9c 进一步把汇总结果分解到预设分组单位，并与原始 EfficientNet-B0 比较：SyncG 的 14/14 个场景、Industrial-1395 的 51/52 个采集簇以及 RF100-VL 的 32/35 个来源组均取得更低 NMAE；对应中位效应分别为 −1.1300、−14.6103 和 −1.6305%FS。Industrial-1395 始终作为一个统一队列处理，52 个点是该队列内部的采集簇，而不是独立数据集。受控基准、实地采集队列和独立公开迁移集呈现强组级一致性，说明该优势覆盖不同数据来源和对比架构。</w:t>
      </w:r>
    </w:p>
    <w:p>
      <w:pPr>
        <w:pStyle w:val="Normal"/>
        <w:keepNext w:val="true"/>
        <w:spacing w:before="80" w:after="40"/>
        <w:jc w:val="center"/>
        <w:rPr/>
      </w:pPr>
      <w:r>
        <w:rPr/>
        <w:drawing>
          <wp:inline distT="0" distB="0" distL="0" distR="0">
            <wp:extent cx="5897880" cy="503457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5034575"/>
                    </a:xfrm>
                    <a:prstGeom prst="rect">
                      <a:avLst/>
                    </a:prstGeom>
                  </pic:spPr>
                </pic:pic>
              </a:graphicData>
            </a:graphic>
          </wp:inline>
        </w:drawing>
      </w:r>
    </w:p>
    <w:p>
      <w:pPr>
        <w:pStyle w:val="Normal"/>
        <w:keepNext w:val="false"/>
        <w:spacing w:lineRule="auto" w:line="240" w:before="80" w:after="120"/>
        <w:rPr/>
      </w:pPr>
      <w:r>
        <w:t>图 6.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EfficientNet-B0）。Industrial-1395 使用 OOF 汇总，原始 CNN 误差在分组前对三个随机种子取平均。SyncG 的点为 14 个留出场景，Industrial-1395 的点为同一个统一队列内的 52 个采集簇，RF100-VL 的点为 35 个来源组；黑色横条表示中位数。取得更低 NMAE 的组数依次为 14/14、51/52 和 32/35，中位效应依次为 −1.1300、−14.6103 和 −1.6305%FS。</w:t>
      </w:r>
    </w:p>
    <w:p>
      <w:pPr>
        <w:pStyle w:val="2"/>
        <w:rPr/>
      </w:pPr>
      <w:r>
        <w:rPr>
          <w:rFonts w:ascii="Times New Roman" w:hAnsi="Times New Roman" w:eastAsia="Noto Sans CJK SC"/>
          <w:b/>
        </w:rPr>
        <w:t>5.7. 结构化读数器比较</w:t>
      </w:r>
    </w:p>
    <w:p>
      <w:pPr>
        <w:pStyle w:val="Normal"/>
        <w:widowControl/>
        <w:rPr/>
      </w:pPr>
      <w:r>
        <w:rPr>
          <w:rFonts w:ascii="Times New Roman" w:hAnsi="Times New Roman" w:eastAsia="Noto Serif CJK SC"/>
          <w:b w:val="0"/>
        </w:rPr>
        <w:t>表 8 和图 7 给出进度预测、向量估计、指针分割和四关键点姿态读数的完整 3×4 比较。GeoPRR-Net 在每个域上都同时取得最低的汇总 NMAE 和最高的 Acc@5：SyncG 上为 1.0013±0.0382%FS 和 98.08±0.08%，Industrial-1395 上为 2.3262%FS 和 86.99%，RF100-VL 上为 5.0098±1.5344%FS 和 76.16±5.13%。这一双指标优势覆盖全部三类结构化读数器。</w:t>
      </w:r>
    </w:p>
    <w:p>
      <w:pPr>
        <w:pStyle w:val="Normal"/>
        <w:keepNext w:val="true"/>
        <w:spacing w:lineRule="auto" w:line="240" w:before="80" w:after="120"/>
        <w:rPr/>
      </w:pPr>
      <w:r>
        <w:rPr>
          <w:rFonts w:ascii="Times New Roman" w:hAnsi="Times New Roman" w:eastAsia="Noto Serif CJK SC"/>
          <w:i/>
          <w:sz w:val="18"/>
        </w:rPr>
        <w:t>表 8. 三个六条件 ROI 清单上的完整结构化读数器比较。NMAE 以 %FS 报告，Acc@5% 与覆盖率以百分比报告。数值为三个随机种子或最终检查点的均值±样本标准差；Industrial-1395 的 GeoPRR-Net 数值为三个编码器预测的单次等权 OOF 汇总。粗体表示各数据集最低的汇总 NMAE。</w:t>
      </w:r>
    </w:p>
    <w:tbl>
      <w:tblPr>
        <w:tblW w:w="9360" w:type="dxa"/>
        <w:jc w:val="center"/>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340"/>
        <w:gridCol w:w="2340"/>
        <w:gridCol w:w="2340"/>
      </w:tblGrid>
      <w:tr>
        <w:trPr>
          <w:tblHeader w:val="true"/>
        </w:trPr>
        <w:tc>
          <w:tcPr>
            <w:tcW w:type="dxa" w:w="3672"/>
            <w:vAlign w:val="center"/>
            <w:shd w:fill="D9EAF7"/>
          </w:tcPr>
          <w:p>
            <w:pPr>
              <w:jc w:val="center"/>
            </w:pPr>
            <w:r/>
            <w:r>
              <w:rPr>
                <w:rFonts w:ascii="Times New Roman" w:hAnsi="Times New Roman" w:eastAsia="Noto Serif CJK SC"/>
                <w:b/>
                <w:i w:val="0"/>
                <w:sz w:val="15"/>
              </w:rPr>
              <w:t>方法</w:t>
            </w:r>
          </w:p>
        </w:tc>
        <w:tc>
          <w:tcPr>
            <w:tcW w:type="dxa" w:w="2088"/>
            <w:vAlign w:val="center"/>
            <w:shd w:fill="D9EAF7"/>
          </w:tcPr>
          <w:p>
            <w:pPr>
              <w:jc w:val="center"/>
            </w:pPr>
            <w:r/>
            <w:r>
              <w:rPr>
                <w:rFonts w:ascii="Times New Roman" w:hAnsi="Times New Roman" w:eastAsia="Noto Serif CJK SC"/>
                <w:b/>
                <w:i w:val="0"/>
                <w:sz w:val="15"/>
              </w:rPr>
              <w:t>汇总 NMAE（%FS）↓</w:t>
            </w:r>
          </w:p>
        </w:tc>
        <w:tc>
          <w:tcPr>
            <w:tcW w:type="dxa" w:w="1656"/>
            <w:vAlign w:val="center"/>
            <w:shd w:fill="D9EAF7"/>
          </w:tcPr>
          <w:p>
            <w:pPr>
              <w:jc w:val="center"/>
            </w:pPr>
            <w:r/>
            <w:r>
              <w:rPr>
                <w:rFonts w:ascii="Times New Roman" w:hAnsi="Times New Roman" w:eastAsia="Noto Serif CJK SC"/>
                <w:b/>
                <w:i w:val="0"/>
                <w:sz w:val="15"/>
              </w:rPr>
              <w:t>Acc@5%（%）↑</w:t>
            </w:r>
          </w:p>
        </w:tc>
        <w:tc>
          <w:tcPr>
            <w:tcW w:type="dxa" w:w="1656"/>
            <w:vAlign w:val="center"/>
            <w:shd w:fill="D9EAF7"/>
          </w:tcPr>
          <w:p>
            <w:pPr>
              <w:jc w:val="center"/>
            </w:pPr>
            <w:r/>
            <w:r>
              <w:rPr>
                <w:rFonts w:ascii="Times New Roman" w:hAnsi="Times New Roman" w:eastAsia="Noto Serif CJK SC"/>
                <w:b/>
                <w:i w:val="0"/>
                <w:sz w:val="15"/>
              </w:rPr>
              <w:t>覆盖率（%）↑</w:t>
            </w:r>
          </w:p>
        </w:tc>
      </w:tr>
      <w:tr>
        <w:tc>
          <w:tcPr>
            <w:tcW w:type="dxa" w:w="9072"/>
            <w:gridSpan w:val="4"/>
            <w:vAlign w:val="center"/>
            <w:shd w:fill="EDF3F8"/>
          </w:tcPr>
          <w:p>
            <w:pPr>
              <w:jc w:val="left"/>
            </w:pPr>
            <w:r/>
            <w:r>
              <w:rPr>
                <w:rFonts w:ascii="Times New Roman" w:hAnsi="Times New Roman" w:eastAsia="Noto Serif CJK SC"/>
                <w:b/>
                <w:i/>
                <w:sz w:val="15"/>
              </w:rPr>
              <w:t>场景互斥 SyncG：1,558 张图像、14 个场景、每个随机种子 9,348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1.0013±0.0382</w:t>
            </w:r>
          </w:p>
        </w:tc>
        <w:tc>
          <w:tcPr>
            <w:tcW w:type="dxa" w:w="1656"/>
            <w:vAlign w:val="center"/>
          </w:tcPr>
          <w:p>
            <w:pPr>
              <w:jc w:val="center"/>
            </w:pPr>
            <w:r/>
            <w:r>
              <w:rPr>
                <w:rFonts w:ascii="Times New Roman" w:hAnsi="Times New Roman" w:eastAsia="Noto Serif CJK SC"/>
                <w:b w:val="0"/>
                <w:i w:val="0"/>
                <w:sz w:val="15"/>
              </w:rPr>
              <w:t>98.08±0.08</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1.6620±0.0878</w:t>
            </w:r>
          </w:p>
        </w:tc>
        <w:tc>
          <w:tcPr>
            <w:tcW w:type="dxa" w:w="1656"/>
            <w:vAlign w:val="center"/>
          </w:tcPr>
          <w:p>
            <w:pPr>
              <w:jc w:val="center"/>
            </w:pPr>
            <w:r/>
            <w:r>
              <w:rPr>
                <w:rFonts w:ascii="Times New Roman" w:hAnsi="Times New Roman" w:eastAsia="Noto Serif CJK SC"/>
                <w:b w:val="0"/>
                <w:i w:val="0"/>
                <w:sz w:val="15"/>
              </w:rPr>
              <w:t>95.82±0.40</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1.7076±0.4078</w:t>
            </w:r>
          </w:p>
        </w:tc>
        <w:tc>
          <w:tcPr>
            <w:tcW w:type="dxa" w:w="1656"/>
            <w:vAlign w:val="center"/>
          </w:tcPr>
          <w:p>
            <w:pPr>
              <w:jc w:val="center"/>
            </w:pPr>
            <w:r/>
            <w:r>
              <w:rPr>
                <w:rFonts w:ascii="Times New Roman" w:hAnsi="Times New Roman" w:eastAsia="Noto Serif CJK SC"/>
                <w:b w:val="0"/>
                <w:i w:val="0"/>
                <w:sz w:val="15"/>
              </w:rPr>
              <w:t>95.18±0.44</w:t>
            </w:r>
          </w:p>
        </w:tc>
        <w:tc>
          <w:tcPr>
            <w:tcW w:type="dxa" w:w="1656"/>
            <w:vAlign w:val="center"/>
          </w:tcPr>
          <w:p>
            <w:pPr>
              <w:jc w:val="center"/>
            </w:pPr>
            <w:r/>
            <w:r>
              <w:rPr>
                <w:rFonts w:ascii="Times New Roman" w:hAnsi="Times New Roman" w:eastAsia="Noto Serif CJK SC"/>
                <w:b w:val="0"/>
                <w:i w:val="0"/>
                <w:sz w:val="15"/>
              </w:rPr>
              <w:t>99.70±0.27</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5.5666±2.9705</w:t>
            </w:r>
          </w:p>
        </w:tc>
        <w:tc>
          <w:tcPr>
            <w:tcW w:type="dxa" w:w="1656"/>
            <w:vAlign w:val="center"/>
          </w:tcPr>
          <w:p>
            <w:pPr>
              <w:jc w:val="center"/>
            </w:pPr>
            <w:r/>
            <w:r>
              <w:rPr>
                <w:rFonts w:ascii="Times New Roman" w:hAnsi="Times New Roman" w:eastAsia="Noto Serif CJK SC"/>
                <w:b w:val="0"/>
                <w:i w:val="0"/>
                <w:sz w:val="15"/>
              </w:rPr>
              <w:t>72.51±17.02</w:t>
            </w:r>
          </w:p>
        </w:tc>
        <w:tc>
          <w:tcPr>
            <w:tcW w:type="dxa" w:w="1656"/>
            <w:vAlign w:val="center"/>
          </w:tcPr>
          <w:p>
            <w:pPr>
              <w:jc w:val="center"/>
            </w:pPr>
            <w:r/>
            <w:r>
              <w:rPr>
                <w:rFonts w:ascii="Times New Roman" w:hAnsi="Times New Roman" w:eastAsia="Noto Serif CJK SC"/>
                <w:b w:val="0"/>
                <w:i w:val="0"/>
                <w:sz w:val="15"/>
              </w:rPr>
              <w:t>99.82±0.09</w:t>
            </w:r>
          </w:p>
        </w:tc>
      </w:tr>
      <w:tr>
        <w:tc>
          <w:tcPr>
            <w:tcW w:type="dxa" w:w="9072"/>
            <w:gridSpan w:val="4"/>
            <w:vAlign w:val="center"/>
            <w:shd w:fill="EDF3F8"/>
          </w:tcPr>
          <w:p>
            <w:pPr>
              <w:jc w:val="left"/>
            </w:pPr>
            <w:r/>
            <w:r>
              <w:rPr>
                <w:rFonts w:ascii="Times New Roman" w:hAnsi="Times New Roman" w:eastAsia="Noto Serif CJK SC"/>
                <w:b/>
                <w:i/>
                <w:sz w:val="15"/>
              </w:rPr>
              <w:t>Industrial-1395：1,395 张图像、52 个采集组、8,370 行 OOF 预测</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2.3262</w:t>
            </w:r>
          </w:p>
        </w:tc>
        <w:tc>
          <w:tcPr>
            <w:tcW w:type="dxa" w:w="1656"/>
            <w:vAlign w:val="center"/>
          </w:tcPr>
          <w:p>
            <w:pPr>
              <w:jc w:val="center"/>
            </w:pPr>
            <w:r/>
            <w:r>
              <w:rPr>
                <w:rFonts w:ascii="Times New Roman" w:hAnsi="Times New Roman" w:eastAsia="Noto Serif CJK SC"/>
                <w:b w:val="0"/>
                <w:i w:val="0"/>
                <w:sz w:val="15"/>
              </w:rPr>
              <w:t>86.99</w:t>
            </w:r>
          </w:p>
        </w:tc>
        <w:tc>
          <w:tcPr>
            <w:tcW w:type="dxa" w:w="1656"/>
            <w:vAlign w:val="center"/>
          </w:tcPr>
          <w:p>
            <w:pPr>
              <w:jc w:val="center"/>
            </w:pPr>
            <w:r/>
            <w:r>
              <w:rPr>
                <w:rFonts w:ascii="Times New Roman" w:hAnsi="Times New Roman" w:eastAsia="Noto Serif CJK SC"/>
                <w:b w:val="0"/>
                <w:i w:val="0"/>
                <w:sz w:val="15"/>
              </w:rPr>
              <w:t>100.00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54.7987±2.8860</w:t>
            </w:r>
          </w:p>
        </w:tc>
        <w:tc>
          <w:tcPr>
            <w:tcW w:type="dxa" w:w="1656"/>
            <w:vAlign w:val="center"/>
          </w:tcPr>
          <w:p>
            <w:pPr>
              <w:jc w:val="center"/>
            </w:pPr>
            <w:r/>
            <w:r>
              <w:rPr>
                <w:rFonts w:ascii="Times New Roman" w:hAnsi="Times New Roman" w:eastAsia="Noto Serif CJK SC"/>
                <w:b w:val="0"/>
                <w:i w:val="0"/>
                <w:sz w:val="15"/>
              </w:rPr>
              <w:t>33.89±2.56</w:t>
            </w:r>
          </w:p>
        </w:tc>
        <w:tc>
          <w:tcPr>
            <w:tcW w:type="dxa" w:w="1656"/>
            <w:vAlign w:val="center"/>
          </w:tcPr>
          <w:p>
            <w:pPr>
              <w:jc w:val="center"/>
            </w:pPr>
            <w:r/>
            <w:r>
              <w:rPr>
                <w:rFonts w:ascii="Times New Roman" w:hAnsi="Times New Roman" w:eastAsia="Noto Serif CJK SC"/>
                <w:b w:val="0"/>
                <w:i w:val="0"/>
                <w:sz w:val="15"/>
              </w:rPr>
              <w:t>52.59±0.00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54.2308±1.4463</w:t>
            </w:r>
          </w:p>
        </w:tc>
        <w:tc>
          <w:tcPr>
            <w:tcW w:type="dxa" w:w="1656"/>
            <w:vAlign w:val="center"/>
          </w:tcPr>
          <w:p>
            <w:pPr>
              <w:jc w:val="center"/>
            </w:pPr>
            <w:r/>
            <w:r>
              <w:rPr>
                <w:rFonts w:ascii="Times New Roman" w:hAnsi="Times New Roman" w:eastAsia="Noto Serif CJK SC"/>
                <w:b w:val="0"/>
                <w:i w:val="0"/>
                <w:sz w:val="15"/>
              </w:rPr>
              <w:t>40.71±2.32</w:t>
            </w:r>
          </w:p>
        </w:tc>
        <w:tc>
          <w:tcPr>
            <w:tcW w:type="dxa" w:w="1656"/>
            <w:vAlign w:val="center"/>
          </w:tcPr>
          <w:p>
            <w:pPr>
              <w:jc w:val="center"/>
            </w:pPr>
            <w:r/>
            <w:r>
              <w:rPr>
                <w:rFonts w:ascii="Times New Roman" w:hAnsi="Times New Roman" w:eastAsia="Noto Serif CJK SC"/>
                <w:b w:val="0"/>
                <w:i w:val="0"/>
                <w:sz w:val="15"/>
              </w:rPr>
              <w:t>50.12±0.40</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31.0045±7.6146</w:t>
            </w:r>
          </w:p>
        </w:tc>
        <w:tc>
          <w:tcPr>
            <w:tcW w:type="dxa" w:w="1656"/>
            <w:vAlign w:val="center"/>
          </w:tcPr>
          <w:p>
            <w:pPr>
              <w:jc w:val="center"/>
            </w:pPr>
            <w:r/>
            <w:r>
              <w:rPr>
                <w:rFonts w:ascii="Times New Roman" w:hAnsi="Times New Roman" w:eastAsia="Noto Serif CJK SC"/>
                <w:b w:val="0"/>
                <w:i w:val="0"/>
                <w:sz w:val="15"/>
              </w:rPr>
              <w:t>27.74±5.89</w:t>
            </w:r>
          </w:p>
        </w:tc>
        <w:tc>
          <w:tcPr>
            <w:tcW w:type="dxa" w:w="1656"/>
            <w:vAlign w:val="center"/>
          </w:tcPr>
          <w:p>
            <w:pPr>
              <w:jc w:val="center"/>
            </w:pPr>
            <w:r/>
            <w:r>
              <w:rPr>
                <w:rFonts w:ascii="Times New Roman" w:hAnsi="Times New Roman" w:eastAsia="Noto Serif CJK SC"/>
                <w:b w:val="0"/>
                <w:i w:val="0"/>
                <w:sz w:val="15"/>
              </w:rPr>
              <w:t>99.67±0.24</w:t>
            </w:r>
          </w:p>
        </w:tc>
      </w:tr>
      <w:tr>
        <w:tc>
          <w:tcPr>
            <w:tcW w:type="dxa" w:w="9072"/>
            <w:gridSpan w:val="4"/>
            <w:vAlign w:val="center"/>
            <w:shd w:fill="EDF3F8"/>
          </w:tcPr>
          <w:p>
            <w:pPr>
              <w:jc w:val="left"/>
            </w:pPr>
            <w:r/>
            <w:r>
              <w:rPr>
                <w:rFonts w:ascii="Times New Roman" w:hAnsi="Times New Roman" w:eastAsia="Noto Serif CJK SC"/>
                <w:b/>
                <w:i/>
                <w:sz w:val="15"/>
              </w:rPr>
              <w:t>RF100-VL：151 张图像、35 个来源组、每个随机种子 906 行</w:t>
            </w:r>
          </w:p>
        </w:tc>
      </w:tr>
      <w:tr>
        <w:tc>
          <w:tcPr>
            <w:tcW w:type="dxa" w:w="3672"/>
            <w:vAlign w:val="center"/>
          </w:tcPr>
          <w:p>
            <w:pPr>
              <w:jc w:val="left"/>
            </w:pPr>
            <w:r/>
            <w:r>
              <w:rPr>
                <w:rFonts w:ascii="Times New Roman" w:hAnsi="Times New Roman" w:eastAsia="Noto Serif CJK SC"/>
                <w:b/>
                <w:i w:val="0"/>
                <w:sz w:val="15"/>
              </w:rPr>
              <w:t>GeoPRR-Net</w:t>
            </w:r>
          </w:p>
        </w:tc>
        <w:tc>
          <w:tcPr>
            <w:tcW w:type="dxa" w:w="2088"/>
            <w:vAlign w:val="center"/>
          </w:tcPr>
          <w:p>
            <w:pPr>
              <w:jc w:val="center"/>
            </w:pPr>
            <w:r/>
            <w:r>
              <w:rPr>
                <w:rFonts w:ascii="Times New Roman" w:hAnsi="Times New Roman" w:eastAsia="Noto Serif CJK SC"/>
                <w:b/>
                <w:i w:val="0"/>
                <w:sz w:val="15"/>
              </w:rPr>
              <w:t>5.0098±1.5344</w:t>
            </w:r>
          </w:p>
        </w:tc>
        <w:tc>
          <w:tcPr>
            <w:tcW w:type="dxa" w:w="1656"/>
            <w:vAlign w:val="center"/>
          </w:tcPr>
          <w:p>
            <w:pPr>
              <w:jc w:val="center"/>
            </w:pPr>
            <w:r/>
            <w:r>
              <w:rPr>
                <w:rFonts w:ascii="Times New Roman" w:hAnsi="Times New Roman" w:eastAsia="Noto Serif CJK SC"/>
                <w:b w:val="0"/>
                <w:i w:val="0"/>
                <w:sz w:val="15"/>
              </w:rPr>
              <w:t>76.16±5.13</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VDN</w:t>
            </w:r>
          </w:p>
        </w:tc>
        <w:tc>
          <w:tcPr>
            <w:tcW w:type="dxa" w:w="2088"/>
            <w:vAlign w:val="center"/>
          </w:tcPr>
          <w:p>
            <w:pPr>
              <w:jc w:val="center"/>
            </w:pPr>
            <w:r/>
            <w:r>
              <w:rPr>
                <w:rFonts w:ascii="Times New Roman" w:hAnsi="Times New Roman" w:eastAsia="Noto Serif CJK SC"/>
                <w:b w:val="0"/>
                <w:i w:val="0"/>
                <w:sz w:val="15"/>
              </w:rPr>
              <w:t>13.0129±3.2761</w:t>
            </w:r>
          </w:p>
        </w:tc>
        <w:tc>
          <w:tcPr>
            <w:tcW w:type="dxa" w:w="1656"/>
            <w:vAlign w:val="center"/>
          </w:tcPr>
          <w:p>
            <w:pPr>
              <w:jc w:val="center"/>
            </w:pPr>
            <w:r/>
            <w:r>
              <w:rPr>
                <w:rFonts w:ascii="Times New Roman" w:hAnsi="Times New Roman" w:eastAsia="Noto Serif CJK SC"/>
                <w:b w:val="0"/>
                <w:i w:val="0"/>
                <w:sz w:val="15"/>
              </w:rPr>
              <w:t>62.36±5.19</w:t>
            </w:r>
          </w:p>
        </w:tc>
        <w:tc>
          <w:tcPr>
            <w:tcW w:type="dxa" w:w="1656"/>
            <w:vAlign w:val="center"/>
          </w:tcPr>
          <w:p>
            <w:pPr>
              <w:jc w:val="center"/>
            </w:pPr>
            <w:r/>
            <w:r>
              <w:rPr>
                <w:rFonts w:ascii="Times New Roman" w:hAnsi="Times New Roman" w:eastAsia="Noto Serif CJK SC"/>
                <w:b w:val="0"/>
                <w:i w:val="0"/>
                <w:sz w:val="15"/>
              </w:rPr>
              <w:t>100.00±0.00</w:t>
            </w:r>
          </w:p>
        </w:tc>
      </w:tr>
      <w:tr>
        <w:tc>
          <w:tcPr>
            <w:tcW w:type="dxa" w:w="3672"/>
            <w:vAlign w:val="center"/>
          </w:tcPr>
          <w:p>
            <w:pPr>
              <w:jc w:val="left"/>
            </w:pPr>
            <w:r/>
            <w:r>
              <w:rPr>
                <w:rFonts w:ascii="Times New Roman" w:hAnsi="Times New Roman" w:eastAsia="Noto Serif CJK SC"/>
                <w:b w:val="0"/>
                <w:i w:val="0"/>
                <w:sz w:val="15"/>
              </w:rPr>
              <w:t>DeepLabV3+-ROI</w:t>
            </w:r>
          </w:p>
        </w:tc>
        <w:tc>
          <w:tcPr>
            <w:tcW w:type="dxa" w:w="2088"/>
            <w:vAlign w:val="center"/>
          </w:tcPr>
          <w:p>
            <w:pPr>
              <w:jc w:val="center"/>
            </w:pPr>
            <w:r/>
            <w:r>
              <w:rPr>
                <w:rFonts w:ascii="Times New Roman" w:hAnsi="Times New Roman" w:eastAsia="Noto Serif CJK SC"/>
                <w:b w:val="0"/>
                <w:i w:val="0"/>
                <w:sz w:val="15"/>
              </w:rPr>
              <w:t>15.8532±4.0813</w:t>
            </w:r>
          </w:p>
        </w:tc>
        <w:tc>
          <w:tcPr>
            <w:tcW w:type="dxa" w:w="1656"/>
            <w:vAlign w:val="center"/>
          </w:tcPr>
          <w:p>
            <w:pPr>
              <w:jc w:val="center"/>
            </w:pPr>
            <w:r/>
            <w:r>
              <w:rPr>
                <w:rFonts w:ascii="Times New Roman" w:hAnsi="Times New Roman" w:eastAsia="Noto Serif CJK SC"/>
                <w:b w:val="0"/>
                <w:i w:val="0"/>
                <w:sz w:val="15"/>
              </w:rPr>
              <w:t>74.94±4.45</w:t>
            </w:r>
          </w:p>
        </w:tc>
        <w:tc>
          <w:tcPr>
            <w:tcW w:type="dxa" w:w="1656"/>
            <w:vAlign w:val="center"/>
          </w:tcPr>
          <w:p>
            <w:pPr>
              <w:jc w:val="center"/>
            </w:pPr>
            <w:r/>
            <w:r>
              <w:rPr>
                <w:rFonts w:ascii="Times New Roman" w:hAnsi="Times New Roman" w:eastAsia="Noto Serif CJK SC"/>
                <w:b w:val="0"/>
                <w:i w:val="0"/>
                <w:sz w:val="15"/>
              </w:rPr>
              <w:t>94.41±2.55</w:t>
            </w:r>
          </w:p>
        </w:tc>
      </w:tr>
      <w:tr>
        <w:tc>
          <w:tcPr>
            <w:tcW w:type="dxa" w:w="3672"/>
            <w:vAlign w:val="center"/>
          </w:tcPr>
          <w:p>
            <w:pPr>
              <w:jc w:val="left"/>
            </w:pPr>
            <w:r/>
            <w:r>
              <w:rPr>
                <w:rFonts w:ascii="Times New Roman" w:hAnsi="Times New Roman" w:eastAsia="Noto Serif CJK SC"/>
                <w:b w:val="0"/>
                <w:i w:val="0"/>
                <w:sz w:val="15"/>
              </w:rPr>
              <w:t>YOLO11s-Pose-4KP</w:t>
            </w:r>
          </w:p>
        </w:tc>
        <w:tc>
          <w:tcPr>
            <w:tcW w:type="dxa" w:w="2088"/>
            <w:vAlign w:val="center"/>
          </w:tcPr>
          <w:p>
            <w:pPr>
              <w:jc w:val="center"/>
            </w:pPr>
            <w:r/>
            <w:r>
              <w:rPr>
                <w:rFonts w:ascii="Times New Roman" w:hAnsi="Times New Roman" w:eastAsia="Noto Serif CJK SC"/>
                <w:b w:val="0"/>
                <w:i w:val="0"/>
                <w:sz w:val="15"/>
              </w:rPr>
              <w:t>16.1632±4.6280</w:t>
            </w:r>
          </w:p>
        </w:tc>
        <w:tc>
          <w:tcPr>
            <w:tcW w:type="dxa" w:w="1656"/>
            <w:vAlign w:val="center"/>
          </w:tcPr>
          <w:p>
            <w:pPr>
              <w:jc w:val="center"/>
            </w:pPr>
            <w:r/>
            <w:r>
              <w:rPr>
                <w:rFonts w:ascii="Times New Roman" w:hAnsi="Times New Roman" w:eastAsia="Noto Serif CJK SC"/>
                <w:b w:val="0"/>
                <w:i w:val="0"/>
                <w:sz w:val="15"/>
              </w:rPr>
              <w:t>42.53±12.62</w:t>
            </w:r>
          </w:p>
        </w:tc>
        <w:tc>
          <w:tcPr>
            <w:tcW w:type="dxa" w:w="1656"/>
            <w:vAlign w:val="center"/>
          </w:tcPr>
          <w:p>
            <w:pPr>
              <w:jc w:val="center"/>
            </w:pPr>
            <w:r/>
            <w:r>
              <w:rPr>
                <w:rFonts w:ascii="Times New Roman" w:hAnsi="Times New Roman" w:eastAsia="Noto Serif CJK SC"/>
                <w:b w:val="0"/>
                <w:i w:val="0"/>
                <w:sz w:val="15"/>
              </w:rPr>
              <w:t>99.71±0.42</w:t>
            </w:r>
          </w:p>
        </w:tc>
      </w:tr>
    </w:tbl>
    <w:p>
      <w:pPr>
        <w:pStyle w:val="Normal"/>
        <w:widowControl/>
        <w:rPr/>
      </w:pPr>
      <w:r>
        <w:rPr>
          <w:rFonts w:ascii="Times New Roman" w:hAnsi="Times New Roman" w:eastAsia="Noto Serif CJK SC"/>
          <w:b w:val="0"/>
        </w:rPr>
      </w:r>
    </w:p>
    <w:p>
      <w:pPr>
        <w:pStyle w:val="Normal"/>
        <w:keepNext w:val="true"/>
        <w:spacing w:before="80" w:after="40"/>
        <w:jc w:val="center"/>
        <w:rPr/>
      </w:pPr>
      <w:r>
        <w:drawing>
          <wp:inline xmlns:a="http://schemas.openxmlformats.org/drawingml/2006/main" xmlns:pic="http://schemas.openxmlformats.org/drawingml/2006/picture">
            <wp:extent cx="5897880" cy="4541258"/>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8"/>
                    <a:stretch>
                      <a:fillRect/>
                    </a:stretch>
                  </pic:blipFill>
                  <pic:spPr>
                    <a:xfrm>
                      <a:off x="0" y="0"/>
                      <a:ext cx="5897880" cy="4541258"/>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7. 三个六条件 ROI 清单上的完整 3×4 结构化读数器绝对性能比较。(a–c) 分别给出场景互斥 SyncG、Industrial-1395 和 RF100-VL 的汇总 NMAE；(d–f) 按相同域与方法顺序给出 Acc@5。柱形为三个随机种子或最终检查点的均值±样本标准差；Industrial-1395 的 GeoPRR-Net 数值为三个编码器的单次等权 OOF 汇总。</w:t>
      </w:r>
    </w:p>
    <w:p>
      <w:pPr>
        <w:pStyle w:val="Normal"/>
        <w:widowControl/>
        <w:rPr/>
      </w:pPr>
      <w:r>
        <w:rPr>
          <w:rFonts w:ascii="Times New Roman" w:hAnsi="Times New Roman" w:eastAsia="Noto Serif CJK SC"/>
          <w:b w:val="0"/>
        </w:rPr>
        <w:t>图 8 将绝对性能进一步换算为成对效应量与输出可靠性。相对于 VDN、DeepLabV3+-ROI 和 YOLO11s-Pose-4KP，GeoPRR-Net 在 SyncG 上将 NMAE 降低 39.8%–82.0%，在 Industrial-1395 上降低 92.5%–95.8%，在 RF100-VL 上降低 61.5%–69.0%；九组 Acc@5 比较均为正增益，范围为 1.2–59.2 个百分点。GeoPRR-Net 在三个域上的有效输出覆盖率均为 100%，从而把更低误差、更高的高精度读数比例和完整预测覆盖结合起来。</w:t>
      </w:r>
    </w:p>
    <w:p>
      <w:pPr>
        <w:pStyle w:val="Normal"/>
        <w:keepNext w:val="true"/>
        <w:spacing w:before="80" w:after="40"/>
        <w:jc w:val="center"/>
        <w:rPr/>
      </w:pPr>
      <w:r>
        <w:drawing>
          <wp:inline xmlns:a="http://schemas.openxmlformats.org/drawingml/2006/main" xmlns:pic="http://schemas.openxmlformats.org/drawingml/2006/picture">
            <wp:extent cx="5897880" cy="2724207"/>
            <wp:docPr id="9" name="Picture 9"/>
            <wp:cNvGraphicFramePr>
              <a:graphicFrameLocks noChangeAspect="1"/>
            </wp:cNvGraphicFramePr>
            <a:graphic>
              <a:graphicData uri="http://schemas.openxmlformats.org/drawingml/2006/picture">
                <pic:pic>
                  <pic:nvPicPr>
                    <pic:cNvPr id="0" name="fig7_reader_advantage.png"/>
                    <pic:cNvPicPr/>
                  </pic:nvPicPr>
                  <pic:blipFill>
                    <a:blip r:embed="rId19"/>
                    <a:stretch>
                      <a:fillRect/>
                    </a:stretch>
                  </pic:blipFill>
                  <pic:spPr>
                    <a:xfrm>
                      <a:off x="0" y="0"/>
                      <a:ext cx="5897880" cy="272420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8. 完整结构化读数器矩阵的效应量与可靠性视图。(a) GeoPRR-Net 相对各对照方法的 NMAE 相对降幅，计算为（NMAE_对照−NMAE_GeoPRR）/NMAE_对照；(b) Acc@5 的百分点增益；(c) 四种方法的有效输出覆盖率。每个单元格均使用相应数据域的完整六条件清单。</w:t>
      </w:r>
    </w:p>
    <w:p>
      <w:pPr>
        <w:pStyle w:val="2"/>
        <w:rPr/>
      </w:pPr>
      <w:r>
        <w:rPr>
          <w:rFonts w:ascii="Times New Roman" w:hAnsi="Times New Roman" w:eastAsia="Noto Sans CJK SC"/>
          <w:b/>
        </w:rPr>
        <w:t>5.8. 精度—效率权衡</w:t>
      </w:r>
    </w:p>
    <w:p>
      <w:pPr>
        <w:pStyle w:val="Normal"/>
        <w:widowControl/>
        <w:rPr/>
      </w:pPr>
      <w:r>
        <w:rPr>
          <w:rFonts w:ascii="Times New Roman" w:hAnsi="Times New Roman" w:eastAsia="Noto Serif CJK SC"/>
          <w:b w:val="0"/>
        </w:rPr>
        <w:t>表 9 和图 9 展示一个紧凑的 488.5 万参数模型：其规模小于 ResNet-18，并接近 EfficientNet-B0 和 MobileNetV3-Large。在所测 GPU 上，模型 P50 延迟为 37.972 ms、吞吐率为 26.26 图像/秒，足以支持高频或周期性巡检，同时完成双视图对齐、极坐标采样、稠密专家门控和矩投影。由于参数存储已经较为紧凑，算子融合、支撑变换缓存以及更低成本的关系或投影运算构成明确的提速路径。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9.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6.1. 异构专家与条件门控为何有效</w:t>
      </w:r>
    </w:p>
    <w:p>
      <w:pPr>
        <w:pStyle w:val="Normal"/>
        <w:widowControl/>
        <w:rPr/>
      </w:pPr>
      <w:r>
        <w:rPr>
          <w:rFonts w:ascii="Times New Roman" w:hAnsi="Times New Roman" w:eastAsia="Noto Serif CJK SC"/>
          <w:b w:val="0"/>
        </w:rPr>
        <w:t>实验表明三类专家形成清晰的专长层级。几何/基础专家占主导地位：以固定融合替代其学习式融合会在活动参数量不变的情况下产生 0.4988%FS 的 NMAE 惩罚，最大损害出现在组合严重条件。这与显式校正透视或使用关键点、刻度标记表示表盘结构的既有研究一致[8,11,12,25]。GeoPRR-Net 保留原始观测、对公共支撑施加掩膜，并让专家与门控网络共同感知归一化可用性；恒等回退防止不确定裁剪被当作可信校正。</w:t>
      </w:r>
    </w:p>
    <w:p>
      <w:pPr>
        <w:pStyle w:val="Normal"/>
        <w:widowControl/>
        <w:rPr/>
      </w:pPr>
      <w:r>
        <w:rPr>
          <w:rFonts w:ascii="Times New Roman" w:hAnsi="Times New Roman" w:eastAsia="Noto Serif CJK SC"/>
          <w:b w:val="0"/>
        </w:rPr>
        <w:t>关系专家和条件门控处理第二个问题：即使包含几何信息的基础专家也并非始终最佳。0.0776%FS 的关系惩罚小于几何惩罚，但在成对重采样下保持一致。在组合严重损坏下，门控网络的关系权重从 0.278 升至 0.418，关系专家的预言机最佳比例升至 0.492；以固定混合替代学习式门控会损失 0.1712%FS NMAE，说明逐样本责任分配本身构成重要贡献。这与重建式鲁棒性研究的经验一致：在一种应激下有益的组件，若被无条件应用，可能损害另一工作点[30]。</w:t>
      </w:r>
    </w:p>
    <w:p>
      <w:pPr>
        <w:pStyle w:val="Normal"/>
        <w:widowControl/>
        <w:rPr/>
      </w:pPr>
      <w:r>
        <w:rPr>
          <w:rFonts w:ascii="Times New Roman" w:hAnsi="Times New Roman" w:eastAsia="Noto Serif CJK SC"/>
          <w:b w:val="false"/>
        </w:rPr>
        <w:t>极坐标专家说明了门控为何优于强迫所有组件均匀贡献。其环形特征提供物理可解释的角度表示，并具有较高的预言机最佳频率；在组合严重损坏、角度证据最不可靠时，门控网络将其平均权重降至 0.107。因此，极坐标证据构成真正的专门化专家：它可以在部分图像上起决定作用，而无需主导汇总指标；稠密混合能够提取这种局部价值，同时保护更适合几何或跨视图关系的样本。</w:t>
      </w:r>
    </w:p>
    <w:p>
      <w:pPr>
        <w:pStyle w:val="Normal"/>
        <w:widowControl/>
        <w:rPr/>
      </w:pPr>
      <w:r>
        <w:rPr>
          <w:rFonts w:ascii="Times New Roman" w:hAnsi="Times New Roman" w:eastAsia="Noto Serif CJK SC"/>
          <w:b w:val="false"/>
        </w:rPr>
        <w:t>矩空间混合构成 MoE 设计的架构收益。式 (14) 返回一个归一化后验，以相对于几何感知基础分布最小的 KL 改变实现门控后的均值。模型由此可以分配专家责任，而不必平均形状不兼容的后验，也不会把下游接口分裂为三个输出；对所得后验方差进行校准，是进一步实现选择性预测的自然扩展。</w:t>
      </w:r>
    </w:p>
    <w:p>
      <w:pPr>
        <w:pStyle w:val="Normal"/>
        <w:widowControl/>
        <w:rPr/>
      </w:pPr>
      <w:r>
        <w:rPr>
          <w:rFonts w:ascii="Times New Roman" w:hAnsi="Times New Roman" w:eastAsia="Noto Serif CJK SC"/>
          <w:b w:val="false"/>
        </w:rPr>
        <w:t>这一定位也阐明 GeoPRR-Net 与既有分阶段系统的区别：显式校正方法在读数前先确定校正图像[8,12]，而 GeoPRR-Net 保留两种观测，并把支撑可用性作为门控证据；极坐标流水线直接采用角度坐标[9,21]，而所提混合可以降低极坐标专家权重；先验引导系统可以利用巡检路线或已知刻度结构[7]，而当前输入是通用归一化进度 ROI。这些设计可以围绕 GeoPRR-Net 集成：路线元数据和 OCR 可作为上游或下游模块，条件进度 MoE 则保留为读数核心。</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t>Industrial-1395 在受控鲁棒性与工作场景应用之间建立桥梁：它包含三个实拍照片集合、1,395 个真实仪表 ROI 和 52 个采集组，并采用按组五折 OOF 评估。在这一队列上，GeoPRR-Net 相对最强原始 CNN 将 NMAE 降低 84.8%，Acc@2% 提高 46.73 个百分点；相对于三个原始基线的成对区间均低于零，且相对原始 EfficientNet-B0 有 51/52 个采集组取得更低 NMAE。结合公开 RF100-VL 结果，结构化专家混合在受控和实地采集图像上均支持准确读数。</w:t>
      </w:r>
    </w:p>
    <w:p>
      <w:pPr>
        <w:pStyle w:val="Normal"/>
        <w:widowControl/>
        <w:rPr/>
      </w:pPr>
      <w:r>
        <w:rPr>
          <w:rFonts w:ascii="Times New Roman" w:hAnsi="Times New Roman" w:eastAsia="Noto Serif CJK SC"/>
          <w:b w:val="false"/>
        </w:rPr>
        <w:t>归一化进度也符合许多工业资产的管理方式：当资产台账中保存刻度端点时，式 (1) 可立即把模型输出转换为工程单位；当需要从图像识别量程或单位时，可以接入单独测试的 OCR 模块。这种模块化设计使 MoE 读数核心能够改进最容易失效的图像读数环节，同时保留连接完整测量工作流的清晰路径。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后续研究将把已展示的实地迁移能力扩展到更多站点，并覆盖反射、污垢、凝结和严重遮挡等退化。多随机种子专家利用率分析和匹配的软/硬门控研究，将刻画稳定专门化并推动后续条件计算变体。由于误差最大的 30 行中有 22 行位于 y=0 或 y=1 附近，端点感知损失尤其值得优先研究；选择性预测、算子级加速和单独验证的量程识别，则为构建完整物理测量工作流提供直接路径。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本文提出 GeoPRR-Net，一种用于双视图模拟仪表读数的几何感知稠密异构专家混合模型。共享 EfficientNet-B0 支撑几何/基础、极坐标和关系三类专家；输入依赖门控在归一化进度空间混合其候选均值，一次信息投影再把混合结果表达为矩一致后验。</w:t>
      </w:r>
    </w:p>
    <w:p>
      <w:pPr>
        <w:pStyle w:val="Normal"/>
        <w:widowControl/>
        <w:rPr/>
      </w:pPr>
      <w: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-0.4854]%FS。消融表明，几何/基础专家贡献最大，其次是输入依赖门控和关系专家。在公开 RF100-VL 上，六条件 NMAE 为 5.0098±1.5344%FS，而所测试的最强原始 CNN 为 6.4809%FS。在实地采集的 Industrial-1395 上，GeoPRR-Net 取得 2.3262%FS NMAE 和 60.59% Acc@2%，相对最强原始基线对应 84.8% 的 NMAE 降幅和 46.73 个百分点的 Acc@2% 增益。</w:t>
      </w:r>
    </w:p>
    <w:p>
      <w:pPr>
        <w:pStyle w:val="Normal"/>
        <w:widowControl/>
        <w:rPr/>
      </w:pPr>
      <w:r>
        <w:rPr>
          <w:rFonts w:ascii="Times New Roman" w:hAnsi="Times New Roman" w:eastAsia="Noto Serif CJK SC"/>
          <w:b w:val="false"/>
        </w:rPr>
        <w:t>该模型具有 488.5 万参数，在所测 RTX 4060 上的模型流水线中位延迟为 37.972 ms。固定混合惩罚和分条件专家权重证实，输入依赖专家分配是鲁棒性的实质来源。跨受控基准、公开迁移集和实地队列，GeoPRR-Net 持续结合紧凑参数、完整预测覆盖与低于所测试原始及结构化读数器的误差。进一步的多站点验证与自动读数器集成，可把这一几何感知 MoE 扩展为完整工业测量系统。</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ascii="Times New Roman" w:hAnsi="Times New Roman" w:eastAsia="Noto Serif CJK SC"/>
          <w:b w:val="0"/>
          <w:i w:val="0"/>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组级指标与适配 OOF 逐行预测、训练历史，以及支持文中表格和图形的紧凑汇总 CSV 文件公开于 https://github.com/KongyueX/GeoPRR-Net-Paper。Industrial-1395 原始图像和未匿名化来源记录不公开，因为项目控制的实地照片集合未获重新分发授权；图像级访问申请可提交给通讯作者，并将依据数据所有者许可予以考虑。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MoE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混合专家（Mixture of Experts）</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Jacobs, R.A.; Jordan, M.I.; Nowlan, S.J.; Hinton, G.E. Adaptive Mixtures of Local Experts. Neural Computation 1991, 3, 79–87. https://doi.org/10.1162/neco.1991.3.1.79.</w:t>
      </w:r>
    </w:p>
    <w:p>
      <w:pPr>
        <w:pStyle w:val="Normal"/>
        <w:spacing w:lineRule="auto" w:line="228" w:before="0" w:after="20"/>
        <w:ind w:left="288" w:hanging="288"/>
        <w:rPr/>
      </w:pPr>
      <w:r>
        <w:rPr>
          <w:rFonts w:eastAsia="Noto Serif CJK SC" w:ascii="Times New Roman" w:hAnsi="Times New Roman"/>
          <w:b w:val="false"/>
          <w:i w:val="false"/>
          <w:sz w:val="16"/>
        </w:rPr>
        <w:t>14. Shazeer, N.; Mirhoseini, A.; Maziarz, K.; Davis, A.; Le, Q.V.; Hinton, G.E.; Dean, J. Outrageously Large Neural Networks: The Sparsely-Gated Mixture-of-Experts Layer. In Proceedings of the International Conference on Learning Representations (ICLR), 2017. https://openreview.net/forum?id=B1ckMDqlg.</w:t>
      </w:r>
    </w:p>
    <w:p>
      <w:pPr>
        <w:pStyle w:val="Normal"/>
        <w:spacing w:lineRule="auto" w:line="228" w:before="0" w:after="20"/>
        <w:ind w:left="288" w:hanging="288"/>
        <w:rPr/>
      </w:pPr>
      <w:r>
        <w:rPr>
          <w:rFonts w:eastAsia="Noto Serif CJK SC" w:ascii="Times New Roman" w:hAnsi="Times New Roman"/>
          <w:b w:val="false"/>
          <w:i w:val="false"/>
          <w:sz w:val="16"/>
        </w:rPr>
        <w:t>15. Riquelme, C.; Puigcerver, J.; Mustafa, B.; Neumann, M.; Jenatton, R.; Pinto, A.S.; Keysers, D.; Houlsby, N. Scaling Vision with Sparse Mixture of Experts. Advances in Neural Information Processing Systems 2021, 34, 8583–8595. https://proceedings.neurips.cc/paper/2021/hash/48237d9f2dea8c74c2a72126cf63d933-Abstract.html.</w:t>
      </w:r>
    </w:p>
    <w:p>
      <w:pPr>
        <w:pStyle w:val="Normal"/>
        <w:spacing w:lineRule="auto" w:line="228" w:before="0" w:after="20"/>
        <w:ind w:left="288" w:hanging="288"/>
        <w:rPr/>
      </w:pPr>
      <w:r>
        <w:rPr>
          <w:rFonts w:eastAsia="Noto Serif CJK SC" w:ascii="Times New Roman" w:hAnsi="Times New Roman"/>
          <w:b w:val="false"/>
          <w:i w:val="false"/>
          <w:sz w:val="16"/>
        </w:rPr>
        <w:t>16. Puigcerver, J.; Riquelme Ruiz, C.; Mustafa, B.; Houlsby, N. From Sparse to Soft Mixtures of Experts. In Proceedings of the International Conference on Learning Representations (ICLR), 2024, pp. 28435–28445. https://proceedings.iclr.cc/paper_files/paper/2024/hash/79fea214543ba263952ac3f4e5452b14-Abstract-Conference.html.</w:t>
      </w:r>
    </w:p>
    <w:p>
      <w:pPr>
        <w:pStyle w:val="Normal"/>
        <w:spacing w:lineRule="auto" w:line="228" w:before="0" w:after="20"/>
        <w:ind w:left="288" w:hanging="288"/>
        <w:rPr/>
      </w:pPr>
      <w:r>
        <w:rPr>
          <w:rFonts w:eastAsia="Noto Serif CJK SC" w:ascii="Times New Roman" w:hAnsi="Times New Roman"/>
          <w:b w:val="false"/>
          <w:i w:val="false"/>
          <w:sz w:val="16"/>
        </w:rPr>
        <w:t>17.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18.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ascii="Times New Roman" w:hAnsi="Times New Roman" w:eastAsia="Noto Serif CJK SC"/>
          <w:b w:val="0"/>
          <w:i w:val="0"/>
          <w:sz w:val="16"/>
        </w:rPr>
        <w:t>19.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ascii="Times New Roman" w:hAnsi="Times New Roman" w:eastAsia="Noto Serif CJK SC"/>
          <w:b w:val="0"/>
          <w:i w:val="0"/>
          <w:sz w:val="16"/>
        </w:rPr>
        <w:t>20.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ascii="Times New Roman" w:hAnsi="Times New Roman" w:eastAsia="Noto Serif CJK SC"/>
          <w:b w:val="0"/>
          <w:i w:val="0"/>
          <w:sz w:val="16"/>
        </w:rPr>
        <w:t>21.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ascii="Times New Roman" w:hAnsi="Times New Roman" w:eastAsia="Noto Serif CJK SC"/>
          <w:b w:val="0"/>
          <w:i w:val="0"/>
          <w:sz w:val="16"/>
        </w:rPr>
        <w:t>22.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ascii="Times New Roman" w:hAnsi="Times New Roman" w:eastAsia="Noto Serif CJK SC"/>
          <w:b w:val="0"/>
          <w:i w:val="0"/>
          <w:sz w:val="16"/>
        </w:rPr>
        <w:t>23. Chen, L.-C.; Zhu, Y.; Papandreou, G.; Schroff, F.; Adam, H. Encoder–Decoder with Atrous Separable Convolution for Semantic Image Segmentation. In Computer Vision – ECCV 2018; Springer, 2018; pp. 833–851. https://doi.org/10.1007/978-3-030-01234-2_49.</w:t>
      </w:r>
    </w:p>
    <w:p>
      <w:pPr>
        <w:pStyle w:val="Normal"/>
        <w:spacing w:lineRule="auto" w:line="228" w:before="0" w:after="20"/>
        <w:ind w:left="288" w:hanging="288"/>
        <w:rPr/>
      </w:pPr>
      <w:r>
        <w:rPr>
          <w:rFonts w:ascii="Times New Roman" w:hAnsi="Times New Roman" w:eastAsia="Noto Serif CJK SC"/>
          <w:b w:val="0"/>
          <w:i w:val="0"/>
          <w:sz w:val="16"/>
        </w:rPr>
        <w:t>24. Jocher, G.; Qiu, J.; Chaurasia, A. Ultralytics YOLO [Computer software]. 2023. https://github.com/ultralytics/ultralytics (accessed 1 September 2026).</w:t>
      </w:r>
    </w:p>
    <w:p>
      <w:pPr>
        <w:pStyle w:val="Normal"/>
        <w:spacing w:lineRule="auto" w:line="228" w:before="0" w:after="20"/>
        <w:ind w:left="288" w:hanging="288"/>
        <w:rPr/>
      </w:pPr>
      <w:r>
        <w:rPr>
          <w:rFonts w:ascii="Times New Roman" w:hAnsi="Times New Roman" w:eastAsia="Noto Serif CJK SC"/>
          <w:b w:val="0"/>
          <w:i w:val="0"/>
          <w:sz w:val="16"/>
        </w:rPr>
        <w:t>25.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ascii="Times New Roman" w:hAnsi="Times New Roman" w:eastAsia="Noto Serif CJK SC"/>
          <w:b w:val="0"/>
          <w:i w:val="0"/>
          <w:sz w:val="16"/>
        </w:rPr>
        <w:t>26.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ascii="Times New Roman" w:hAnsi="Times New Roman" w:eastAsia="Noto Serif CJK SC"/>
          <w:b w:val="0"/>
          <w:i w:val="0"/>
          <w:sz w:val="16"/>
        </w:rPr>
        <w:t>27.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ascii="Times New Roman" w:hAnsi="Times New Roman" w:eastAsia="Noto Serif CJK SC"/>
          <w:b w:val="0"/>
          <w:i w:val="0"/>
          <w:sz w:val="16"/>
        </w:rPr>
        <w:t>28.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ascii="Times New Roman" w:hAnsi="Times New Roman" w:eastAsia="Noto Serif CJK SC"/>
          <w:b w:val="0"/>
          <w:i w:val="0"/>
          <w:sz w:val="16"/>
        </w:rPr>
        <w:t>29. Wang, F.; Weng, C.; Wang, X.; Chen, Z.; Zhao, Z.; Tang, J. DialBench: Towards Accurate Reading Recognition of Pointer Meter Using Large Foundation Models. arXiv 2025, arXiv:2511.21982. https://doi.org/10.48550/arXiv.2511.21982.</w:t>
      </w:r>
    </w:p>
    <w:p>
      <w:pPr>
        <w:pStyle w:val="Normal"/>
        <w:spacing w:lineRule="auto" w:line="228" w:before="0" w:after="20"/>
        <w:ind w:left="288" w:hanging="288"/>
        <w:rPr/>
      </w:pPr>
      <w:r>
        <w:rPr>
          <w:rFonts w:ascii="Times New Roman" w:hAnsi="Times New Roman" w:eastAsia="Noto Serif CJK SC"/>
          <w:b w:val="0"/>
          <w:i w:val="0"/>
          <w:sz w:val="16"/>
        </w:rPr>
        <w:t>30.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ascii="Times New Roman" w:hAnsi="Times New Roman" w:eastAsia="Noto Serif CJK SC"/>
          <w:b w:val="0"/>
          <w:i w:val="0"/>
          <w:sz w:val="16"/>
        </w:rPr>
        <w:t>31.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ascii="Times New Roman" w:hAnsi="Times New Roman" w:eastAsia="Noto Serif CJK SC"/>
          <w:b w:val="0"/>
          <w:i w:val="0"/>
          <w:sz w:val="16"/>
        </w:rPr>
        <w:t>32.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ascii="Times New Roman" w:hAnsi="Times New Roman" w:eastAsia="Noto Serif CJK SC"/>
          <w:b w:val="0"/>
          <w:i w:val="0"/>
          <w:sz w:val="16"/>
        </w:rPr>
        <w:t>33.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ascii="Times New Roman" w:hAnsi="Times New Roman" w:eastAsia="Noto Serif CJK SC"/>
          <w:b w:val="0"/>
          <w:i w:val="0"/>
          <w:sz w:val="16"/>
        </w:rPr>
        <w:t>34.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GeoPRR-Net · 中文审阅版 V4.5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 Id="rId17" Type="http://schemas.openxmlformats.org/officeDocument/2006/relationships/hyperlink" Target="https://github.com/KongyueX/GeoPRR-Net" TargetMode="External"/><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V4.5：删除指定披露与代码提交说明，并重排第 5 章证据顺序。</dc:description>
  <cp:keywords>GeoPRR-Net 中文审阅版 模拟指针读数</cp:keywords>
  <dc:language>zh-CN</dc:language>
  <cp:lastModifiedBy/>
  <dcterms:modified xsi:type="dcterms:W3CDTF">2026-08-29T21:57:35Z</dcterms:modified>
  <cp:revision>4</cp:revision>
  <dc:subject>GeoPRR-Net 中文 MoE 审阅版</dc:subject>
  <dc:title>GeoPRR-Net：面向鲁棒模拟仪表读数的几何感知异构专家混合模型（中文审阅版 V4.5）</dc:title>
</cp:coreProperties>
</file>

<file path=docProps/custom.xml><?xml version="1.0" encoding="utf-8"?>
<Properties xmlns="http://schemas.openxmlformats.org/officeDocument/2006/custom-properties" xmlns:vt="http://schemas.openxmlformats.org/officeDocument/2006/docPropsVTypes"/>
</file>