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A934691" w:rsidR="003F3116" w:rsidRDefault="00A12296" w:rsidP="00A12296">
      <w:pPr>
        <w:jc w:val="center"/>
        <w:rPr>
          <w:lang w:val="en-US"/>
        </w:rPr>
      </w:pPr>
      <w:r w:rsidRPr="00A12296">
        <w:rPr>
          <w:b/>
          <w:bCs/>
          <w:color w:val="00B050"/>
          <w:sz w:val="32"/>
          <w:szCs w:val="32"/>
          <w:lang w:val="en-US"/>
        </w:rPr>
        <w:t>Feasibility-study-v0.</w:t>
      </w:r>
      <w:r w:rsidR="008C7C68">
        <w:rPr>
          <w:b/>
          <w:bCs/>
          <w:color w:val="00B050"/>
          <w:sz w:val="32"/>
          <w:szCs w:val="32"/>
          <w:lang w:val="en-US"/>
        </w:rPr>
        <w:t>2</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4A477389" w:rsidR="00C43FDE" w:rsidRDefault="003F3116" w:rsidP="003F3116">
      <w:pPr>
        <w:pStyle w:val="ListParagraph"/>
        <w:numPr>
          <w:ilvl w:val="0"/>
          <w:numId w:val="2"/>
        </w:numPr>
      </w:pPr>
      <w:r>
        <w:t>Feasibility……………………………………………………………………………………………………………………………………</w:t>
      </w:r>
      <w:r w:rsidR="000D0857">
        <w:t>2</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14FFEE1A" w:rsidR="003F3116" w:rsidRPr="003F3116" w:rsidRDefault="003F3116" w:rsidP="003F3116">
      <w:pPr>
        <w:pStyle w:val="ListParagraph"/>
        <w:numPr>
          <w:ilvl w:val="1"/>
          <w:numId w:val="2"/>
        </w:numPr>
        <w:rPr>
          <w:lang w:val="en-US"/>
        </w:rPr>
      </w:pPr>
      <w:r>
        <w:t>Οικονομική επιτευξιμότητα......................................................................................................</w:t>
      </w:r>
      <w:r w:rsidR="00BA3AB1">
        <w:t>4</w:t>
      </w:r>
    </w:p>
    <w:p w14:paraId="1BA7B6A4" w14:textId="27CB081E" w:rsidR="003F3116" w:rsidRPr="003F3116" w:rsidRDefault="003F3116" w:rsidP="003F3116">
      <w:pPr>
        <w:pStyle w:val="ListParagraph"/>
        <w:numPr>
          <w:ilvl w:val="1"/>
          <w:numId w:val="2"/>
        </w:numPr>
        <w:rPr>
          <w:lang w:val="en-US"/>
        </w:rPr>
      </w:pPr>
      <w:r>
        <w:t>Νομική επιτευξιμότητα.............................................................................................................</w:t>
      </w:r>
      <w:r w:rsidR="000D0857">
        <w:t>4</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p>
    <w:p w14:paraId="0B7F159B" w14:textId="77777777" w:rsidR="00872A3A" w:rsidRDefault="00872A3A" w:rsidP="001070F3">
      <w:pPr>
        <w:jc w:val="both"/>
        <w:rPr>
          <w:color w:val="00B050"/>
          <w:lang w:val="en-US"/>
        </w:rPr>
      </w:pPr>
    </w:p>
    <w:p w14:paraId="53DC0217" w14:textId="77777777" w:rsidR="00872A3A" w:rsidRDefault="00872A3A" w:rsidP="001070F3">
      <w:pPr>
        <w:jc w:val="both"/>
        <w:rPr>
          <w:color w:val="00B050"/>
          <w:lang w:val="en-US"/>
        </w:rPr>
      </w:pPr>
    </w:p>
    <w:p w14:paraId="21E0B6E9" w14:textId="77777777" w:rsidR="00872A3A" w:rsidRDefault="00872A3A" w:rsidP="001070F3">
      <w:pPr>
        <w:jc w:val="both"/>
        <w:rPr>
          <w:color w:val="00B050"/>
          <w:lang w:val="en-US"/>
        </w:rPr>
      </w:pPr>
    </w:p>
    <w:p w14:paraId="5A61B79C" w14:textId="77777777" w:rsidR="00872A3A" w:rsidRDefault="00872A3A" w:rsidP="001070F3">
      <w:pPr>
        <w:jc w:val="both"/>
        <w:rPr>
          <w:color w:val="00B050"/>
          <w:lang w:val="en-US"/>
        </w:rPr>
      </w:pPr>
    </w:p>
    <w:p w14:paraId="7BBC1421" w14:textId="77777777" w:rsidR="00872A3A" w:rsidRDefault="00872A3A" w:rsidP="001070F3">
      <w:pPr>
        <w:jc w:val="both"/>
        <w:rPr>
          <w:color w:val="00B050"/>
          <w:lang w:val="en-US"/>
        </w:rPr>
      </w:pPr>
    </w:p>
    <w:p w14:paraId="07484F50" w14:textId="77777777" w:rsidR="00872A3A" w:rsidRDefault="00872A3A" w:rsidP="001070F3">
      <w:pPr>
        <w:jc w:val="both"/>
        <w:rPr>
          <w:color w:val="00B050"/>
          <w:lang w:val="en-US"/>
        </w:rPr>
      </w:pPr>
    </w:p>
    <w:p w14:paraId="261F1028" w14:textId="77777777" w:rsidR="00872A3A" w:rsidRDefault="00872A3A" w:rsidP="001070F3">
      <w:pPr>
        <w:jc w:val="both"/>
        <w:rPr>
          <w:color w:val="00B050"/>
          <w:lang w:val="en-US"/>
        </w:rPr>
      </w:pPr>
    </w:p>
    <w:p w14:paraId="04BC554C" w14:textId="77777777" w:rsidR="00872A3A" w:rsidRDefault="00872A3A" w:rsidP="001070F3">
      <w:pPr>
        <w:jc w:val="both"/>
        <w:rPr>
          <w:color w:val="00B050"/>
          <w:lang w:val="en-US"/>
        </w:rPr>
      </w:pPr>
    </w:p>
    <w:p w14:paraId="3635DA82" w14:textId="77777777" w:rsidR="00872A3A" w:rsidRDefault="00872A3A" w:rsidP="001070F3">
      <w:pPr>
        <w:jc w:val="both"/>
        <w:rPr>
          <w:color w:val="00B050"/>
          <w:lang w:val="en-US"/>
        </w:rPr>
      </w:pPr>
    </w:p>
    <w:p w14:paraId="7E7EF14E" w14:textId="482107D2" w:rsidR="001070F3" w:rsidRPr="001070F3" w:rsidRDefault="001070F3" w:rsidP="001070F3">
      <w:pPr>
        <w:jc w:val="both"/>
        <w:rPr>
          <w:color w:val="70AD47" w:themeColor="accent6"/>
          <w:lang w:val="en-US"/>
        </w:rPr>
      </w:pPr>
      <w:r>
        <w:rPr>
          <w:color w:val="00B050"/>
          <w:lang w:val="en-US"/>
        </w:rPr>
        <w:lastRenderedPageBreak/>
        <w:t>Feasibility</w:t>
      </w:r>
    </w:p>
    <w:p w14:paraId="66FC37D7" w14:textId="5D648B1D" w:rsidR="001070F3" w:rsidRPr="001070F3" w:rsidRDefault="001070F3" w:rsidP="001070F3">
      <w:pPr>
        <w:ind w:left="360"/>
        <w:jc w:val="both"/>
        <w:rPr>
          <w:lang w:val="en-US"/>
        </w:rPr>
      </w:pPr>
      <w:r w:rsidRPr="001070F3">
        <w:rPr>
          <w:lang w:val="en-US"/>
        </w:rPr>
        <w:t xml:space="preserve">Editor: </w:t>
      </w:r>
      <w:r w:rsidRPr="001070F3">
        <w:t>Ζαπαντιώτης</w:t>
      </w:r>
      <w:r w:rsidRPr="001070F3">
        <w:rPr>
          <w:lang w:val="en-US"/>
        </w:rPr>
        <w:t xml:space="preserve"> </w:t>
      </w:r>
      <w:r w:rsidRPr="001070F3">
        <w:t>Μάριος</w:t>
      </w:r>
    </w:p>
    <w:p w14:paraId="74F732B5" w14:textId="7539C5D4" w:rsidR="001070F3" w:rsidRPr="001070F3" w:rsidRDefault="001070F3" w:rsidP="001070F3">
      <w:pPr>
        <w:ind w:left="360"/>
        <w:jc w:val="both"/>
        <w:rPr>
          <w:lang w:val="en-US"/>
        </w:rPr>
      </w:pPr>
      <w:r w:rsidRPr="001070F3">
        <w:rPr>
          <w:lang w:val="en-US"/>
        </w:rPr>
        <w:t xml:space="preserve">Contributor: </w:t>
      </w:r>
      <w:r w:rsidRPr="001070F3">
        <w:t>Θανοπούλου</w:t>
      </w:r>
      <w:r w:rsidRPr="001070F3">
        <w:rPr>
          <w:lang w:val="en-US"/>
        </w:rPr>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4D3D6BA4" w14:textId="77777777" w:rsidR="00BA3AB1" w:rsidRDefault="00BA3AB1" w:rsidP="00872A3A">
      <w:pPr>
        <w:ind w:left="360"/>
        <w:jc w:val="both"/>
      </w:pPr>
    </w:p>
    <w:p w14:paraId="423B51A4" w14:textId="3611BC2D" w:rsidR="00BA3AB1" w:rsidRDefault="00BA3AB1" w:rsidP="00BA3AB1">
      <w:pPr>
        <w:jc w:val="both"/>
        <w:rPr>
          <w:color w:val="00B050"/>
        </w:rPr>
      </w:pPr>
      <w:r>
        <w:rPr>
          <w:color w:val="00B050"/>
        </w:rPr>
        <w:t xml:space="preserve">Αλλαγές σε σχέση με έκδοση </w:t>
      </w:r>
      <w:r>
        <w:rPr>
          <w:color w:val="00B050"/>
          <w:lang w:val="en-US"/>
        </w:rPr>
        <w:t>v</w:t>
      </w:r>
      <w:r w:rsidRPr="00BA3AB1">
        <w:rPr>
          <w:color w:val="00B050"/>
        </w:rPr>
        <w:t>0.1</w:t>
      </w:r>
    </w:p>
    <w:p w14:paraId="027096B5" w14:textId="77777777" w:rsidR="00BA3AB1" w:rsidRDefault="00BA3AB1" w:rsidP="00BA3AB1">
      <w:pPr>
        <w:jc w:val="both"/>
      </w:pPr>
      <w:r>
        <w:t xml:space="preserve">Με σκοπό να εναρμονιστεί με το νέο </w:t>
      </w:r>
      <w:r>
        <w:rPr>
          <w:lang w:val="en-US"/>
        </w:rPr>
        <w:t>project</w:t>
      </w:r>
      <w:r w:rsidRPr="00BA3AB1">
        <w:t xml:space="preserve"> </w:t>
      </w:r>
      <w:r>
        <w:rPr>
          <w:lang w:val="en-US"/>
        </w:rPr>
        <w:t>plan</w:t>
      </w:r>
      <w:r w:rsidRPr="00BA3AB1">
        <w:t xml:space="preserve"> (</w:t>
      </w:r>
      <w:r>
        <w:rPr>
          <w:lang w:val="en-US"/>
        </w:rPr>
        <w:t>v</w:t>
      </w:r>
      <w:r w:rsidRPr="00BA3AB1">
        <w:t>0.2)</w:t>
      </w:r>
      <w:r>
        <w:t xml:space="preserve">, το </w:t>
      </w:r>
      <w:r>
        <w:rPr>
          <w:lang w:val="en-US"/>
        </w:rPr>
        <w:t>feasibility</w:t>
      </w:r>
      <w:r w:rsidRPr="00BA3AB1">
        <w:t xml:space="preserve"> </w:t>
      </w:r>
      <w:r>
        <w:rPr>
          <w:lang w:val="en-US"/>
        </w:rPr>
        <w:t>study</w:t>
      </w:r>
      <w:r w:rsidRPr="00BA3AB1">
        <w:t xml:space="preserve">, </w:t>
      </w:r>
      <w:r>
        <w:t>χρειαζόταν να ενημερωθούν οι παραδοχές που έγιναν όσον αφορά το οικονομικό κομμάτι της μελέτης (Οικονομική επιτευξιμότητα</w:t>
      </w:r>
    </w:p>
    <w:p w14:paraId="616CDE7E" w14:textId="3C4371C6" w:rsidR="00BA3AB1" w:rsidRPr="00BA3AB1" w:rsidRDefault="00BA3AB1" w:rsidP="00BA3AB1">
      <w:pPr>
        <w:jc w:val="both"/>
      </w:pPr>
      <w:r>
        <w:t xml:space="preserve"> σ. 4).</w:t>
      </w:r>
    </w:p>
    <w:p w14:paraId="4DECE4C3" w14:textId="77777777" w:rsidR="00BA3AB1" w:rsidRPr="004A6528" w:rsidRDefault="00BA3AB1" w:rsidP="00BA3AB1">
      <w:pPr>
        <w:rPr>
          <w:color w:val="000000" w:themeColor="text1"/>
        </w:rPr>
      </w:pPr>
      <w:r>
        <w:rPr>
          <w:color w:val="000000" w:themeColor="text1"/>
        </w:rPr>
        <w:t xml:space="preserve">Οι αλλαγές φαίνονται με </w:t>
      </w:r>
      <w:r w:rsidRPr="00EB7479">
        <w:rPr>
          <w:color w:val="FF0000"/>
        </w:rPr>
        <w:t>κόκκινο</w:t>
      </w:r>
      <w:r>
        <w:rPr>
          <w:color w:val="000000" w:themeColor="text1"/>
        </w:rPr>
        <w:t xml:space="preserve"> χρώμα.</w:t>
      </w:r>
    </w:p>
    <w:p w14:paraId="5746C01D" w14:textId="2FBA7DC0" w:rsidR="00BA3AB1" w:rsidRPr="00BA3AB1" w:rsidRDefault="00BA3AB1" w:rsidP="00BA3AB1">
      <w:pPr>
        <w:jc w:val="both"/>
      </w:pPr>
    </w:p>
    <w:p w14:paraId="2A955D3B" w14:textId="50A7D8BC"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33A33CD2" w14:textId="0E1339D7"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34524A6A" w:rsidR="00DC16A3" w:rsidRDefault="00DC16A3" w:rsidP="00A5180D">
      <w:pPr>
        <w:jc w:val="both"/>
      </w:pPr>
    </w:p>
    <w:p w14:paraId="53FD81E0" w14:textId="77777777" w:rsidR="00BA3AB1" w:rsidRPr="000D0857" w:rsidRDefault="00BA3AB1" w:rsidP="00A5180D">
      <w:pPr>
        <w:jc w:val="both"/>
      </w:pPr>
    </w:p>
    <w:p w14:paraId="027D86AD" w14:textId="439C4CE3" w:rsidR="00996535" w:rsidRPr="00B50F19" w:rsidRDefault="00996535" w:rsidP="003F3116">
      <w:pPr>
        <w:rPr>
          <w:color w:val="FF0000"/>
        </w:rPr>
      </w:pPr>
      <w:r w:rsidRPr="00B50F19">
        <w:rPr>
          <w:color w:val="FF0000"/>
        </w:rPr>
        <w:t>Οικονομική επιτευξιμότητα</w:t>
      </w:r>
    </w:p>
    <w:p w14:paraId="5031FE7E" w14:textId="1C6B9913"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875CDE">
        <w:t>5</w:t>
      </w:r>
      <w:r w:rsidR="00375AA9">
        <w:t>1</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και η δημιουργία λογαροασμού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φτάνουμε στα </w:t>
      </w:r>
      <w:r w:rsidR="00875CDE">
        <w:rPr>
          <w:rFonts w:ascii="Arial" w:hAnsi="Arial" w:cs="Arial"/>
          <w:color w:val="202122"/>
          <w:sz w:val="21"/>
          <w:szCs w:val="21"/>
          <w:shd w:val="clear" w:color="auto" w:fill="FFFFFF"/>
        </w:rPr>
        <w:t>5</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875CDE">
        <w:rPr>
          <w:rFonts w:ascii="Arial" w:hAnsi="Arial" w:cs="Arial"/>
          <w:color w:val="202122"/>
          <w:sz w:val="21"/>
          <w:szCs w:val="21"/>
          <w:shd w:val="clear" w:color="auto" w:fill="FFFFFF"/>
        </w:rPr>
        <w:t>32</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D66E15">
        <w:rPr>
          <w:rFonts w:ascii="Arial" w:hAnsi="Arial" w:cs="Arial"/>
          <w:color w:val="202122"/>
          <w:sz w:val="21"/>
          <w:szCs w:val="21"/>
          <w:shd w:val="clear" w:color="auto" w:fill="FFFFFF"/>
        </w:rPr>
        <w:t>, (</w:t>
      </w:r>
      <w:r w:rsidR="00875CDE">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αρκεί για 5 μήνες</w:t>
      </w:r>
      <w:r w:rsidR="00875CDE">
        <w:rPr>
          <w:rFonts w:ascii="Arial" w:hAnsi="Arial" w:cs="Arial"/>
          <w:color w:val="202122"/>
          <w:sz w:val="21"/>
          <w:szCs w:val="21"/>
          <w:shd w:val="clear" w:color="auto" w:fill="FFFFFF"/>
        </w:rPr>
        <w:t xml:space="preserve"> αφού (320 </w:t>
      </w:r>
      <w:r w:rsidR="00875CDE" w:rsidRPr="00D66E15">
        <w:rPr>
          <w:rFonts w:ascii="Arial" w:hAnsi="Arial" w:cs="Arial"/>
          <w:color w:val="202122"/>
          <w:sz w:val="21"/>
          <w:szCs w:val="21"/>
          <w:shd w:val="clear" w:color="auto" w:fill="FFFFFF"/>
        </w:rPr>
        <w:t>€</w:t>
      </w:r>
      <w:r w:rsidR="00875CDE">
        <w:rPr>
          <w:rFonts w:ascii="Arial" w:hAnsi="Arial" w:cs="Arial"/>
          <w:color w:val="202122"/>
          <w:sz w:val="21"/>
          <w:szCs w:val="21"/>
          <w:shd w:val="clear" w:color="auto" w:fill="FFFFFF"/>
        </w:rPr>
        <w:t>) * (150 ημέρες) = 48000</w:t>
      </w:r>
      <w:r w:rsidR="00875CDE" w:rsidRPr="00D66E15">
        <w:rPr>
          <w:rFonts w:ascii="Arial" w:hAnsi="Arial" w:cs="Arial"/>
          <w:color w:val="202122"/>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0C3F79">
        <w:rPr>
          <w:rFonts w:ascii="Arial" w:hAnsi="Arial" w:cs="Arial"/>
          <w:color w:val="202122"/>
          <w:sz w:val="21"/>
          <w:szCs w:val="21"/>
          <w:shd w:val="clear" w:color="auto" w:fill="FFFFFF"/>
        </w:rPr>
        <w:t>30</w:t>
      </w:r>
      <w:r w:rsidR="002578EF">
        <w:rPr>
          <w:rFonts w:ascii="Arial" w:hAnsi="Arial" w:cs="Arial"/>
          <w:color w:val="202122"/>
          <w:sz w:val="21"/>
          <w:szCs w:val="21"/>
          <w:shd w:val="clear" w:color="auto" w:fill="FFFFFF"/>
        </w:rPr>
        <w:t xml:space="preserve">000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86BB16C"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0C3F79">
        <w:rPr>
          <w:rFonts w:ascii="Arial" w:hAnsi="Arial" w:cs="Arial"/>
          <w:color w:val="202122"/>
          <w:sz w:val="21"/>
          <w:szCs w:val="21"/>
          <w:shd w:val="clear" w:color="auto" w:fill="FFFFFF"/>
        </w:rPr>
        <w:t>30</w:t>
      </w:r>
      <w:r w:rsidRPr="002578EF">
        <w:rPr>
          <w:rFonts w:ascii="Arial" w:hAnsi="Arial" w:cs="Arial"/>
          <w:color w:val="202122"/>
          <w:sz w:val="21"/>
          <w:szCs w:val="21"/>
          <w:shd w:val="clear" w:color="auto" w:fill="FFFFFF"/>
        </w:rPr>
        <w:t>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0C3F79">
        <w:rPr>
          <w:rFonts w:ascii="Arial" w:hAnsi="Arial" w:cs="Arial"/>
          <w:color w:val="202122"/>
          <w:sz w:val="21"/>
          <w:szCs w:val="21"/>
          <w:shd w:val="clear" w:color="auto" w:fill="FFFFFF"/>
        </w:rPr>
        <w:t>150</w:t>
      </w:r>
      <w:r w:rsidRPr="002578EF">
        <w:rPr>
          <w:rFonts w:ascii="Arial" w:hAnsi="Arial" w:cs="Arial"/>
          <w:color w:val="202122"/>
          <w:sz w:val="21"/>
          <w:szCs w:val="21"/>
          <w:shd w:val="clear" w:color="auto" w:fill="FFFFFF"/>
        </w:rPr>
        <w:t>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177</w:t>
      </w:r>
      <w:r w:rsidRPr="002578EF">
        <w:rPr>
          <w:rFonts w:ascii="Arial" w:hAnsi="Arial" w:cs="Arial"/>
          <w:color w:val="202122"/>
          <w:sz w:val="21"/>
          <w:szCs w:val="21"/>
          <w:shd w:val="clear" w:color="auto" w:fill="FFFFFF"/>
        </w:rPr>
        <w:t>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885</w:t>
      </w:r>
      <w:r w:rsidRPr="002578EF">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0308823A"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0C3F79">
        <w:rPr>
          <w:rFonts w:ascii="Arial" w:hAnsi="Arial" w:cs="Arial"/>
          <w:color w:val="202122"/>
          <w:sz w:val="21"/>
          <w:szCs w:val="21"/>
          <w:shd w:val="clear" w:color="auto" w:fill="FFFFFF"/>
        </w:rPr>
        <w:t>30</w:t>
      </w:r>
      <w:r>
        <w:rPr>
          <w:rFonts w:ascii="Arial" w:hAnsi="Arial" w:cs="Arial"/>
          <w:color w:val="202122"/>
          <w:sz w:val="21"/>
          <w:szCs w:val="21"/>
          <w:shd w:val="clear" w:color="auto" w:fill="FFFFFF"/>
        </w:rPr>
        <w:t>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0C3F79">
        <w:rPr>
          <w:rFonts w:ascii="Arial" w:hAnsi="Arial" w:cs="Arial"/>
          <w:color w:val="202122"/>
          <w:sz w:val="21"/>
          <w:szCs w:val="21"/>
          <w:shd w:val="clear" w:color="auto" w:fill="FFFFFF"/>
        </w:rPr>
        <w:t>90</w:t>
      </w:r>
      <w:r>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555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0ADEDE34" w14:textId="54C05E26"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71D9D770" w14:textId="71AF0665"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w:t>
      </w:r>
      <w:r w:rsidR="00A23E3F">
        <w:rPr>
          <w:rFonts w:ascii="Arial" w:hAnsi="Arial" w:cs="Arial"/>
          <w:color w:val="202122"/>
          <w:sz w:val="21"/>
          <w:szCs w:val="21"/>
          <w:shd w:val="clear" w:color="auto" w:fill="FFFFFF"/>
        </w:rPr>
        <w:t>0</w:t>
      </w:r>
      <w:r w:rsidRPr="002578EF">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2655</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p>
    <w:p w14:paraId="204713A7" w14:textId="0CA64B67"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αισιόδοξη περίπτωση, ενώ</w:t>
      </w:r>
    </w:p>
    <w:p w14:paraId="128D93B5" w14:textId="537ADE1E"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A23E3F">
        <w:rPr>
          <w:rFonts w:ascii="Arial" w:hAnsi="Arial" w:cs="Arial"/>
          <w:color w:val="202122"/>
          <w:sz w:val="21"/>
          <w:szCs w:val="21"/>
          <w:shd w:val="clear" w:color="auto" w:fill="FFFFFF"/>
        </w:rPr>
        <w:t>90</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16</w:t>
      </w:r>
      <w:r>
        <w:rPr>
          <w:rFonts w:ascii="Arial" w:hAnsi="Arial" w:cs="Arial"/>
          <w:color w:val="202122"/>
          <w:sz w:val="21"/>
          <w:szCs w:val="21"/>
          <w:shd w:val="clear" w:color="auto" w:fill="FFFFFF"/>
        </w:rPr>
        <w:t>6</w:t>
      </w:r>
      <w:r w:rsidR="00A23E3F">
        <w:rPr>
          <w:rFonts w:ascii="Arial" w:hAnsi="Arial" w:cs="Arial"/>
          <w:color w:val="202122"/>
          <w:sz w:val="21"/>
          <w:szCs w:val="21"/>
          <w:shd w:val="clear" w:color="auto" w:fill="FFFFFF"/>
        </w:rPr>
        <w:t>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BA55161" w14:textId="34B5185D"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77777777" w:rsidR="00375AA9" w:rsidRPr="00375AA9" w:rsidRDefault="00375AA9"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 xml:space="preserve">πολύ </w:t>
      </w:r>
      <w:r w:rsidR="00145316">
        <w:lastRenderedPageBreak/>
        <w:t>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60660529" w14:textId="30EC1D10" w:rsidR="00F177C2"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3ADB626D" w14:textId="72E8ABB9" w:rsidR="00F177C2" w:rsidRDefault="00F177C2" w:rsidP="00F177C2"/>
    <w:p w14:paraId="6310C2D4" w14:textId="150F2B24" w:rsidR="00872A3A" w:rsidRDefault="00872A3A" w:rsidP="00F177C2"/>
    <w:p w14:paraId="01F6BBAE" w14:textId="718AAD24" w:rsidR="00872A3A" w:rsidRDefault="00872A3A" w:rsidP="00F177C2"/>
    <w:p w14:paraId="7021415A" w14:textId="77777777" w:rsidR="00872A3A" w:rsidRPr="00F177C2" w:rsidRDefault="00872A3A" w:rsidP="00F177C2"/>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3066E4DD" w14:textId="775DE929" w:rsidR="001070F3" w:rsidRDefault="00BF797A" w:rsidP="00872A3A">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 xml:space="preserve">οπότε η πιθανότητα να μη φτάσει ο χρόνος μέχρι την ημερομηνία κοινοποίησης του έργου είναι πάρα πολύ μικρή. </w:t>
      </w:r>
    </w:p>
    <w:p w14:paraId="5D36A163" w14:textId="3F6C5627" w:rsidR="001070F3" w:rsidRDefault="001070F3" w:rsidP="003F3116"/>
    <w:p w14:paraId="3A31DF99" w14:textId="265BCAB9" w:rsidR="00BA3AB1" w:rsidRDefault="00BA3AB1" w:rsidP="003F3116"/>
    <w:p w14:paraId="2A7CE264" w14:textId="1405DF3D" w:rsidR="00BA3AB1" w:rsidRDefault="00BA3AB1" w:rsidP="003F3116"/>
    <w:p w14:paraId="4051D085" w14:textId="1DB96259" w:rsidR="00BA3AB1" w:rsidRDefault="00BA3AB1" w:rsidP="003F3116"/>
    <w:p w14:paraId="6BFEB69D" w14:textId="77777777" w:rsidR="00BA3AB1" w:rsidRDefault="00BA3AB1"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F36CE0" w:rsidP="001070F3">
      <w:hyperlink r:id="rId8" w:history="1">
        <w:r w:rsidR="005A7E57" w:rsidRPr="001307E3">
          <w:rPr>
            <w:rStyle w:val="Hyperlink"/>
          </w:rPr>
          <w:t>https://www.youtube.com/watch?v=Gp4IcqzvAIg</w:t>
        </w:r>
      </w:hyperlink>
    </w:p>
    <w:p w14:paraId="3C5DB82A" w14:textId="13478191" w:rsidR="005A7E57" w:rsidRDefault="00F36CE0"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F36CE0" w:rsidP="005A7E57">
      <w:pPr>
        <w:jc w:val="both"/>
      </w:pPr>
      <w:hyperlink r:id="rId10" w:history="1">
        <w:r w:rsidR="00083310" w:rsidRPr="001307E3">
          <w:rPr>
            <w:rStyle w:val="Hyperlink"/>
          </w:rPr>
          <w:t>https://gammalaw.com/video-game-law/</w:t>
        </w:r>
      </w:hyperlink>
    </w:p>
    <w:p w14:paraId="6D41FADA" w14:textId="22213C90" w:rsidR="009401AF" w:rsidRDefault="00F36CE0"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F36CE0"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F36CE0"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73E1" w14:textId="77777777" w:rsidR="00F36CE0" w:rsidRDefault="00F36CE0" w:rsidP="001070F3">
      <w:pPr>
        <w:spacing w:after="0" w:line="240" w:lineRule="auto"/>
      </w:pPr>
      <w:r>
        <w:separator/>
      </w:r>
    </w:p>
  </w:endnote>
  <w:endnote w:type="continuationSeparator" w:id="0">
    <w:p w14:paraId="4D3FF667" w14:textId="77777777" w:rsidR="00F36CE0" w:rsidRDefault="00F36CE0"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6898" w14:textId="77777777" w:rsidR="00F36CE0" w:rsidRDefault="00F36CE0" w:rsidP="001070F3">
      <w:pPr>
        <w:spacing w:after="0" w:line="240" w:lineRule="auto"/>
      </w:pPr>
      <w:r>
        <w:separator/>
      </w:r>
    </w:p>
  </w:footnote>
  <w:footnote w:type="continuationSeparator" w:id="0">
    <w:p w14:paraId="057F12D6" w14:textId="77777777" w:rsidR="00F36CE0" w:rsidRDefault="00F36CE0"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7620DC7B" w:rsidR="001070F3" w:rsidRDefault="00A12296" w:rsidP="00A12296">
    <w:pPr>
      <w:pStyle w:val="Header"/>
      <w:jc w:val="right"/>
      <w:rPr>
        <w:color w:val="767171" w:themeColor="background2" w:themeShade="80"/>
      </w:rPr>
    </w:pPr>
    <w:r w:rsidRPr="00A12296">
      <w:rPr>
        <w:color w:val="767171" w:themeColor="background2" w:themeShade="80"/>
        <w:lang w:val="en-US"/>
      </w:rPr>
      <w:t>Feasibility-study-v0.</w:t>
    </w:r>
    <w:r w:rsidR="00523B13">
      <w:rPr>
        <w:color w:val="767171" w:themeColor="background2" w:themeShade="80"/>
      </w:rPr>
      <w:t>2</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83310"/>
    <w:rsid w:val="000C3F79"/>
    <w:rsid w:val="000D0857"/>
    <w:rsid w:val="001070F3"/>
    <w:rsid w:val="00120D3A"/>
    <w:rsid w:val="00145316"/>
    <w:rsid w:val="001566A1"/>
    <w:rsid w:val="002309DE"/>
    <w:rsid w:val="002346B6"/>
    <w:rsid w:val="002578EF"/>
    <w:rsid w:val="002E0ABF"/>
    <w:rsid w:val="00334176"/>
    <w:rsid w:val="00375AA9"/>
    <w:rsid w:val="003A45DA"/>
    <w:rsid w:val="003F3116"/>
    <w:rsid w:val="003F43CE"/>
    <w:rsid w:val="004B589F"/>
    <w:rsid w:val="00523B13"/>
    <w:rsid w:val="005A1C9A"/>
    <w:rsid w:val="005A7E57"/>
    <w:rsid w:val="006105B5"/>
    <w:rsid w:val="00626B8F"/>
    <w:rsid w:val="006C1545"/>
    <w:rsid w:val="007461A8"/>
    <w:rsid w:val="00831C23"/>
    <w:rsid w:val="00872A3A"/>
    <w:rsid w:val="00875CDE"/>
    <w:rsid w:val="008C7C68"/>
    <w:rsid w:val="009401AF"/>
    <w:rsid w:val="00996535"/>
    <w:rsid w:val="00A12296"/>
    <w:rsid w:val="00A23E3F"/>
    <w:rsid w:val="00A5180D"/>
    <w:rsid w:val="00A8245A"/>
    <w:rsid w:val="00AB0752"/>
    <w:rsid w:val="00AB788E"/>
    <w:rsid w:val="00B50F19"/>
    <w:rsid w:val="00BA3AB1"/>
    <w:rsid w:val="00BF797A"/>
    <w:rsid w:val="00C43FDE"/>
    <w:rsid w:val="00C764E6"/>
    <w:rsid w:val="00CC1BBF"/>
    <w:rsid w:val="00D21CAE"/>
    <w:rsid w:val="00D66E15"/>
    <w:rsid w:val="00DC16A3"/>
    <w:rsid w:val="00EA48A7"/>
    <w:rsid w:val="00EF2048"/>
    <w:rsid w:val="00F177C2"/>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517EEF"/>
    <w:rsid w:val="00662B80"/>
    <w:rsid w:val="00672B4D"/>
    <w:rsid w:val="006E5A02"/>
    <w:rsid w:val="00964DFE"/>
    <w:rsid w:val="00DC11CC"/>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Area15</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12</cp:revision>
  <dcterms:created xsi:type="dcterms:W3CDTF">2022-03-18T17:17:00Z</dcterms:created>
  <dcterms:modified xsi:type="dcterms:W3CDTF">2022-04-11T12:38:00Z</dcterms:modified>
</cp:coreProperties>
</file>