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rFonts w:ascii="Microsoft YaHei" w:hAnsi="Microsoft YaHei" w:eastAsia="Microsoft YaHei"/>
          <w:b/>
          <w:color w:val="000000"/>
        </w:rPr>
        <w:t>样本审计追踪功能说明书</w:t>
      </w:r>
    </w:p>
    <w:p>
      <w:pPr>
        <w:widowControl/>
        <w:jc w:val="left"/>
      </w:pPr>
      <w:r>
        <w:t>本方案面向 Biotech Plus 的样本、质控、解读与报告交付链路。建议以永久样本追踪身份串联业务事件，以逐记录前后快照保存新增、修改、删除证据，再以不可覆盖的制品记录区分报告生成版本与交付尝试。样本编号用于搜索，不作为历史身份。</w:t>
      </w:r>
    </w:p>
    <w:p>
      <w:pPr>
        <w:widowControl/>
        <w:jc w:val="left"/>
      </w:pPr>
      <w:r>
        <w:t>本期仅设计留痕与查询。所有 audit 表、字段、接口和页面增量均为拟议方案，尚未实现；本文件不表示系统已经符合 GxP。既有业务中的报告审核、签署、退回等动作继续作为被记录的业务事件，不新增审计复核或数据还原功能。</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7704"/>
      </w:tblGrid>
      <w:tr>
        <w:trPr>
          <w:cantSplit/>
          <w:tblHeader/>
        </w:trPr>
        <w:tc>
          <w:tcPr>
            <w:tcW w:type="dxa" w:w="2376"/>
            <w:vAlign w:val="center"/>
            <w:tcMar>
              <w:top w:w="75" w:type="dxa"/>
              <w:bottom w:w="75" w:type="dxa"/>
              <w:left w:w="90" w:type="dxa"/>
              <w:right w:w="90" w:type="dxa"/>
            </w:tcMar>
            <w:shd w:fill="DCE6F1"/>
          </w:tcPr>
          <w:p>
            <w:pPr>
              <w:spacing w:after="0" w:before="0" w:line="269" w:lineRule="auto"/>
              <w:jc w:val="left"/>
            </w:pPr>
            <w:r>
              <w:rPr>
                <w:rFonts w:ascii="Microsoft YaHei" w:hAnsi="Microsoft YaHei" w:eastAsia="Microsoft YaHei"/>
                <w:b/>
                <w:color w:val="000000"/>
                <w:sz w:val="19"/>
              </w:rPr>
              <w:t>文档信息</w:t>
            </w:r>
          </w:p>
        </w:tc>
        <w:tc>
          <w:tcPr>
            <w:tcW w:type="dxa" w:w="7704"/>
            <w:vAlign w:val="center"/>
            <w:tcMar>
              <w:top w:w="75" w:type="dxa"/>
              <w:bottom w:w="75" w:type="dxa"/>
              <w:left w:w="90" w:type="dxa"/>
              <w:right w:w="90" w:type="dxa"/>
            </w:tcMar>
            <w:shd w:fill="DCE6F1"/>
          </w:tcPr>
          <w:p>
            <w:pPr>
              <w:spacing w:after="0" w:before="0" w:line="269" w:lineRule="auto"/>
              <w:jc w:val="left"/>
            </w:pPr>
            <w:r>
              <w:rPr>
                <w:rFonts w:ascii="Microsoft YaHei" w:hAnsi="Microsoft YaHei" w:eastAsia="Microsoft YaHei"/>
                <w:b/>
                <w:color w:val="000000"/>
                <w:sz w:val="19"/>
              </w:rPr>
              <w:t>内容</w:t>
            </w:r>
          </w:p>
        </w:tc>
      </w:tr>
      <w:tr>
        <w:trPr>
          <w:cantSplit/>
        </w:trPr>
        <w:tc>
          <w:tcPr>
            <w:tcW w:type="dxa" w:w="2376"/>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项目</w:t>
            </w:r>
          </w:p>
        </w:tc>
        <w:tc>
          <w:tcPr>
            <w:tcW w:type="dxa" w:w="7704"/>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Biotech Plus 药企 NGS 报告运营系统</w:t>
            </w:r>
          </w:p>
        </w:tc>
      </w:tr>
      <w:tr>
        <w:trPr>
          <w:cantSplit/>
        </w:trPr>
        <w:tc>
          <w:tcPr>
            <w:tcW w:type="dxa" w:w="2376"/>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文档状态</w:t>
            </w:r>
          </w:p>
        </w:tc>
        <w:tc>
          <w:tcPr>
            <w:tcW w:type="dxa" w:w="7704"/>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设计建议稿，供需求与开发评审</w:t>
            </w:r>
          </w:p>
        </w:tc>
      </w:tr>
      <w:tr>
        <w:trPr>
          <w:cantSplit/>
        </w:trPr>
        <w:tc>
          <w:tcPr>
            <w:tcW w:type="dxa" w:w="2376"/>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版本与日期</w:t>
            </w:r>
          </w:p>
        </w:tc>
        <w:tc>
          <w:tcPr>
            <w:tcW w:type="dxa" w:w="7704"/>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V0.1，2026年10月17日</w:t>
            </w:r>
          </w:p>
        </w:tc>
      </w:tr>
      <w:tr>
        <w:trPr>
          <w:cantSplit/>
        </w:trPr>
        <w:tc>
          <w:tcPr>
            <w:tcW w:type="dxa" w:w="2376"/>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编号</w:t>
            </w:r>
          </w:p>
        </w:tc>
        <w:tc>
          <w:tcPr>
            <w:tcW w:type="dxa" w:w="7704"/>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拟议 AUD-SPEC-001</w:t>
            </w:r>
          </w:p>
        </w:tc>
      </w:tr>
      <w:tr>
        <w:trPr>
          <w:cantSplit/>
        </w:trPr>
        <w:tc>
          <w:tcPr>
            <w:tcW w:type="dxa" w:w="2376"/>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管理部门、保密级别</w:t>
            </w:r>
          </w:p>
        </w:tc>
        <w:tc>
          <w:tcPr>
            <w:tcW w:type="dxa" w:w="7704"/>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待项目负责人填写</w:t>
            </w:r>
          </w:p>
        </w:tc>
      </w:tr>
      <w:tr>
        <w:trPr>
          <w:cantSplit/>
        </w:trPr>
        <w:tc>
          <w:tcPr>
            <w:tcW w:type="dxa" w:w="2376"/>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修订人、审核人、批准人</w:t>
            </w:r>
          </w:p>
        </w:tc>
        <w:tc>
          <w:tcPr>
            <w:tcW w:type="dxa" w:w="7704"/>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待填写，未审批</w:t>
            </w:r>
          </w:p>
        </w:tc>
      </w:tr>
    </w:tbl>
    <w:p>
      <w:pPr>
        <w:spacing w:after="60" w:before="0" w:line="120" w:lineRule="auto"/>
      </w:pPr>
      <w:r>
        <w:rPr>
          <w:sz w:val="6"/>
        </w:rPr>
      </w:r>
    </w:p>
    <w:p>
      <w:pPr>
        <w:pStyle w:val="Heading1"/>
        <w:jc w:val="left"/>
      </w:pPr>
      <w:r>
        <w:rPr>
          <w:rFonts w:ascii="Microsoft YaHei" w:hAnsi="Microsoft YaHei" w:eastAsia="Microsoft YaHei"/>
          <w:b/>
          <w:color w:val="000000"/>
        </w:rPr>
        <w:t>1 目标与边界</w:t>
      </w:r>
    </w:p>
    <w:p>
      <w:pPr>
        <w:pStyle w:val="Heading2"/>
        <w:jc w:val="left"/>
      </w:pPr>
      <w:r>
        <w:rPr>
          <w:rFonts w:ascii="Microsoft YaHei" w:hAnsi="Microsoft YaHei" w:eastAsia="Microsoft YaHei"/>
          <w:b/>
          <w:color w:val="000000"/>
        </w:rPr>
        <w:t>1.1 已确认目标</w:t>
      </w:r>
    </w:p>
    <w:p>
      <w:pPr>
        <w:widowControl/>
        <w:jc w:val="left"/>
      </w:pPr>
      <w:r>
        <w:t>AUD-01：查询一个样本在系统内发生过的录入、质控、数据处理、解读、报告生成及交付过程。</w:t>
      </w:r>
    </w:p>
    <w:p>
      <w:pPr>
        <w:widowControl/>
        <w:jc w:val="left"/>
      </w:pPr>
      <w:r>
        <w:t>AUD-02：保存新增、修改、删除的操作者、时间、来源、结果及前后值，覆盖多表、多行、批量、接口与后台处理。</w:t>
      </w:r>
    </w:p>
    <w:p>
      <w:pPr>
        <w:widowControl/>
        <w:jc w:val="left"/>
      </w:pPr>
      <w:r>
        <w:t>AUD-03：支持业务编号重复、编号更正、软删恢复、删除后重建、多次分析、多报告及同报告多次生成，不将不同对象的历史混在一起。</w:t>
      </w:r>
    </w:p>
    <w:p>
      <w:pPr>
        <w:widowControl/>
        <w:jc w:val="left"/>
      </w:pPr>
      <w:r>
        <w:t>AUD-04：明确数据怎么存、各模块如何持续接入、如何查询以及在哪里展示；提供可供后续开发使用的规则和验收用例。</w:t>
      </w:r>
    </w:p>
    <w:p>
      <w:pPr>
        <w:pStyle w:val="Heading2"/>
        <w:jc w:val="left"/>
      </w:pPr>
      <w:r>
        <w:rPr>
          <w:rFonts w:ascii="Microsoft YaHei" w:hAnsi="Microsoft YaHei" w:eastAsia="Microsoft YaHei"/>
          <w:b/>
          <w:color w:val="000000"/>
        </w:rPr>
        <w:t>1.2 本期范围</w:t>
      </w:r>
    </w:p>
    <w:p>
      <w:pPr>
        <w:widowControl/>
        <w:jc w:val="left"/>
      </w:pPr>
      <w:r>
        <w:t>包括审计自动写入、样本候选检索、样本时间线、对象变更详情、报告版本与发送尝试查询、访问隔离及存量基线。查询已存在的历史制品属于本期设计；不承诺对历史任意时点重新计算或重建业务状态。</w:t>
      </w:r>
    </w:p>
    <w:p>
      <w:pPr>
        <w:widowControl/>
        <w:jc w:val="left"/>
      </w:pPr>
      <w:r>
        <w:t>不实现审计复核、审计签批、历史一键还原、任意历史版本恢复、样本合并治理、通用流程引擎或完整事件溯源重构。后续通过稳定 event_id 和 schema_version 关联扩展数据即可，本期不创建空接口、占位表或不可用按钮。</w:t>
      </w:r>
    </w:p>
    <w:p>
      <w:pPr>
        <w:pStyle w:val="Heading2"/>
        <w:jc w:val="left"/>
      </w:pPr>
      <w:r>
        <w:rPr>
          <w:rFonts w:ascii="Microsoft YaHei" w:hAnsi="Microsoft YaHei" w:eastAsia="Microsoft YaHei"/>
          <w:b/>
          <w:color w:val="000000"/>
        </w:rPr>
        <w:t>1.3 阅读方式</w:t>
      </w:r>
    </w:p>
    <w:p>
      <w:pPr>
        <w:widowControl/>
        <w:jc w:val="left"/>
      </w:pPr>
      <w:r>
        <w:t>第2章是代码事实；第3至7章是建议设计；第8章是开发接入计划；第9章是未执行的验收用例；第10章列出实施前须确认的事项。本轮未连接真实数据库，DDL 中的唯一约束只证明仓库声明，不能证明运行库没有重复数据。</w:t>
      </w:r>
    </w:p>
    <w:p>
      <w:pPr>
        <w:pStyle w:val="Heading1"/>
        <w:jc w:val="left"/>
      </w:pPr>
      <w:r>
        <w:rPr>
          <w:rFonts w:ascii="Microsoft YaHei" w:hAnsi="Microsoft YaHei" w:eastAsia="Microsoft YaHei"/>
          <w:b/>
          <w:color w:val="000000"/>
        </w:rPr>
        <w:t>2 仓库证据与现有行为</w:t>
      </w:r>
    </w:p>
    <w:p>
      <w:pPr>
        <w:pStyle w:val="Heading2"/>
        <w:jc w:val="left"/>
      </w:pPr>
      <w:r>
        <w:rPr>
          <w:rFonts w:ascii="Microsoft YaHei" w:hAnsi="Microsoft YaHei" w:eastAsia="Microsoft YaHei"/>
          <w:b/>
          <w:color w:val="000000"/>
        </w:rPr>
        <w:t>2.1 主要依据</w:t>
      </w:r>
    </w:p>
    <w:p>
      <w:pPr>
        <w:widowControl/>
        <w:jc w:val="left"/>
      </w:pPr>
      <w:r>
        <w:t>以下路径均相对于仓库根目录，已在本轮读取或检索。</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91"/>
        <w:gridCol w:w="5443"/>
        <w:gridCol w:w="3946"/>
      </w:tblGrid>
      <w:tr>
        <w:trPr>
          <w:cantSplit/>
          <w:tblHeader/>
        </w:trPr>
        <w:tc>
          <w:tcPr>
            <w:tcW w:type="dxa" w:w="691"/>
            <w:vAlign w:val="center"/>
            <w:tcMar>
              <w:top w:w="75" w:type="dxa"/>
              <w:bottom w:w="75" w:type="dxa"/>
              <w:left w:w="90" w:type="dxa"/>
              <w:right w:w="90" w:type="dxa"/>
            </w:tcMar>
            <w:shd w:fill="DCE6F1"/>
          </w:tcPr>
          <w:p>
            <w:pPr>
              <w:spacing w:after="0" w:before="0" w:line="269" w:lineRule="auto"/>
              <w:jc w:val="center"/>
            </w:pPr>
            <w:r>
              <w:rPr>
                <w:rFonts w:ascii="Microsoft YaHei" w:hAnsi="Microsoft YaHei" w:eastAsia="Microsoft YaHei"/>
                <w:b/>
                <w:color w:val="000000"/>
                <w:sz w:val="19"/>
              </w:rPr>
              <w:t>编号</w:t>
            </w:r>
          </w:p>
        </w:tc>
        <w:tc>
          <w:tcPr>
            <w:tcW w:type="dxa" w:w="5443"/>
            <w:vAlign w:val="center"/>
            <w:tcMar>
              <w:top w:w="75" w:type="dxa"/>
              <w:bottom w:w="75" w:type="dxa"/>
              <w:left w:w="90" w:type="dxa"/>
              <w:right w:w="90" w:type="dxa"/>
            </w:tcMar>
            <w:shd w:fill="DCE6F1"/>
          </w:tcPr>
          <w:p>
            <w:pPr>
              <w:spacing w:after="0" w:before="0" w:line="269" w:lineRule="auto"/>
              <w:jc w:val="left"/>
            </w:pPr>
            <w:r>
              <w:rPr>
                <w:rFonts w:ascii="Microsoft YaHei" w:hAnsi="Microsoft YaHei" w:eastAsia="Microsoft YaHei"/>
                <w:b/>
                <w:color w:val="000000"/>
                <w:sz w:val="19"/>
              </w:rPr>
              <w:t>代码或文档路径</w:t>
            </w:r>
          </w:p>
        </w:tc>
        <w:tc>
          <w:tcPr>
            <w:tcW w:type="dxa" w:w="3946"/>
            <w:vAlign w:val="center"/>
            <w:tcMar>
              <w:top w:w="75" w:type="dxa"/>
              <w:bottom w:w="75" w:type="dxa"/>
              <w:left w:w="90" w:type="dxa"/>
              <w:right w:w="90" w:type="dxa"/>
            </w:tcMar>
            <w:shd w:fill="DCE6F1"/>
          </w:tcPr>
          <w:p>
            <w:pPr>
              <w:spacing w:after="0" w:before="0" w:line="269" w:lineRule="auto"/>
              <w:jc w:val="left"/>
            </w:pPr>
            <w:r>
              <w:rPr>
                <w:rFonts w:ascii="Microsoft YaHei" w:hAnsi="Microsoft YaHei" w:eastAsia="Microsoft YaHei"/>
                <w:b/>
                <w:color w:val="000000"/>
                <w:sz w:val="19"/>
              </w:rPr>
              <w:t>已核实事实</w:t>
            </w:r>
          </w:p>
        </w:tc>
      </w:tr>
      <w:tr>
        <w:trPr>
          <w:cantSplit/>
        </w:trPr>
        <w:tc>
          <w:tcPr>
            <w:tcW w:type="dxa" w:w="691"/>
            <w:vAlign w:val="center"/>
            <w:tcMar>
              <w:top w:w="75" w:type="dxa"/>
              <w:bottom w:w="75" w:type="dxa"/>
              <w:left w:w="90" w:type="dxa"/>
              <w:right w:w="90" w:type="dxa"/>
            </w:tcMar>
            <w:shd w:fill="FFFFFF"/>
          </w:tcPr>
          <w:p>
            <w:pPr>
              <w:spacing w:after="0" w:before="0" w:line="269" w:lineRule="auto"/>
              <w:jc w:val="center"/>
            </w:pPr>
            <w:r>
              <w:rPr>
                <w:rFonts w:ascii="Microsoft YaHei" w:hAnsi="Microsoft YaHei" w:eastAsia="Microsoft YaHei"/>
                <w:b w:val="0"/>
                <w:color w:val="000000"/>
                <w:sz w:val="19"/>
              </w:rPr>
              <w:t>S01</w:t>
            </w:r>
          </w:p>
        </w:tc>
        <w:tc>
          <w:tcPr>
            <w:tcW w:type="dxa" w:w="5443"/>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template-backend/script/sql/business/report.sql</w:t>
            </w:r>
          </w:p>
        </w:tc>
        <w:tc>
          <w:tcPr>
            <w:tcW w:type="dxa" w:w="3946"/>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sample_file 主键 id；DDL 声明 tenant_id 与 subbarcode 联合唯一</w:t>
            </w:r>
          </w:p>
        </w:tc>
      </w:tr>
      <w:tr>
        <w:trPr>
          <w:cantSplit/>
        </w:trPr>
        <w:tc>
          <w:tcPr>
            <w:tcW w:type="dxa" w:w="691"/>
            <w:vAlign w:val="center"/>
            <w:tcMar>
              <w:top w:w="75" w:type="dxa"/>
              <w:bottom w:w="75" w:type="dxa"/>
              <w:left w:w="90" w:type="dxa"/>
              <w:right w:w="90" w:type="dxa"/>
            </w:tcMar>
            <w:shd w:fill="F7F9FB"/>
          </w:tcPr>
          <w:p>
            <w:pPr>
              <w:spacing w:after="0" w:before="0" w:line="269" w:lineRule="auto"/>
              <w:jc w:val="center"/>
            </w:pPr>
            <w:r>
              <w:rPr>
                <w:rFonts w:ascii="Microsoft YaHei" w:hAnsi="Microsoft YaHei" w:eastAsia="Microsoft YaHei"/>
                <w:b w:val="0"/>
                <w:color w:val="000000"/>
                <w:sz w:val="19"/>
              </w:rPr>
              <w:t>S02</w:t>
            </w:r>
          </w:p>
        </w:tc>
        <w:tc>
          <w:tcPr>
            <w:tcW w:type="dxa" w:w="5443"/>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template-backend/script/sql/business/report-interpretation.sql</w:t>
            </w:r>
          </w:p>
        </w:tc>
        <w:tc>
          <w:tcPr>
            <w:tcW w:type="dxa" w:w="3946"/>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analysis_data 主键 analysis_id；分析业务键含租户、编号、产品、日期；analysis_report 用 report_id 并关联 analysis_id</w:t>
            </w:r>
          </w:p>
        </w:tc>
      </w:tr>
      <w:tr>
        <w:trPr>
          <w:cantSplit/>
        </w:trPr>
        <w:tc>
          <w:tcPr>
            <w:tcW w:type="dxa" w:w="691"/>
            <w:vAlign w:val="center"/>
            <w:tcMar>
              <w:top w:w="75" w:type="dxa"/>
              <w:bottom w:w="75" w:type="dxa"/>
              <w:left w:w="90" w:type="dxa"/>
              <w:right w:w="90" w:type="dxa"/>
            </w:tcMar>
            <w:shd w:fill="FFFFFF"/>
          </w:tcPr>
          <w:p>
            <w:pPr>
              <w:spacing w:after="0" w:before="0" w:line="269" w:lineRule="auto"/>
              <w:jc w:val="center"/>
            </w:pPr>
            <w:r>
              <w:rPr>
                <w:rFonts w:ascii="Microsoft YaHei" w:hAnsi="Microsoft YaHei" w:eastAsia="Microsoft YaHei"/>
                <w:b w:val="0"/>
                <w:color w:val="000000"/>
                <w:sz w:val="19"/>
              </w:rPr>
              <w:t>S03</w:t>
            </w:r>
          </w:p>
        </w:tc>
        <w:tc>
          <w:tcPr>
            <w:tcW w:type="dxa" w:w="5443"/>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template-backend/ruoyi-modules/ruoyi-report/src/main/resources/mapper/report/SampleFlowMapper.xml</w:t>
            </w:r>
          </w:p>
        </w:tc>
        <w:tc>
          <w:tcPr>
            <w:tcW w:type="dxa" w:w="3946"/>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流转页按 analysis_id 展示，并用 MAX(report_id) 取最新报告；样本关联也使用同编号最大 id</w:t>
            </w:r>
          </w:p>
        </w:tc>
      </w:tr>
      <w:tr>
        <w:trPr>
          <w:cantSplit/>
        </w:trPr>
        <w:tc>
          <w:tcPr>
            <w:tcW w:type="dxa" w:w="691"/>
            <w:vAlign w:val="center"/>
            <w:tcMar>
              <w:top w:w="75" w:type="dxa"/>
              <w:bottom w:w="75" w:type="dxa"/>
              <w:left w:w="90" w:type="dxa"/>
              <w:right w:w="90" w:type="dxa"/>
            </w:tcMar>
            <w:shd w:fill="F7F9FB"/>
          </w:tcPr>
          <w:p>
            <w:pPr>
              <w:spacing w:after="0" w:before="0" w:line="269" w:lineRule="auto"/>
              <w:jc w:val="center"/>
            </w:pPr>
            <w:r>
              <w:rPr>
                <w:rFonts w:ascii="Microsoft YaHei" w:hAnsi="Microsoft YaHei" w:eastAsia="Microsoft YaHei"/>
                <w:b w:val="0"/>
                <w:color w:val="000000"/>
                <w:sz w:val="19"/>
              </w:rPr>
              <w:t>S04</w:t>
            </w:r>
          </w:p>
        </w:tc>
        <w:tc>
          <w:tcPr>
            <w:tcW w:type="dxa" w:w="5443"/>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template-backend/ruoyi-modules/ruoyi-report/src/main/java/org/dromara/report/service/impl/InterpretationServiceImpl.java</w:t>
            </w:r>
          </w:p>
        </w:tc>
        <w:tc>
          <w:tcPr>
            <w:tcW w:type="dxa" w:w="3946"/>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enter 复用未完成报告，完成后再次进入可创建新报告</w:t>
            </w:r>
          </w:p>
        </w:tc>
      </w:tr>
      <w:tr>
        <w:trPr>
          <w:cantSplit/>
        </w:trPr>
        <w:tc>
          <w:tcPr>
            <w:tcW w:type="dxa" w:w="691"/>
            <w:vAlign w:val="center"/>
            <w:tcMar>
              <w:top w:w="75" w:type="dxa"/>
              <w:bottom w:w="75" w:type="dxa"/>
              <w:left w:w="90" w:type="dxa"/>
              <w:right w:w="90" w:type="dxa"/>
            </w:tcMar>
            <w:shd w:fill="FFFFFF"/>
          </w:tcPr>
          <w:p>
            <w:pPr>
              <w:spacing w:after="0" w:before="0" w:line="269" w:lineRule="auto"/>
              <w:jc w:val="center"/>
            </w:pPr>
            <w:r>
              <w:rPr>
                <w:rFonts w:ascii="Microsoft YaHei" w:hAnsi="Microsoft YaHei" w:eastAsia="Microsoft YaHei"/>
                <w:b w:val="0"/>
                <w:color w:val="000000"/>
                <w:sz w:val="19"/>
              </w:rPr>
              <w:t>S05</w:t>
            </w:r>
          </w:p>
        </w:tc>
        <w:tc>
          <w:tcPr>
            <w:tcW w:type="dxa" w:w="5443"/>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template-backend/ruoyi-modules/ruoyi-report/src/main/java/org/dromara/report/service/impl/ReportGenerationService.java</w:t>
            </w:r>
          </w:p>
        </w:tc>
        <w:tc>
          <w:tcPr>
            <w:tcW w:type="dxa" w:w="3946"/>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每次生成写新文件，业务表只保留最新制品指向；失败会清理本次文件</w:t>
            </w:r>
          </w:p>
        </w:tc>
      </w:tr>
      <w:tr>
        <w:trPr>
          <w:cantSplit/>
        </w:trPr>
        <w:tc>
          <w:tcPr>
            <w:tcW w:type="dxa" w:w="691"/>
            <w:vAlign w:val="center"/>
            <w:tcMar>
              <w:top w:w="75" w:type="dxa"/>
              <w:bottom w:w="75" w:type="dxa"/>
              <w:left w:w="90" w:type="dxa"/>
              <w:right w:w="90" w:type="dxa"/>
            </w:tcMar>
            <w:shd w:fill="F7F9FB"/>
          </w:tcPr>
          <w:p>
            <w:pPr>
              <w:spacing w:after="0" w:before="0" w:line="269" w:lineRule="auto"/>
              <w:jc w:val="center"/>
            </w:pPr>
            <w:r>
              <w:rPr>
                <w:rFonts w:ascii="Microsoft YaHei" w:hAnsi="Microsoft YaHei" w:eastAsia="Microsoft YaHei"/>
                <w:b w:val="0"/>
                <w:color w:val="000000"/>
                <w:sz w:val="19"/>
              </w:rPr>
              <w:t>S06</w:t>
            </w:r>
          </w:p>
        </w:tc>
        <w:tc>
          <w:tcPr>
            <w:tcW w:type="dxa" w:w="5443"/>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template-backend/ruoyi-modules/ruoyi-report/src/main/java/org/dromara/report/service/impl/ReportMailSendService.java</w:t>
            </w:r>
          </w:p>
        </w:tc>
        <w:tc>
          <w:tcPr>
            <w:tcW w:type="dxa" w:w="3946"/>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一次发送一条发送日志，之后更新成功／失败，并更新报告状态</w:t>
            </w:r>
          </w:p>
        </w:tc>
      </w:tr>
      <w:tr>
        <w:trPr>
          <w:cantSplit/>
        </w:trPr>
        <w:tc>
          <w:tcPr>
            <w:tcW w:type="dxa" w:w="691"/>
            <w:vAlign w:val="center"/>
            <w:tcMar>
              <w:top w:w="75" w:type="dxa"/>
              <w:bottom w:w="75" w:type="dxa"/>
              <w:left w:w="90" w:type="dxa"/>
              <w:right w:w="90" w:type="dxa"/>
            </w:tcMar>
            <w:shd w:fill="FFFFFF"/>
          </w:tcPr>
          <w:p>
            <w:pPr>
              <w:spacing w:after="0" w:before="0" w:line="269" w:lineRule="auto"/>
              <w:jc w:val="center"/>
            </w:pPr>
            <w:r>
              <w:rPr>
                <w:rFonts w:ascii="Microsoft YaHei" w:hAnsi="Microsoft YaHei" w:eastAsia="Microsoft YaHei"/>
                <w:b w:val="0"/>
                <w:color w:val="000000"/>
                <w:sz w:val="19"/>
              </w:rPr>
              <w:t>S07</w:t>
            </w:r>
          </w:p>
        </w:tc>
        <w:tc>
          <w:tcPr>
            <w:tcW w:type="dxa" w:w="5443"/>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template-backend/ruoyi-modules/ruoyi-report/src/main/java/org/dromara/report/service/impl/SampleInfoServiceImpl.java</w:t>
            </w:r>
          </w:p>
        </w:tc>
        <w:tc>
          <w:tcPr>
            <w:tcW w:type="dxa" w:w="3946"/>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Excel 导入按编号更新；命中已软删样本可恢复原 id 再更新</w:t>
            </w:r>
          </w:p>
        </w:tc>
      </w:tr>
      <w:tr>
        <w:trPr>
          <w:cantSplit/>
        </w:trPr>
        <w:tc>
          <w:tcPr>
            <w:tcW w:type="dxa" w:w="691"/>
            <w:vAlign w:val="center"/>
            <w:tcMar>
              <w:top w:w="75" w:type="dxa"/>
              <w:bottom w:w="75" w:type="dxa"/>
              <w:left w:w="90" w:type="dxa"/>
              <w:right w:w="90" w:type="dxa"/>
            </w:tcMar>
            <w:shd w:fill="F7F9FB"/>
          </w:tcPr>
          <w:p>
            <w:pPr>
              <w:spacing w:after="0" w:before="0" w:line="269" w:lineRule="auto"/>
              <w:jc w:val="center"/>
            </w:pPr>
            <w:r>
              <w:rPr>
                <w:rFonts w:ascii="Microsoft YaHei" w:hAnsi="Microsoft YaHei" w:eastAsia="Microsoft YaHei"/>
                <w:b w:val="0"/>
                <w:color w:val="000000"/>
                <w:sz w:val="19"/>
              </w:rPr>
              <w:t>S08</w:t>
            </w:r>
          </w:p>
        </w:tc>
        <w:tc>
          <w:tcPr>
            <w:tcW w:type="dxa" w:w="5443"/>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template-backend/ruoyi-modules/ruoyi-qc/src/main/java/org/dromara/qc/service/impl/WetLabQcServiceImpl.java</w:t>
            </w:r>
          </w:p>
        </w:tc>
        <w:tc>
          <w:tcPr>
            <w:tcW w:type="dxa" w:w="3946"/>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接口合并更新并重新判定；存在清除已删旧行再插入的分支</w:t>
            </w:r>
          </w:p>
        </w:tc>
      </w:tr>
      <w:tr>
        <w:trPr>
          <w:cantSplit/>
        </w:trPr>
        <w:tc>
          <w:tcPr>
            <w:tcW w:type="dxa" w:w="691"/>
            <w:vAlign w:val="center"/>
            <w:tcMar>
              <w:top w:w="75" w:type="dxa"/>
              <w:bottom w:w="75" w:type="dxa"/>
              <w:left w:w="90" w:type="dxa"/>
              <w:right w:w="90" w:type="dxa"/>
            </w:tcMar>
            <w:shd w:fill="FFFFFF"/>
          </w:tcPr>
          <w:p>
            <w:pPr>
              <w:spacing w:after="0" w:before="0" w:line="269" w:lineRule="auto"/>
              <w:jc w:val="center"/>
            </w:pPr>
            <w:r>
              <w:rPr>
                <w:rFonts w:ascii="Microsoft YaHei" w:hAnsi="Microsoft YaHei" w:eastAsia="Microsoft YaHei"/>
                <w:b w:val="0"/>
                <w:color w:val="000000"/>
                <w:sz w:val="19"/>
              </w:rPr>
              <w:t>S09</w:t>
            </w:r>
          </w:p>
        </w:tc>
        <w:tc>
          <w:tcPr>
            <w:tcW w:type="dxa" w:w="5443"/>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template-backend/ruoyi-modules/ruoyi-qc/src/main/java/org/dromara/qc/service/impl/BioinfoQcServiceImpl.java</w:t>
            </w:r>
          </w:p>
        </w:tc>
        <w:tc>
          <w:tcPr>
            <w:tcW w:type="dxa" w:w="3946"/>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接口按编号覆盖；药企归属通过样本客户名解析，存在跨租户定位</w:t>
            </w:r>
          </w:p>
        </w:tc>
      </w:tr>
      <w:tr>
        <w:trPr>
          <w:cantSplit/>
        </w:trPr>
        <w:tc>
          <w:tcPr>
            <w:tcW w:type="dxa" w:w="691"/>
            <w:vAlign w:val="center"/>
            <w:tcMar>
              <w:top w:w="75" w:type="dxa"/>
              <w:bottom w:w="75" w:type="dxa"/>
              <w:left w:w="90" w:type="dxa"/>
              <w:right w:w="90" w:type="dxa"/>
            </w:tcMar>
            <w:shd w:fill="F7F9FB"/>
          </w:tcPr>
          <w:p>
            <w:pPr>
              <w:spacing w:after="0" w:before="0" w:line="269" w:lineRule="auto"/>
              <w:jc w:val="center"/>
            </w:pPr>
            <w:r>
              <w:rPr>
                <w:rFonts w:ascii="Microsoft YaHei" w:hAnsi="Microsoft YaHei" w:eastAsia="Microsoft YaHei"/>
                <w:b w:val="0"/>
                <w:color w:val="000000"/>
                <w:sz w:val="19"/>
              </w:rPr>
              <w:t>S10</w:t>
            </w:r>
          </w:p>
        </w:tc>
        <w:tc>
          <w:tcPr>
            <w:tcW w:type="dxa" w:w="5443"/>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template-backend/ruoyi-modules/ruoyi-report/src/main/java/org/dromara/report/service/impl/preview/VariantEditService.java</w:t>
            </w:r>
          </w:p>
        </w:tc>
        <w:tc>
          <w:tcPr>
            <w:tcW w:type="dxa" w:w="3946"/>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改靶更新源位点；胚系临床意义按匹配键更新历史对象</w:t>
            </w:r>
          </w:p>
        </w:tc>
      </w:tr>
      <w:tr>
        <w:trPr>
          <w:cantSplit/>
        </w:trPr>
        <w:tc>
          <w:tcPr>
            <w:tcW w:type="dxa" w:w="691"/>
            <w:vAlign w:val="center"/>
            <w:tcMar>
              <w:top w:w="75" w:type="dxa"/>
              <w:bottom w:w="75" w:type="dxa"/>
              <w:left w:w="90" w:type="dxa"/>
              <w:right w:w="90" w:type="dxa"/>
            </w:tcMar>
            <w:shd w:fill="FFFFFF"/>
          </w:tcPr>
          <w:p>
            <w:pPr>
              <w:spacing w:after="0" w:before="0" w:line="269" w:lineRule="auto"/>
              <w:jc w:val="center"/>
            </w:pPr>
            <w:r>
              <w:rPr>
                <w:rFonts w:ascii="Microsoft YaHei" w:hAnsi="Microsoft YaHei" w:eastAsia="Microsoft YaHei"/>
                <w:b w:val="0"/>
                <w:color w:val="000000"/>
                <w:sz w:val="19"/>
              </w:rPr>
              <w:t>S11</w:t>
            </w:r>
          </w:p>
        </w:tc>
        <w:tc>
          <w:tcPr>
            <w:tcW w:type="dxa" w:w="5443"/>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template-backend/ruoyi-modules/ruoyi-report/src/main/java/org/dromara/report/service/impl/preview/ReportVariantHistoryWriter.java</w:t>
            </w:r>
          </w:p>
        </w:tc>
        <w:tc>
          <w:tcPr>
            <w:tcW w:type="dxa" w:w="3946"/>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提交审核时写检出历史；重新提交会 upsert 同一批记录，不是完整不可变审计</w:t>
            </w:r>
          </w:p>
        </w:tc>
      </w:tr>
      <w:tr>
        <w:trPr>
          <w:cantSplit/>
        </w:trPr>
        <w:tc>
          <w:tcPr>
            <w:tcW w:type="dxa" w:w="691"/>
            <w:vAlign w:val="center"/>
            <w:tcMar>
              <w:top w:w="75" w:type="dxa"/>
              <w:bottom w:w="75" w:type="dxa"/>
              <w:left w:w="90" w:type="dxa"/>
              <w:right w:w="90" w:type="dxa"/>
            </w:tcMar>
            <w:shd w:fill="F7F9FB"/>
          </w:tcPr>
          <w:p>
            <w:pPr>
              <w:spacing w:after="0" w:before="0" w:line="269" w:lineRule="auto"/>
              <w:jc w:val="center"/>
            </w:pPr>
            <w:r>
              <w:rPr>
                <w:rFonts w:ascii="Microsoft YaHei" w:hAnsi="Microsoft YaHei" w:eastAsia="Microsoft YaHei"/>
                <w:b w:val="0"/>
                <w:color w:val="000000"/>
                <w:sz w:val="19"/>
              </w:rPr>
              <w:t>S12</w:t>
            </w:r>
          </w:p>
        </w:tc>
        <w:tc>
          <w:tcPr>
            <w:tcW w:type="dxa" w:w="5443"/>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template-backend/ruoyi-modules/ruoyi-report/src/main/java/org/dromara/report/service/impl/InterpretationPreviewServiceImpl.java</w:t>
            </w:r>
          </w:p>
        </w:tc>
        <w:tc>
          <w:tcPr>
            <w:tcW w:type="dxa" w:w="3946"/>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预览、冻结、改靶和临床意义确认有不同事务入口，需要按实际副作用接入</w:t>
            </w:r>
          </w:p>
        </w:tc>
      </w:tr>
      <w:tr>
        <w:trPr>
          <w:cantSplit/>
        </w:trPr>
        <w:tc>
          <w:tcPr>
            <w:tcW w:type="dxa" w:w="691"/>
            <w:vAlign w:val="center"/>
            <w:tcMar>
              <w:top w:w="75" w:type="dxa"/>
              <w:bottom w:w="75" w:type="dxa"/>
              <w:left w:w="90" w:type="dxa"/>
              <w:right w:w="90" w:type="dxa"/>
            </w:tcMar>
            <w:shd w:fill="FFFFFF"/>
          </w:tcPr>
          <w:p>
            <w:pPr>
              <w:spacing w:after="0" w:before="0" w:line="269" w:lineRule="auto"/>
              <w:jc w:val="center"/>
            </w:pPr>
            <w:r>
              <w:rPr>
                <w:rFonts w:ascii="Microsoft YaHei" w:hAnsi="Microsoft YaHei" w:eastAsia="Microsoft YaHei"/>
                <w:b w:val="0"/>
                <w:color w:val="000000"/>
                <w:sz w:val="19"/>
              </w:rPr>
              <w:t>S13</w:t>
            </w:r>
          </w:p>
        </w:tc>
        <w:tc>
          <w:tcPr>
            <w:tcW w:type="dxa" w:w="5443"/>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template-backend/ruoyi-modules/ruoyi-report/src/main/java/org/dromara/report/utils/ReportStatus.java</w:t>
            </w:r>
          </w:p>
        </w:tc>
        <w:tc>
          <w:tcPr>
            <w:tcW w:type="dxa" w:w="3946"/>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当前报告流程使用整数状态，含认领、失败、退回与瞬时态</w:t>
            </w:r>
          </w:p>
        </w:tc>
      </w:tr>
      <w:tr>
        <w:trPr>
          <w:cantSplit/>
        </w:trPr>
        <w:tc>
          <w:tcPr>
            <w:tcW w:type="dxa" w:w="691"/>
            <w:vAlign w:val="center"/>
            <w:tcMar>
              <w:top w:w="75" w:type="dxa"/>
              <w:bottom w:w="75" w:type="dxa"/>
              <w:left w:w="90" w:type="dxa"/>
              <w:right w:w="90" w:type="dxa"/>
            </w:tcMar>
            <w:shd w:fill="F7F9FB"/>
          </w:tcPr>
          <w:p>
            <w:pPr>
              <w:spacing w:after="0" w:before="0" w:line="269" w:lineRule="auto"/>
              <w:jc w:val="center"/>
            </w:pPr>
            <w:r>
              <w:rPr>
                <w:rFonts w:ascii="Microsoft YaHei" w:hAnsi="Microsoft YaHei" w:eastAsia="Microsoft YaHei"/>
                <w:b w:val="0"/>
                <w:color w:val="000000"/>
                <w:sz w:val="19"/>
              </w:rPr>
              <w:t>S14</w:t>
            </w:r>
          </w:p>
        </w:tc>
        <w:tc>
          <w:tcPr>
            <w:tcW w:type="dxa" w:w="5443"/>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template-backend/ruoyi-modules/ruoyi-system/src/main/java/org/dromara/system/service/impl/SysOperLogServiceImpl.java</w:t>
            </w:r>
          </w:p>
        </w:tc>
        <w:tc>
          <w:tcPr>
            <w:tcW w:type="dxa" w:w="3946"/>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通用操作日志异步写入，提供删除与清空</w:t>
            </w:r>
          </w:p>
        </w:tc>
      </w:tr>
      <w:tr>
        <w:trPr>
          <w:cantSplit/>
        </w:trPr>
        <w:tc>
          <w:tcPr>
            <w:tcW w:type="dxa" w:w="691"/>
            <w:vAlign w:val="center"/>
            <w:tcMar>
              <w:top w:w="75" w:type="dxa"/>
              <w:bottom w:w="75" w:type="dxa"/>
              <w:left w:w="90" w:type="dxa"/>
              <w:right w:w="90" w:type="dxa"/>
            </w:tcMar>
            <w:shd w:fill="FFFFFF"/>
          </w:tcPr>
          <w:p>
            <w:pPr>
              <w:spacing w:after="0" w:before="0" w:line="269" w:lineRule="auto"/>
              <w:jc w:val="center"/>
            </w:pPr>
            <w:r>
              <w:rPr>
                <w:rFonts w:ascii="Microsoft YaHei" w:hAnsi="Microsoft YaHei" w:eastAsia="Microsoft YaHei"/>
                <w:b w:val="0"/>
                <w:color w:val="000000"/>
                <w:sz w:val="19"/>
              </w:rPr>
              <w:t>S15</w:t>
            </w:r>
          </w:p>
        </w:tc>
        <w:tc>
          <w:tcPr>
            <w:tcW w:type="dxa" w:w="5443"/>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template-backend/ruoyi-common/ruoyi-common-log/src/main/java/org/dromara/common/log/aspect/LogAspect.java</w:t>
            </w:r>
          </w:p>
        </w:tc>
        <w:tc>
          <w:tcPr>
            <w:tcW w:type="dxa" w:w="3946"/>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请求与响应会截断；日志错误被捕获，不保证业务与审计共同提交</w:t>
            </w:r>
          </w:p>
        </w:tc>
      </w:tr>
      <w:tr>
        <w:trPr>
          <w:cantSplit/>
        </w:trPr>
        <w:tc>
          <w:tcPr>
            <w:tcW w:type="dxa" w:w="691"/>
            <w:vAlign w:val="center"/>
            <w:tcMar>
              <w:top w:w="75" w:type="dxa"/>
              <w:bottom w:w="75" w:type="dxa"/>
              <w:left w:w="90" w:type="dxa"/>
              <w:right w:w="90" w:type="dxa"/>
            </w:tcMar>
            <w:shd w:fill="F7F9FB"/>
          </w:tcPr>
          <w:p>
            <w:pPr>
              <w:spacing w:after="0" w:before="0" w:line="269" w:lineRule="auto"/>
              <w:jc w:val="center"/>
            </w:pPr>
            <w:r>
              <w:rPr>
                <w:rFonts w:ascii="Microsoft YaHei" w:hAnsi="Microsoft YaHei" w:eastAsia="Microsoft YaHei"/>
                <w:b w:val="0"/>
                <w:color w:val="000000"/>
                <w:sz w:val="19"/>
              </w:rPr>
              <w:t>S16</w:t>
            </w:r>
          </w:p>
        </w:tc>
        <w:tc>
          <w:tcPr>
            <w:tcW w:type="dxa" w:w="5443"/>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ai-rules/04-db-schema.md</w:t>
            </w:r>
          </w:p>
        </w:tc>
        <w:tc>
          <w:tcPr>
            <w:tcW w:type="dxa" w:w="3946"/>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MySQL 8、自增 bigint、租户与索引、公共列；审计类不设 del_flag</w:t>
            </w:r>
          </w:p>
        </w:tc>
      </w:tr>
    </w:tbl>
    <w:p>
      <w:pPr>
        <w:spacing w:after="60" w:before="0" w:line="120" w:lineRule="auto"/>
      </w:pPr>
      <w:r>
        <w:rPr>
          <w:sz w:val="6"/>
        </w:rPr>
      </w:r>
    </w:p>
    <w:p>
      <w:pPr>
        <w:pStyle w:val="Heading2"/>
        <w:jc w:val="left"/>
      </w:pPr>
      <w:r>
        <w:rPr>
          <w:rFonts w:ascii="Microsoft YaHei" w:hAnsi="Microsoft YaHei" w:eastAsia="Microsoft YaHei"/>
          <w:b/>
          <w:color w:val="000000"/>
        </w:rPr>
        <w:t>2.2 对设计的直接影响</w:t>
      </w:r>
    </w:p>
    <w:p>
      <w:pPr>
        <w:widowControl/>
        <w:jc w:val="left"/>
      </w:pPr>
      <w:r>
        <w:t>不能复用流转页“只取最新”的关联来构造完整历史。不能把 analysis_id、report_id、变异 id 或文件路径当成同一种样本身份。不能仅保存请求参数，因为默认值、合并更新、计算结果、XML 更新与事务回滚都会使请求与实际落库结果不同。</w:t>
      </w:r>
    </w:p>
    <w:p>
      <w:pPr>
        <w:widowControl/>
        <w:jc w:val="left"/>
      </w:pPr>
      <w:r>
        <w:t>history_somatic、history_germline、report_variant_history 和邮件发送日志各有业务用途，应继续保留；它们会发生更新或复用，不能替代独立审计。新增审计只记录事实，不改变已有业务审核规则。</w:t>
      </w:r>
    </w:p>
    <w:p>
      <w:pPr>
        <w:pStyle w:val="Heading1"/>
        <w:jc w:val="left"/>
      </w:pPr>
      <w:r>
        <w:rPr>
          <w:rFonts w:ascii="Microsoft YaHei" w:hAnsi="Microsoft YaHei" w:eastAsia="Microsoft YaHei"/>
          <w:b/>
          <w:color w:val="000000"/>
        </w:rPr>
        <w:t>3 样本身份与关联设计</w:t>
      </w:r>
    </w:p>
    <w:p>
      <w:pPr>
        <w:pStyle w:val="Heading2"/>
        <w:jc w:val="left"/>
      </w:pPr>
      <w:r>
        <w:rPr>
          <w:rFonts w:ascii="Microsoft YaHei" w:hAnsi="Microsoft YaHei" w:eastAsia="Microsoft YaHei"/>
          <w:b/>
          <w:color w:val="000000"/>
        </w:rPr>
        <w:t>3.1 稳定身份</w:t>
      </w:r>
    </w:p>
    <w:p>
      <w:pPr>
        <w:widowControl/>
        <w:jc w:val="left"/>
      </w:pPr>
      <w:r>
        <w:t>新增 audit_sample.id，作为 sample_trace_id。它代表系统确认的一个样本追踪实例，由服务端生成，永不因编号更正、记录软删除或文件替换而改变，也不随业务记录级联删除。</w:t>
      </w:r>
    </w:p>
    <w:p>
      <w:pPr>
        <w:widowControl/>
        <w:jc w:val="left"/>
      </w:pPr>
      <w:r>
        <w:t>建议在 sample_file、analysis_data、analysis_report、wet_lab_qc、bioinfo_qc 增加 sample_trace_id bigint。它是关联列，不替换各表主键。文件和位点通过确定的 analysis_id 继承追踪身份；发送动作再通过 report_id 校验到 analysis_id。审计记录同时冻结实际对象主键，不能只存 trace id。</w:t>
      </w:r>
    </w:p>
    <w:p>
      <w:pPr>
        <w:widowControl/>
        <w:jc w:val="left"/>
      </w:pPr>
      <w:r>
        <w:t>同一次采样的多次分析可以共享追踪身份；同一患者的不同取样默认不能共享。能否合并为一个样本须有明确业务依据，不能用患者姓名、患者编号或编号相似度推断。</w:t>
      </w:r>
    </w:p>
    <w:p>
      <w:pPr>
        <w:pStyle w:val="Heading2"/>
        <w:jc w:val="left"/>
      </w:pPr>
      <w:r>
        <w:rPr>
          <w:rFonts w:ascii="Microsoft YaHei" w:hAnsi="Microsoft YaHei" w:eastAsia="Microsoft YaHei"/>
          <w:b/>
          <w:color w:val="000000"/>
        </w:rPr>
        <w:t>3.2 定位优先级</w:t>
      </w:r>
    </w:p>
    <w:p>
      <w:pPr>
        <w:widowControl/>
        <w:jc w:val="left"/>
      </w:pPr>
      <w:r>
        <w:t>1. 已授权的 sample_trace_id，加租户校验并与业务对象既有绑定交叉核对。</w:t>
      </w:r>
    </w:p>
    <w:p>
      <w:pPr>
        <w:widowControl/>
        <w:jc w:val="left"/>
      </w:pPr>
      <w:r>
        <w:t>2. 已确定的 sample_file.id、analysis_id、report_id 等内部主键，沿真实父子关系解析。</w:t>
      </w:r>
    </w:p>
    <w:p>
      <w:pPr>
        <w:widowControl/>
        <w:jc w:val="left"/>
      </w:pPr>
      <w:r>
        <w:t>3. 上游提供的稳定样本标识，且来源系统、租户、标识范围均已确认。当前接口未普遍提供此契约，此项是拟议接口增量。</w:t>
      </w:r>
    </w:p>
    <w:p>
      <w:pPr>
        <w:widowControl/>
        <w:jc w:val="left"/>
      </w:pPr>
      <w:r>
        <w:t>4. 仅有 subbarcode 时，必须在已确定租户内检查当前样本、已删实例及历史编号冲突。仅在唯一且无复用歧义时允许解析；零候选或多候选不得 LIMIT 1 或 MAX(id) 猜测。</w:t>
      </w:r>
    </w:p>
    <w:p>
      <w:pPr>
        <w:widowControl/>
        <w:jc w:val="left"/>
      </w:pPr>
      <w:r>
        <w:t>跨药企的接口先通过认证身份与授权范围确定候选药企，再定位样本。当前按客户名称推药企的路径须补充多候选检测，不能把客户名称或全库同编号第一条当可信归属。</w:t>
      </w:r>
    </w:p>
    <w:p>
      <w:pPr>
        <w:pStyle w:val="Heading2"/>
        <w:jc w:val="left"/>
      </w:pPr>
      <w:r>
        <w:rPr>
          <w:rFonts w:ascii="Microsoft YaHei" w:hAnsi="Microsoft YaHei" w:eastAsia="Microsoft YaHei"/>
          <w:b/>
          <w:color w:val="000000"/>
        </w:rPr>
        <w:t>3.3 重复与生命周期规则</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7704"/>
      </w:tblGrid>
      <w:tr>
        <w:trPr>
          <w:cantSplit/>
          <w:tblHeader/>
        </w:trPr>
        <w:tc>
          <w:tcPr>
            <w:tcW w:type="dxa" w:w="2376"/>
            <w:vAlign w:val="center"/>
            <w:tcMar>
              <w:top w:w="75" w:type="dxa"/>
              <w:bottom w:w="75" w:type="dxa"/>
              <w:left w:w="90" w:type="dxa"/>
              <w:right w:w="90" w:type="dxa"/>
            </w:tcMar>
            <w:shd w:fill="DCE6F1"/>
          </w:tcPr>
          <w:p>
            <w:pPr>
              <w:spacing w:after="0" w:before="0" w:line="269" w:lineRule="auto"/>
              <w:jc w:val="left"/>
            </w:pPr>
            <w:r>
              <w:rPr>
                <w:rFonts w:ascii="Microsoft YaHei" w:hAnsi="Microsoft YaHei" w:eastAsia="Microsoft YaHei"/>
                <w:b/>
                <w:color w:val="000000"/>
                <w:sz w:val="19"/>
              </w:rPr>
              <w:t>情况</w:t>
            </w:r>
          </w:p>
        </w:tc>
        <w:tc>
          <w:tcPr>
            <w:tcW w:type="dxa" w:w="7704"/>
            <w:vAlign w:val="center"/>
            <w:tcMar>
              <w:top w:w="75" w:type="dxa"/>
              <w:bottom w:w="75" w:type="dxa"/>
              <w:left w:w="90" w:type="dxa"/>
              <w:right w:w="90" w:type="dxa"/>
            </w:tcMar>
            <w:shd w:fill="DCE6F1"/>
          </w:tcPr>
          <w:p>
            <w:pPr>
              <w:spacing w:after="0" w:before="0" w:line="269" w:lineRule="auto"/>
              <w:jc w:val="left"/>
            </w:pPr>
            <w:r>
              <w:rPr>
                <w:rFonts w:ascii="Microsoft YaHei" w:hAnsi="Microsoft YaHei" w:eastAsia="Microsoft YaHei"/>
                <w:b/>
                <w:color w:val="000000"/>
                <w:sz w:val="19"/>
              </w:rPr>
              <w:t>身份与记录规则</w:t>
            </w:r>
          </w:p>
        </w:tc>
      </w:tr>
      <w:tr>
        <w:trPr>
          <w:cantSplit/>
        </w:trPr>
        <w:tc>
          <w:tcPr>
            <w:tcW w:type="dxa" w:w="2376"/>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不同药企使用同编号</w:t>
            </w:r>
          </w:p>
        </w:tc>
        <w:tc>
          <w:tcPr>
            <w:tcW w:type="dxa" w:w="7704"/>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各自独立，查询先做租户过滤</w:t>
            </w:r>
          </w:p>
        </w:tc>
      </w:tr>
      <w:tr>
        <w:trPr>
          <w:cantSplit/>
        </w:trPr>
        <w:tc>
          <w:tcPr>
            <w:tcW w:type="dxa" w:w="2376"/>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同药企同编号多条存量记录</w:t>
            </w:r>
          </w:p>
        </w:tc>
        <w:tc>
          <w:tcPr>
            <w:tcW w:type="dxa" w:w="7704"/>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默认分别建立追踪根；只合并有可信关联证据的记录，搜索返回候选</w:t>
            </w:r>
          </w:p>
        </w:tc>
      </w:tr>
      <w:tr>
        <w:trPr>
          <w:cantSplit/>
        </w:trPr>
        <w:tc>
          <w:tcPr>
            <w:tcW w:type="dxa" w:w="2376"/>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编号由 A 改成 B</w:t>
            </w:r>
          </w:p>
        </w:tc>
        <w:tc>
          <w:tcPr>
            <w:tcW w:type="dxa" w:w="7704"/>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trace id 不变；A、B 都保留为历史检索入口；事件记录改号前后值</w:t>
            </w:r>
          </w:p>
        </w:tc>
      </w:tr>
      <w:tr>
        <w:trPr>
          <w:cantSplit/>
        </w:trPr>
        <w:tc>
          <w:tcPr>
            <w:tcW w:type="dxa" w:w="2376"/>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已有导入逻辑恢复同一 sample_file.id</w:t>
            </w:r>
          </w:p>
        </w:tc>
        <w:tc>
          <w:tcPr>
            <w:tcW w:type="dxa" w:w="7704"/>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保留 trace id；记录业务软删恢复及字段变化；不提供审计还原按钮</w:t>
            </w:r>
          </w:p>
        </w:tc>
      </w:tr>
      <w:tr>
        <w:trPr>
          <w:cantSplit/>
        </w:trPr>
        <w:tc>
          <w:tcPr>
            <w:tcW w:type="dxa" w:w="2376"/>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编号删除后用于新一次取样</w:t>
            </w:r>
          </w:p>
        </w:tc>
        <w:tc>
          <w:tcPr>
            <w:tcW w:type="dxa" w:w="7704"/>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新 trace id；与旧实例并列，不继承旧历史；是否允许复用编号须由业务先确定</w:t>
            </w:r>
          </w:p>
        </w:tc>
      </w:tr>
      <w:tr>
        <w:trPr>
          <w:cantSplit/>
        </w:trPr>
        <w:tc>
          <w:tcPr>
            <w:tcW w:type="dxa" w:w="2376"/>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质控旧行清除后重建</w:t>
            </w:r>
          </w:p>
        </w:tc>
        <w:tc>
          <w:tcPr>
            <w:tcW w:type="dxa" w:w="7704"/>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先保存旧主键及删除前快照，再记录新主键；可归同一已确定 trace id，但不能伪装成原行普通更新</w:t>
            </w:r>
          </w:p>
        </w:tc>
      </w:tr>
      <w:tr>
        <w:trPr>
          <w:cantSplit/>
        </w:trPr>
        <w:tc>
          <w:tcPr>
            <w:tcW w:type="dxa" w:w="2376"/>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一个样本多产品、多分析批次</w:t>
            </w:r>
          </w:p>
        </w:tc>
        <w:tc>
          <w:tcPr>
            <w:tcW w:type="dxa" w:w="7704"/>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同一追踪根下按 analysis_id 分支，保留产品、日期快照</w:t>
            </w:r>
          </w:p>
        </w:tc>
      </w:tr>
      <w:tr>
        <w:trPr>
          <w:cantSplit/>
        </w:trPr>
        <w:tc>
          <w:tcPr>
            <w:tcW w:type="dxa" w:w="2376"/>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外部数据先到、录单后到</w:t>
            </w:r>
          </w:p>
        </w:tc>
        <w:tc>
          <w:tcPr>
            <w:tcW w:type="dxa" w:w="7704"/>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有可信上游身份则建立追踪根；否则按独立来源对象建临时根，并标为“尚未关联录单样本”</w:t>
            </w:r>
          </w:p>
        </w:tc>
      </w:tr>
    </w:tbl>
    <w:p>
      <w:pPr>
        <w:spacing w:after="60" w:before="0" w:line="120" w:lineRule="auto"/>
      </w:pPr>
      <w:r>
        <w:rPr>
          <w:sz w:val="6"/>
        </w:rPr>
      </w:r>
    </w:p>
    <w:p>
      <w:pPr>
        <w:widowControl/>
        <w:jc w:val="left"/>
      </w:pPr>
      <w:r>
        <w:t>临时根和后到录单记录只有在可信上游身份或明确内部绑定证明一致时才能归并关联。缺乏证据时维持分离，并在候选列表提示缺口；本期不实现人工样本合并流程。对新操作，如果已知关联存在歧义，返回关联冲突并拒绝该行写入，不能为了留痕而把错误业务更新成功。</w:t>
      </w:r>
    </w:p>
    <w:p>
      <w:pPr>
        <w:widowControl/>
        <w:jc w:val="left"/>
      </w:pPr>
      <w:r>
        <w:t>audit_sample_alias 保存已出现过的编号，只用于搜索和排查，不天然证明两个对象属于同一样本。编号搜索必须允许一对多；即使当前 sample_file 只有一条，也不能忽略旧实例的同号历史。</w:t>
      </w:r>
    </w:p>
    <w:p>
      <w:pPr>
        <w:pStyle w:val="Heading2"/>
        <w:jc w:val="left"/>
      </w:pPr>
      <w:r>
        <w:rPr>
          <w:rFonts w:ascii="Microsoft YaHei" w:hAnsi="Microsoft YaHei" w:eastAsia="Microsoft YaHei"/>
          <w:b/>
          <w:color w:val="000000"/>
        </w:rPr>
        <w:t>3.4 关系与时间</w:t>
      </w:r>
    </w:p>
    <w:p>
      <w:pPr>
        <w:widowControl/>
        <w:jc w:val="left"/>
      </w:pPr>
      <w:r>
        <w:t>一个追踪根对应多个样本相关业务对象；一个分析批次对应多份报告；一个报告对应多次生成；一次生成可有 JSON、DOCX、PDF、签署 PDF；每次发送引用实际使用的制品 id。一次事件可以影响多个样本，通过事件与样本关联表表达。</w:t>
      </w:r>
    </w:p>
    <w:p>
      <w:pPr>
        <w:widowControl/>
        <w:jc w:val="left"/>
      </w:pPr>
      <w:r>
        <w:t>界面默认按 event_id 的系统登记顺序查看事实，recorded_at 用于显示及记录时间筛选。occurred_at 保存实际动作时间，外部声明的发生时间另存 source_occurred_at；导入旧数据不能把来源时间冒充本系统实时审计时间。并发事件的 event_id 不等于数据库全局提交序号，不宣称它能恢复严格全局事务先后。</w:t>
      </w:r>
    </w:p>
    <w:p>
      <w:pPr>
        <w:pStyle w:val="Heading1"/>
        <w:jc w:val="left"/>
      </w:pPr>
      <w:r>
        <w:rPr>
          <w:rFonts w:ascii="Microsoft YaHei" w:hAnsi="Microsoft YaHei" w:eastAsia="Microsoft YaHei"/>
          <w:b/>
          <w:color w:val="000000"/>
        </w:rPr>
        <w:t>4 数据存储设计</w:t>
      </w:r>
    </w:p>
    <w:p>
      <w:pPr>
        <w:pStyle w:val="Heading2"/>
        <w:jc w:val="left"/>
      </w:pPr>
      <w:r>
        <w:rPr>
          <w:rFonts w:ascii="Microsoft YaHei" w:hAnsi="Microsoft YaHei" w:eastAsia="Microsoft YaHei"/>
          <w:b/>
          <w:color w:val="000000"/>
        </w:rPr>
        <w:t>4.1 六张建议表</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3168"/>
        <w:gridCol w:w="4680"/>
      </w:tblGrid>
      <w:tr>
        <w:trPr>
          <w:cantSplit/>
          <w:tblHeader/>
        </w:trPr>
        <w:tc>
          <w:tcPr>
            <w:tcW w:type="dxa" w:w="2232"/>
            <w:vAlign w:val="center"/>
            <w:tcMar>
              <w:top w:w="75" w:type="dxa"/>
              <w:bottom w:w="75" w:type="dxa"/>
              <w:left w:w="90" w:type="dxa"/>
              <w:right w:w="90" w:type="dxa"/>
            </w:tcMar>
            <w:shd w:fill="DCE6F1"/>
          </w:tcPr>
          <w:p>
            <w:pPr>
              <w:spacing w:after="0" w:before="0" w:line="269" w:lineRule="auto"/>
              <w:jc w:val="left"/>
            </w:pPr>
            <w:r>
              <w:rPr>
                <w:rFonts w:ascii="Microsoft YaHei" w:hAnsi="Microsoft YaHei" w:eastAsia="Microsoft YaHei"/>
                <w:b/>
                <w:color w:val="000000"/>
                <w:sz w:val="19"/>
              </w:rPr>
              <w:t>拟议表</w:t>
            </w:r>
          </w:p>
        </w:tc>
        <w:tc>
          <w:tcPr>
            <w:tcW w:type="dxa" w:w="3168"/>
            <w:vAlign w:val="center"/>
            <w:tcMar>
              <w:top w:w="75" w:type="dxa"/>
              <w:bottom w:w="75" w:type="dxa"/>
              <w:left w:w="90" w:type="dxa"/>
              <w:right w:w="90" w:type="dxa"/>
            </w:tcMar>
            <w:shd w:fill="DCE6F1"/>
          </w:tcPr>
          <w:p>
            <w:pPr>
              <w:spacing w:after="0" w:before="0" w:line="269" w:lineRule="auto"/>
              <w:jc w:val="left"/>
            </w:pPr>
            <w:r>
              <w:rPr>
                <w:rFonts w:ascii="Microsoft YaHei" w:hAnsi="Microsoft YaHei" w:eastAsia="Microsoft YaHei"/>
                <w:b/>
                <w:color w:val="000000"/>
                <w:sz w:val="19"/>
              </w:rPr>
              <w:t>保存内容</w:t>
            </w:r>
          </w:p>
        </w:tc>
        <w:tc>
          <w:tcPr>
            <w:tcW w:type="dxa" w:w="4680"/>
            <w:vAlign w:val="center"/>
            <w:tcMar>
              <w:top w:w="75" w:type="dxa"/>
              <w:bottom w:w="75" w:type="dxa"/>
              <w:left w:w="90" w:type="dxa"/>
              <w:right w:w="90" w:type="dxa"/>
            </w:tcMar>
            <w:shd w:fill="DCE6F1"/>
          </w:tcPr>
          <w:p>
            <w:pPr>
              <w:spacing w:after="0" w:before="0" w:line="269" w:lineRule="auto"/>
              <w:jc w:val="left"/>
            </w:pPr>
            <w:r>
              <w:rPr>
                <w:rFonts w:ascii="Microsoft YaHei" w:hAnsi="Microsoft YaHei" w:eastAsia="Microsoft YaHei"/>
                <w:b/>
                <w:color w:val="000000"/>
                <w:sz w:val="19"/>
              </w:rPr>
              <w:t>解决的问题</w:t>
            </w:r>
          </w:p>
        </w:tc>
      </w:tr>
      <w:tr>
        <w:trPr>
          <w:cantSplit/>
        </w:trPr>
        <w:tc>
          <w:tcPr>
            <w:tcW w:type="dxa" w:w="2232"/>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audit_sample</w:t>
            </w:r>
          </w:p>
        </w:tc>
        <w:tc>
          <w:tcPr>
            <w:tcW w:type="dxa" w:w="3168"/>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永久追踪身份与最初来源摘要</w:t>
            </w:r>
          </w:p>
        </w:tc>
        <w:tc>
          <w:tcPr>
            <w:tcW w:type="dxa" w:w="4680"/>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业务编号变化、业务记录删除后仍可定位历史</w:t>
            </w:r>
          </w:p>
        </w:tc>
      </w:tr>
      <w:tr>
        <w:trPr>
          <w:cantSplit/>
        </w:trPr>
        <w:tc>
          <w:tcPr>
            <w:tcW w:type="dxa" w:w="2232"/>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audit_sample_alias</w:t>
            </w:r>
          </w:p>
        </w:tc>
        <w:tc>
          <w:tcPr>
            <w:tcW w:type="dxa" w:w="3168"/>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追踪身份曾用过的编号和来源标识</w:t>
            </w:r>
          </w:p>
        </w:tc>
        <w:tc>
          <w:tcPr>
            <w:tcW w:type="dxa" w:w="4680"/>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新旧编号搜索；同号多实例候选</w:t>
            </w:r>
          </w:p>
        </w:tc>
      </w:tr>
      <w:tr>
        <w:trPr>
          <w:cantSplit/>
        </w:trPr>
        <w:tc>
          <w:tcPr>
            <w:tcW w:type="dxa" w:w="2232"/>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audit_event</w:t>
            </w:r>
          </w:p>
        </w:tc>
        <w:tc>
          <w:tcPr>
            <w:tcW w:type="dxa" w:w="3168"/>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一次业务动作的标题、主体、来源、结果及关联号</w:t>
            </w:r>
          </w:p>
        </w:tc>
        <w:tc>
          <w:tcPr>
            <w:tcW w:type="dxa" w:w="4680"/>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聚合一次操作，识别任务、批量及外部结果</w:t>
            </w:r>
          </w:p>
        </w:tc>
      </w:tr>
      <w:tr>
        <w:trPr>
          <w:cantSplit/>
        </w:trPr>
        <w:tc>
          <w:tcPr>
            <w:tcW w:type="dxa" w:w="2232"/>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audit_event_subject</w:t>
            </w:r>
          </w:p>
        </w:tc>
        <w:tc>
          <w:tcPr>
            <w:tcW w:type="dxa" w:w="3168"/>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事件与受影响样本的关系和当时上下文</w:t>
            </w:r>
          </w:p>
        </w:tc>
        <w:tc>
          <w:tcPr>
            <w:tcW w:type="dxa" w:w="4680"/>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多样本事件与按样本索引查询</w:t>
            </w:r>
          </w:p>
        </w:tc>
      </w:tr>
      <w:tr>
        <w:trPr>
          <w:cantSplit/>
        </w:trPr>
        <w:tc>
          <w:tcPr>
            <w:tcW w:type="dxa" w:w="2232"/>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audit_change</w:t>
            </w:r>
          </w:p>
        </w:tc>
        <w:tc>
          <w:tcPr>
            <w:tcW w:type="dxa" w:w="3168"/>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每张表每条实际记录的新增、修改、删除前后值</w:t>
            </w:r>
          </w:p>
        </w:tc>
        <w:tc>
          <w:tcPr>
            <w:tcW w:type="dxa" w:w="4680"/>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多表、多行、重建、复杂 JSON 的证据</w:t>
            </w:r>
          </w:p>
        </w:tc>
      </w:tr>
      <w:tr>
        <w:trPr>
          <w:cantSplit/>
        </w:trPr>
        <w:tc>
          <w:tcPr>
            <w:tcW w:type="dxa" w:w="2232"/>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audit_report_artifact</w:t>
            </w:r>
          </w:p>
        </w:tc>
        <w:tc>
          <w:tcPr>
            <w:tcW w:type="dxa" w:w="3168"/>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每次生成及签署产物的不可变文件元数据</w:t>
            </w:r>
          </w:p>
        </w:tc>
        <w:tc>
          <w:tcPr>
            <w:tcW w:type="dxa" w:w="4680"/>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多版本报告与实际交付版本追踪</w:t>
            </w:r>
          </w:p>
        </w:tc>
      </w:tr>
    </w:tbl>
    <w:p>
      <w:pPr>
        <w:spacing w:after="60" w:before="0" w:line="120" w:lineRule="auto"/>
      </w:pPr>
      <w:r>
        <w:rPr>
          <w:sz w:val="6"/>
        </w:rPr>
      </w:r>
    </w:p>
    <w:p>
      <w:pPr>
        <w:pStyle w:val="Heading2"/>
        <w:jc w:val="left"/>
      </w:pPr>
      <w:r>
        <w:rPr>
          <w:rFonts w:ascii="Microsoft YaHei" w:hAnsi="Microsoft YaHei" w:eastAsia="Microsoft YaHei"/>
          <w:b/>
          <w:color w:val="000000"/>
        </w:rPr>
        <w:t>4.2 公共约束</w:t>
      </w:r>
    </w:p>
    <w:p>
      <w:pPr>
        <w:widowControl/>
        <w:jc w:val="left"/>
      </w:pPr>
      <w:r>
        <w:t>以下是建议物理字段，不是已经存在的数据库结构。六表均采用 id bigint AUTO_INCREMENT 主键；tenant_id varchar(20) NOT NULL DEFAULT '000000'，应用仍须显式校验业务归属，不能把默认值当归属解析兜底。均设置 idx_tenant_id，以 InnoDB、utf8mb4、utf8mb4_general_ci 建表；所有业务唯一索引以 tenant_id 开头。</w:t>
      </w:r>
    </w:p>
    <w:p>
      <w:pPr>
        <w:widowControl/>
        <w:jc w:val="left"/>
      </w:pPr>
      <w:r>
        <w:t>六表保留 create_by bigint NULL、create_time datetime NULL、update_by bigint NULL、update_time datetime NULL，不添加 create_dept 或 del_flag。证据表只 INSERT 和 SELECT；update 列首次写入后不再变更，不使用自动更新填充破坏证据。业务表保留自身原有软删规则。</w:t>
      </w:r>
    </w:p>
    <w:p>
      <w:pPr>
        <w:widowControl/>
        <w:jc w:val="left"/>
      </w:pPr>
      <w:r>
        <w:t>数据库关联采用应用校验，不设置指向可删除业务表的级联删除。父子审计记录必须属于同一租户；查询与写入均检查，跨租户批量拆成各租户事件。大整数通过 JSON 字符串传输，避免前端 number 精度损失。</w:t>
      </w:r>
    </w:p>
    <w:p>
      <w:pPr>
        <w:widowControl/>
        <w:jc w:val="left"/>
      </w:pPr>
      <w:r>
        <w:t>业务时间字段建议 datetime(3)，按 UTC 写入并明确展示时区。只有启停语义才使用 active／inactive；本方案的动作与结果枚举不属于启停状态。</w:t>
      </w:r>
    </w:p>
    <w:p>
      <w:pPr>
        <w:pStyle w:val="Heading2"/>
        <w:jc w:val="left"/>
      </w:pPr>
      <w:r>
        <w:rPr>
          <w:rFonts w:ascii="Microsoft YaHei" w:hAnsi="Microsoft YaHei" w:eastAsia="Microsoft YaHei"/>
          <w:b/>
          <w:color w:val="000000"/>
        </w:rPr>
        <w:t>4.3 样本主体与历史编号</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2448"/>
        <w:gridCol w:w="4752"/>
      </w:tblGrid>
      <w:tr>
        <w:trPr>
          <w:cantSplit/>
          <w:tblHeader/>
        </w:trPr>
        <w:tc>
          <w:tcPr>
            <w:tcW w:type="dxa" w:w="2880"/>
            <w:vAlign w:val="center"/>
            <w:tcMar>
              <w:top w:w="75" w:type="dxa"/>
              <w:bottom w:w="75" w:type="dxa"/>
              <w:left w:w="90" w:type="dxa"/>
              <w:right w:w="90" w:type="dxa"/>
            </w:tcMar>
            <w:shd w:fill="DCE6F1"/>
          </w:tcPr>
          <w:p>
            <w:pPr>
              <w:spacing w:after="0" w:before="0" w:line="269" w:lineRule="auto"/>
              <w:jc w:val="left"/>
            </w:pPr>
            <w:r>
              <w:rPr>
                <w:rFonts w:ascii="Microsoft YaHei" w:hAnsi="Microsoft YaHei" w:eastAsia="Microsoft YaHei"/>
                <w:b/>
                <w:color w:val="000000"/>
                <w:sz w:val="19"/>
              </w:rPr>
              <w:t>表与字段</w:t>
            </w:r>
          </w:p>
        </w:tc>
        <w:tc>
          <w:tcPr>
            <w:tcW w:type="dxa" w:w="2448"/>
            <w:vAlign w:val="center"/>
            <w:tcMar>
              <w:top w:w="75" w:type="dxa"/>
              <w:bottom w:w="75" w:type="dxa"/>
              <w:left w:w="90" w:type="dxa"/>
              <w:right w:w="90" w:type="dxa"/>
            </w:tcMar>
            <w:shd w:fill="DCE6F1"/>
          </w:tcPr>
          <w:p>
            <w:pPr>
              <w:spacing w:after="0" w:before="0" w:line="269" w:lineRule="auto"/>
              <w:jc w:val="left"/>
            </w:pPr>
            <w:r>
              <w:rPr>
                <w:rFonts w:ascii="Microsoft YaHei" w:hAnsi="Microsoft YaHei" w:eastAsia="Microsoft YaHei"/>
                <w:b/>
                <w:color w:val="000000"/>
                <w:sz w:val="19"/>
              </w:rPr>
              <w:t>建议类型及可空性</w:t>
            </w:r>
          </w:p>
        </w:tc>
        <w:tc>
          <w:tcPr>
            <w:tcW w:type="dxa" w:w="4752"/>
            <w:vAlign w:val="center"/>
            <w:tcMar>
              <w:top w:w="75" w:type="dxa"/>
              <w:bottom w:w="75" w:type="dxa"/>
              <w:left w:w="90" w:type="dxa"/>
              <w:right w:w="90" w:type="dxa"/>
            </w:tcMar>
            <w:shd w:fill="DCE6F1"/>
          </w:tcPr>
          <w:p>
            <w:pPr>
              <w:spacing w:after="0" w:before="0" w:line="269" w:lineRule="auto"/>
              <w:jc w:val="left"/>
            </w:pPr>
            <w:r>
              <w:rPr>
                <w:rFonts w:ascii="Microsoft YaHei" w:hAnsi="Microsoft YaHei" w:eastAsia="Microsoft YaHei"/>
                <w:b/>
                <w:color w:val="000000"/>
                <w:sz w:val="19"/>
              </w:rPr>
              <w:t>含义与约束</w:t>
            </w:r>
          </w:p>
        </w:tc>
      </w:tr>
      <w:tr>
        <w:trPr>
          <w:cantSplit/>
        </w:trPr>
        <w:tc>
          <w:tcPr>
            <w:tcW w:type="dxa" w:w="2880"/>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audit_sample.id</w:t>
            </w:r>
          </w:p>
        </w:tc>
        <w:tc>
          <w:tcPr>
            <w:tcW w:type="dxa" w:w="2448"/>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bigint 非空</w:t>
            </w:r>
          </w:p>
        </w:tc>
        <w:tc>
          <w:tcPr>
            <w:tcW w:type="dxa" w:w="4752"/>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永久 sample_trace_id</w:t>
            </w:r>
          </w:p>
        </w:tc>
      </w:tr>
      <w:tr>
        <w:trPr>
          <w:cantSplit/>
        </w:trPr>
        <w:tc>
          <w:tcPr>
            <w:tcW w:type="dxa" w:w="2880"/>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initial_subbarcode</w:t>
            </w:r>
          </w:p>
        </w:tc>
        <w:tc>
          <w:tcPr>
            <w:tcW w:type="dxa" w:w="2448"/>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varchar(160) 可空</w:t>
            </w:r>
          </w:p>
        </w:tc>
        <w:tc>
          <w:tcPr>
            <w:tcW w:type="dxa" w:w="4752"/>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初次识别的编号快照，不更新成最新编号</w:t>
            </w:r>
          </w:p>
        </w:tc>
      </w:tr>
      <w:tr>
        <w:trPr>
          <w:cantSplit/>
        </w:trPr>
        <w:tc>
          <w:tcPr>
            <w:tcW w:type="dxa" w:w="2880"/>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origin_type</w:t>
            </w:r>
          </w:p>
        </w:tc>
        <w:tc>
          <w:tcPr>
            <w:tcW w:type="dxa" w:w="2448"/>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varchar(32) 非空</w:t>
            </w:r>
          </w:p>
        </w:tc>
        <w:tc>
          <w:tcPr>
            <w:tcW w:type="dxa" w:w="4752"/>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SAMPLE_FILE／ANALYSIS／QC／BASELINE 等来源类别</w:t>
            </w:r>
          </w:p>
        </w:tc>
      </w:tr>
      <w:tr>
        <w:trPr>
          <w:cantSplit/>
        </w:trPr>
        <w:tc>
          <w:tcPr>
            <w:tcW w:type="dxa" w:w="2880"/>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origin_system</w:t>
            </w:r>
          </w:p>
        </w:tc>
        <w:tc>
          <w:tcPr>
            <w:tcW w:type="dxa" w:w="2448"/>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varchar(64) 非空</w:t>
            </w:r>
          </w:p>
        </w:tc>
        <w:tc>
          <w:tcPr>
            <w:tcW w:type="dxa" w:w="4752"/>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服务端认可的系统标识，不含凭证</w:t>
            </w:r>
          </w:p>
        </w:tc>
      </w:tr>
      <w:tr>
        <w:trPr>
          <w:cantSplit/>
        </w:trPr>
        <w:tc>
          <w:tcPr>
            <w:tcW w:type="dxa" w:w="2880"/>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origin_object_key</w:t>
            </w:r>
          </w:p>
        </w:tc>
        <w:tc>
          <w:tcPr>
            <w:tcW w:type="dxa" w:w="2448"/>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varchar(240) 非空</w:t>
            </w:r>
          </w:p>
        </w:tc>
        <w:tc>
          <w:tcPr>
            <w:tcW w:type="dxa" w:w="4752"/>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原始对象类型与真实主键的规范化表示</w:t>
            </w:r>
          </w:p>
        </w:tc>
      </w:tr>
      <w:tr>
        <w:trPr>
          <w:cantSplit/>
        </w:trPr>
        <w:tc>
          <w:tcPr>
            <w:tcW w:type="dxa" w:w="2880"/>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identity_state</w:t>
            </w:r>
          </w:p>
        </w:tc>
        <w:tc>
          <w:tcPr>
            <w:tcW w:type="dxa" w:w="2448"/>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varchar(24) 非空</w:t>
            </w:r>
          </w:p>
        </w:tc>
        <w:tc>
          <w:tcPr>
            <w:tcW w:type="dxa" w:w="4752"/>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初始状态 CONFIRMED／PROVISIONAL；之后的确认以新事件表达</w:t>
            </w:r>
          </w:p>
        </w:tc>
      </w:tr>
      <w:tr>
        <w:trPr>
          <w:cantSplit/>
        </w:trPr>
        <w:tc>
          <w:tcPr>
            <w:tcW w:type="dxa" w:w="2880"/>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audit_sample_alias.sample_trace_id</w:t>
            </w:r>
          </w:p>
        </w:tc>
        <w:tc>
          <w:tcPr>
            <w:tcW w:type="dxa" w:w="2448"/>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bigint 非空</w:t>
            </w:r>
          </w:p>
        </w:tc>
        <w:tc>
          <w:tcPr>
            <w:tcW w:type="dxa" w:w="4752"/>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关联追踪根，不依赖业务行仍存在</w:t>
            </w:r>
          </w:p>
        </w:tc>
      </w:tr>
      <w:tr>
        <w:trPr>
          <w:cantSplit/>
        </w:trPr>
        <w:tc>
          <w:tcPr>
            <w:tcW w:type="dxa" w:w="2880"/>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alias_type</w:t>
            </w:r>
          </w:p>
        </w:tc>
        <w:tc>
          <w:tcPr>
            <w:tcW w:type="dxa" w:w="2448"/>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varchar(32) 非空</w:t>
            </w:r>
          </w:p>
        </w:tc>
        <w:tc>
          <w:tcPr>
            <w:tcW w:type="dxa" w:w="4752"/>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SUBBARCODE／UPSTREAM_SAMPLE_KEY</w:t>
            </w:r>
          </w:p>
        </w:tc>
      </w:tr>
      <w:tr>
        <w:trPr>
          <w:cantSplit/>
        </w:trPr>
        <w:tc>
          <w:tcPr>
            <w:tcW w:type="dxa" w:w="2880"/>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source_system</w:t>
            </w:r>
          </w:p>
        </w:tc>
        <w:tc>
          <w:tcPr>
            <w:tcW w:type="dxa" w:w="2448"/>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varchar(64) 非空</w:t>
            </w:r>
          </w:p>
        </w:tc>
        <w:tc>
          <w:tcPr>
            <w:tcW w:type="dxa" w:w="4752"/>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标识的来源命名空间</w:t>
            </w:r>
          </w:p>
        </w:tc>
      </w:tr>
      <w:tr>
        <w:trPr>
          <w:cantSplit/>
        </w:trPr>
        <w:tc>
          <w:tcPr>
            <w:tcW w:type="dxa" w:w="2880"/>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alias_value</w:t>
            </w:r>
          </w:p>
        </w:tc>
        <w:tc>
          <w:tcPr>
            <w:tcW w:type="dxa" w:w="2448"/>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varchar(160) 非空</w:t>
            </w:r>
          </w:p>
        </w:tc>
        <w:tc>
          <w:tcPr>
            <w:tcW w:type="dxa" w:w="4752"/>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真实出现过的原始编号或标识</w:t>
            </w:r>
          </w:p>
        </w:tc>
      </w:tr>
      <w:tr>
        <w:trPr>
          <w:cantSplit/>
        </w:trPr>
        <w:tc>
          <w:tcPr>
            <w:tcW w:type="dxa" w:w="2880"/>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alias_search_value</w:t>
            </w:r>
          </w:p>
        </w:tc>
        <w:tc>
          <w:tcPr>
            <w:tcW w:type="dxa" w:w="2448"/>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varchar(160) 非空</w:t>
            </w:r>
          </w:p>
        </w:tc>
        <w:tc>
          <w:tcPr>
            <w:tcW w:type="dxa" w:w="4752"/>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按已确认编号规则生成的检索值</w:t>
            </w:r>
          </w:p>
        </w:tc>
      </w:tr>
      <w:tr>
        <w:trPr>
          <w:cantSplit/>
        </w:trPr>
        <w:tc>
          <w:tcPr>
            <w:tcW w:type="dxa" w:w="2880"/>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first_seen_event_id</w:t>
            </w:r>
          </w:p>
        </w:tc>
        <w:tc>
          <w:tcPr>
            <w:tcW w:type="dxa" w:w="2448"/>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bigint 非空</w:t>
            </w:r>
          </w:p>
        </w:tc>
        <w:tc>
          <w:tcPr>
            <w:tcW w:type="dxa" w:w="4752"/>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首次在审计中使用该别名的事件</w:t>
            </w:r>
          </w:p>
        </w:tc>
      </w:tr>
    </w:tbl>
    <w:p>
      <w:pPr>
        <w:spacing w:after="60" w:before="0" w:line="120" w:lineRule="auto"/>
      </w:pPr>
      <w:r>
        <w:rPr>
          <w:sz w:val="6"/>
        </w:rPr>
      </w:r>
    </w:p>
    <w:p>
      <w:pPr>
        <w:widowControl/>
        <w:jc w:val="left"/>
      </w:pPr>
      <w:r>
        <w:t>audit_sample 建议唯一索引 uk_audit_sample_origin(tenant_id, origin_system, origin_object_key)，防止同一来源主键重复建根。origin_object_key 包含对象类型；来源可能重用主键时还必须包含来源世代，不允许仅依赖会被复用的自然编号。</w:t>
      </w:r>
    </w:p>
    <w:p>
      <w:pPr>
        <w:widowControl/>
        <w:jc w:val="left"/>
      </w:pPr>
      <w:r>
        <w:t>alias 建议唯一索引 uk_audit_sample_alias(tenant_id, sample_trace_id, alias_type, source_system, alias_value)，只去重同一样本自己的别名；绝不能设置 tenant_id 与 alias_value 全局唯一。查询索引 idx_alias_search(tenant_id, alias_type, alias_search_value, sample_trace_id)。别名出现的次数、改号与回改仍由事件表达。</w:t>
      </w:r>
    </w:p>
    <w:p>
      <w:pPr>
        <w:widowControl/>
        <w:jc w:val="left"/>
      </w:pPr>
      <w:r>
        <w:t>技术主键和上游标识的规范化不能误用面向显示的大小写折叠规则。若来源区分大小写，需要在实现时采用精确比较和相应列排序规则，并记录为既有表级排序规则的字段例外；不得默认把两个来源 id 视作相同。</w:t>
      </w:r>
    </w:p>
    <w:p>
      <w:pPr>
        <w:pStyle w:val="Heading2"/>
        <w:jc w:val="left"/>
      </w:pPr>
      <w:r>
        <w:rPr>
          <w:rFonts w:ascii="Microsoft YaHei" w:hAnsi="Microsoft YaHei" w:eastAsia="Microsoft YaHei"/>
          <w:b/>
          <w:color w:val="000000"/>
        </w:rPr>
        <w:t>4.4 业务事件</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2448"/>
        <w:gridCol w:w="4752"/>
      </w:tblGrid>
      <w:tr>
        <w:trPr>
          <w:cantSplit/>
          <w:tblHeader/>
        </w:trPr>
        <w:tc>
          <w:tcPr>
            <w:tcW w:type="dxa" w:w="2880"/>
            <w:vAlign w:val="center"/>
            <w:tcMar>
              <w:top w:w="75" w:type="dxa"/>
              <w:bottom w:w="75" w:type="dxa"/>
              <w:left w:w="90" w:type="dxa"/>
              <w:right w:w="90" w:type="dxa"/>
            </w:tcMar>
            <w:shd w:fill="DCE6F1"/>
          </w:tcPr>
          <w:p>
            <w:pPr>
              <w:spacing w:after="0" w:before="0" w:line="269" w:lineRule="auto"/>
              <w:jc w:val="left"/>
            </w:pPr>
            <w:r>
              <w:rPr>
                <w:rFonts w:ascii="Microsoft YaHei" w:hAnsi="Microsoft YaHei" w:eastAsia="Microsoft YaHei"/>
                <w:b/>
                <w:color w:val="000000"/>
                <w:sz w:val="19"/>
              </w:rPr>
              <w:t>字段</w:t>
            </w:r>
          </w:p>
        </w:tc>
        <w:tc>
          <w:tcPr>
            <w:tcW w:type="dxa" w:w="2448"/>
            <w:vAlign w:val="center"/>
            <w:tcMar>
              <w:top w:w="75" w:type="dxa"/>
              <w:bottom w:w="75" w:type="dxa"/>
              <w:left w:w="90" w:type="dxa"/>
              <w:right w:w="90" w:type="dxa"/>
            </w:tcMar>
            <w:shd w:fill="DCE6F1"/>
          </w:tcPr>
          <w:p>
            <w:pPr>
              <w:spacing w:after="0" w:before="0" w:line="269" w:lineRule="auto"/>
              <w:jc w:val="left"/>
            </w:pPr>
            <w:r>
              <w:rPr>
                <w:rFonts w:ascii="Microsoft YaHei" w:hAnsi="Microsoft YaHei" w:eastAsia="Microsoft YaHei"/>
                <w:b/>
                <w:color w:val="000000"/>
                <w:sz w:val="19"/>
              </w:rPr>
              <w:t>建议类型及可空性</w:t>
            </w:r>
          </w:p>
        </w:tc>
        <w:tc>
          <w:tcPr>
            <w:tcW w:type="dxa" w:w="4752"/>
            <w:vAlign w:val="center"/>
            <w:tcMar>
              <w:top w:w="75" w:type="dxa"/>
              <w:bottom w:w="75" w:type="dxa"/>
              <w:left w:w="90" w:type="dxa"/>
              <w:right w:w="90" w:type="dxa"/>
            </w:tcMar>
            <w:shd w:fill="DCE6F1"/>
          </w:tcPr>
          <w:p>
            <w:pPr>
              <w:spacing w:after="0" w:before="0" w:line="269" w:lineRule="auto"/>
              <w:jc w:val="left"/>
            </w:pPr>
            <w:r>
              <w:rPr>
                <w:rFonts w:ascii="Microsoft YaHei" w:hAnsi="Microsoft YaHei" w:eastAsia="Microsoft YaHei"/>
                <w:b/>
                <w:color w:val="000000"/>
                <w:sz w:val="19"/>
              </w:rPr>
              <w:t>含义与约束</w:t>
            </w:r>
          </w:p>
        </w:tc>
      </w:tr>
      <w:tr>
        <w:trPr>
          <w:cantSplit/>
        </w:trPr>
        <w:tc>
          <w:tcPr>
            <w:tcW w:type="dxa" w:w="2880"/>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event_key</w:t>
            </w:r>
          </w:p>
        </w:tc>
        <w:tc>
          <w:tcPr>
            <w:tcW w:type="dxa" w:w="2448"/>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varchar(160) 非空</w:t>
            </w:r>
          </w:p>
        </w:tc>
        <w:tc>
          <w:tcPr>
            <w:tcW w:type="dxa" w:w="4752"/>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服务端生成的审计幂等键；同一已提交操作的重放复用它</w:t>
            </w:r>
          </w:p>
        </w:tc>
      </w:tr>
      <w:tr>
        <w:trPr>
          <w:cantSplit/>
        </w:trPr>
        <w:tc>
          <w:tcPr>
            <w:tcW w:type="dxa" w:w="2880"/>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operation_id</w:t>
            </w:r>
          </w:p>
        </w:tc>
        <w:tc>
          <w:tcPr>
            <w:tcW w:type="dxa" w:w="2448"/>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char(32) 非空</w:t>
            </w:r>
          </w:p>
        </w:tc>
        <w:tc>
          <w:tcPr>
            <w:tcW w:type="dxa" w:w="4752"/>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一次用户／系统业务意图，跨阶段结果共享此值</w:t>
            </w:r>
          </w:p>
        </w:tc>
      </w:tr>
      <w:tr>
        <w:trPr>
          <w:cantSplit/>
        </w:trPr>
        <w:tc>
          <w:tcPr>
            <w:tcW w:type="dxa" w:w="2880"/>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batch_id</w:t>
            </w:r>
          </w:p>
        </w:tc>
        <w:tc>
          <w:tcPr>
            <w:tcW w:type="dxa" w:w="2448"/>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char(32) 可空</w:t>
            </w:r>
          </w:p>
        </w:tc>
        <w:tc>
          <w:tcPr>
            <w:tcW w:type="dxa" w:w="4752"/>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一次导入或任务批次，多个独立事务共享</w:t>
            </w:r>
          </w:p>
        </w:tc>
      </w:tr>
      <w:tr>
        <w:trPr>
          <w:cantSplit/>
        </w:trPr>
        <w:tc>
          <w:tcPr>
            <w:tcW w:type="dxa" w:w="2880"/>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parent_event_id</w:t>
            </w:r>
          </w:p>
        </w:tc>
        <w:tc>
          <w:tcPr>
            <w:tcW w:type="dxa" w:w="2448"/>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bigint 可空</w:t>
            </w:r>
          </w:p>
        </w:tc>
        <w:tc>
          <w:tcPr>
            <w:tcW w:type="dxa" w:w="4752"/>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请求、回调、重试等明确因果关系</w:t>
            </w:r>
          </w:p>
        </w:tc>
      </w:tr>
      <w:tr>
        <w:trPr>
          <w:cantSplit/>
        </w:trPr>
        <w:tc>
          <w:tcPr>
            <w:tcW w:type="dxa" w:w="2880"/>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stage</w:t>
            </w:r>
          </w:p>
        </w:tc>
        <w:tc>
          <w:tcPr>
            <w:tcW w:type="dxa" w:w="2448"/>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varchar(32) 非空</w:t>
            </w:r>
          </w:p>
        </w:tc>
        <w:tc>
          <w:tcPr>
            <w:tcW w:type="dxa" w:w="4752"/>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SAMPLE／WET_QC／BIO_QC／ANALYSIS／INTERPRETATION／REPORT／DELIVERY／SYSTEM</w:t>
            </w:r>
          </w:p>
        </w:tc>
      </w:tr>
      <w:tr>
        <w:trPr>
          <w:cantSplit/>
        </w:trPr>
        <w:tc>
          <w:tcPr>
            <w:tcW w:type="dxa" w:w="2880"/>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event_code</w:t>
            </w:r>
          </w:p>
        </w:tc>
        <w:tc>
          <w:tcPr>
            <w:tcW w:type="dxa" w:w="2448"/>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varchar(64) 非空</w:t>
            </w:r>
          </w:p>
        </w:tc>
        <w:tc>
          <w:tcPr>
            <w:tcW w:type="dxa" w:w="4752"/>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稳定动作代码，中文文案另存快照</w:t>
            </w:r>
          </w:p>
        </w:tc>
      </w:tr>
      <w:tr>
        <w:trPr>
          <w:cantSplit/>
        </w:trPr>
        <w:tc>
          <w:tcPr>
            <w:tcW w:type="dxa" w:w="2880"/>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title</w:t>
            </w:r>
          </w:p>
        </w:tc>
        <w:tc>
          <w:tcPr>
            <w:tcW w:type="dxa" w:w="2448"/>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varchar(300) 非空</w:t>
            </w:r>
          </w:p>
        </w:tc>
        <w:tc>
          <w:tcPr>
            <w:tcW w:type="dxa" w:w="4752"/>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可读摘要，不拼接其他样本敏感内容</w:t>
            </w:r>
          </w:p>
        </w:tc>
      </w:tr>
      <w:tr>
        <w:trPr>
          <w:cantSplit/>
        </w:trPr>
        <w:tc>
          <w:tcPr>
            <w:tcW w:type="dxa" w:w="2880"/>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outcome</w:t>
            </w:r>
          </w:p>
        </w:tc>
        <w:tc>
          <w:tcPr>
            <w:tcW w:type="dxa" w:w="2448"/>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varchar(24) 非空</w:t>
            </w:r>
          </w:p>
        </w:tc>
        <w:tc>
          <w:tcPr>
            <w:tcW w:type="dxa" w:w="4752"/>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STARTED／SUCCESS／FAILED／NO_CHANGE／UNKNOWN／SUPERSEDED</w:t>
            </w:r>
          </w:p>
        </w:tc>
      </w:tr>
      <w:tr>
        <w:trPr>
          <w:cantSplit/>
        </w:trPr>
        <w:tc>
          <w:tcPr>
            <w:tcW w:type="dxa" w:w="2880"/>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occurred_at</w:t>
            </w:r>
          </w:p>
        </w:tc>
        <w:tc>
          <w:tcPr>
            <w:tcW w:type="dxa" w:w="2448"/>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datetime(3) 非空</w:t>
            </w:r>
          </w:p>
        </w:tc>
        <w:tc>
          <w:tcPr>
            <w:tcW w:type="dxa" w:w="4752"/>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服务端确认的动作发生时间</w:t>
            </w:r>
          </w:p>
        </w:tc>
      </w:tr>
      <w:tr>
        <w:trPr>
          <w:cantSplit/>
        </w:trPr>
        <w:tc>
          <w:tcPr>
            <w:tcW w:type="dxa" w:w="2880"/>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recorded_at</w:t>
            </w:r>
          </w:p>
        </w:tc>
        <w:tc>
          <w:tcPr>
            <w:tcW w:type="dxa" w:w="2448"/>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datetime(3) 非空</w:t>
            </w:r>
          </w:p>
        </w:tc>
        <w:tc>
          <w:tcPr>
            <w:tcW w:type="dxa" w:w="4752"/>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服务端写入审计的时间</w:t>
            </w:r>
          </w:p>
        </w:tc>
      </w:tr>
      <w:tr>
        <w:trPr>
          <w:cantSplit/>
        </w:trPr>
        <w:tc>
          <w:tcPr>
            <w:tcW w:type="dxa" w:w="2880"/>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source_occurred_at</w:t>
            </w:r>
          </w:p>
        </w:tc>
        <w:tc>
          <w:tcPr>
            <w:tcW w:type="dxa" w:w="2448"/>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datetime(3) 可空</w:t>
            </w:r>
          </w:p>
        </w:tc>
        <w:tc>
          <w:tcPr>
            <w:tcW w:type="dxa" w:w="4752"/>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上游声明的时间，须标明来源</w:t>
            </w:r>
          </w:p>
        </w:tc>
      </w:tr>
      <w:tr>
        <w:trPr>
          <w:cantSplit/>
        </w:trPr>
        <w:tc>
          <w:tcPr>
            <w:tcW w:type="dxa" w:w="2880"/>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actor_type</w:t>
            </w:r>
          </w:p>
        </w:tc>
        <w:tc>
          <w:tcPr>
            <w:tcW w:type="dxa" w:w="2448"/>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varchar(24) 非空</w:t>
            </w:r>
          </w:p>
        </w:tc>
        <w:tc>
          <w:tcPr>
            <w:tcW w:type="dxa" w:w="4752"/>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USER／SERVICE／JOB／CALLBACK／MIGRATION</w:t>
            </w:r>
          </w:p>
        </w:tc>
      </w:tr>
      <w:tr>
        <w:trPr>
          <w:cantSplit/>
        </w:trPr>
        <w:tc>
          <w:tcPr>
            <w:tcW w:type="dxa" w:w="2880"/>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actor_id</w:t>
            </w:r>
          </w:p>
        </w:tc>
        <w:tc>
          <w:tcPr>
            <w:tcW w:type="dxa" w:w="2448"/>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varchar(100) 非空</w:t>
            </w:r>
          </w:p>
        </w:tc>
        <w:tc>
          <w:tcPr>
            <w:tcW w:type="dxa" w:w="4752"/>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用户或服务主体稳定标识，服务端确定</w:t>
            </w:r>
          </w:p>
        </w:tc>
      </w:tr>
      <w:tr>
        <w:trPr>
          <w:cantSplit/>
        </w:trPr>
        <w:tc>
          <w:tcPr>
            <w:tcW w:type="dxa" w:w="2880"/>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actor_name</w:t>
            </w:r>
          </w:p>
        </w:tc>
        <w:tc>
          <w:tcPr>
            <w:tcW w:type="dxa" w:w="2448"/>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varchar(120) 非空</w:t>
            </w:r>
          </w:p>
        </w:tc>
        <w:tc>
          <w:tcPr>
            <w:tcW w:type="dxa" w:w="4752"/>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当时显示名称快照，不随改名变化</w:t>
            </w:r>
          </w:p>
        </w:tc>
      </w:tr>
      <w:tr>
        <w:trPr>
          <w:cantSplit/>
        </w:trPr>
        <w:tc>
          <w:tcPr>
            <w:tcW w:type="dxa" w:w="2880"/>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actor_tenant_id</w:t>
            </w:r>
          </w:p>
        </w:tc>
        <w:tc>
          <w:tcPr>
            <w:tcW w:type="dxa" w:w="2448"/>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varchar(20) 可空</w:t>
            </w:r>
          </w:p>
        </w:tc>
        <w:tc>
          <w:tcPr>
            <w:tcW w:type="dxa" w:w="4752"/>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操作主体归属，区别于业务 tenant_id</w:t>
            </w:r>
          </w:p>
        </w:tc>
      </w:tr>
      <w:tr>
        <w:trPr>
          <w:cantSplit/>
        </w:trPr>
        <w:tc>
          <w:tcPr>
            <w:tcW w:type="dxa" w:w="2880"/>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source_system</w:t>
            </w:r>
          </w:p>
        </w:tc>
        <w:tc>
          <w:tcPr>
            <w:tcW w:type="dxa" w:w="2448"/>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varchar(64) 非空</w:t>
            </w:r>
          </w:p>
        </w:tc>
        <w:tc>
          <w:tcPr>
            <w:tcW w:type="dxa" w:w="4752"/>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已认可来源系统</w:t>
            </w:r>
          </w:p>
        </w:tc>
      </w:tr>
      <w:tr>
        <w:trPr>
          <w:cantSplit/>
        </w:trPr>
        <w:tc>
          <w:tcPr>
            <w:tcW w:type="dxa" w:w="2880"/>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request_id</w:t>
            </w:r>
          </w:p>
        </w:tc>
        <w:tc>
          <w:tcPr>
            <w:tcW w:type="dxa" w:w="2448"/>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varchar(100) 可空</w:t>
            </w:r>
          </w:p>
        </w:tc>
        <w:tc>
          <w:tcPr>
            <w:tcW w:type="dxa" w:w="4752"/>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请求追踪号，不等同于幂等键</w:t>
            </w:r>
          </w:p>
        </w:tc>
      </w:tr>
      <w:tr>
        <w:trPr>
          <w:cantSplit/>
        </w:trPr>
        <w:tc>
          <w:tcPr>
            <w:tcW w:type="dxa" w:w="2880"/>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source_event_key</w:t>
            </w:r>
          </w:p>
        </w:tc>
        <w:tc>
          <w:tcPr>
            <w:tcW w:type="dxa" w:w="2448"/>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varchar(160) 可空</w:t>
            </w:r>
          </w:p>
        </w:tc>
        <w:tc>
          <w:tcPr>
            <w:tcW w:type="dxa" w:w="4752"/>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上游事件／消息号，可辅助去重</w:t>
            </w:r>
          </w:p>
        </w:tc>
      </w:tr>
      <w:tr>
        <w:trPr>
          <w:cantSplit/>
        </w:trPr>
        <w:tc>
          <w:tcPr>
            <w:tcW w:type="dxa" w:w="2880"/>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reason</w:t>
            </w:r>
          </w:p>
        </w:tc>
        <w:tc>
          <w:tcPr>
            <w:tcW w:type="dxa" w:w="2448"/>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text 可空</w:t>
            </w:r>
          </w:p>
        </w:tc>
        <w:tc>
          <w:tcPr>
            <w:tcW w:type="dxa" w:w="4752"/>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原业务已有原因或更正说明；自动任务使用结构化来源说明</w:t>
            </w:r>
          </w:p>
        </w:tc>
      </w:tr>
      <w:tr>
        <w:trPr>
          <w:cantSplit/>
        </w:trPr>
        <w:tc>
          <w:tcPr>
            <w:tcW w:type="dxa" w:w="2880"/>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context_json</w:t>
            </w:r>
          </w:p>
        </w:tc>
        <w:tc>
          <w:tcPr>
            <w:tcW w:type="dxa" w:w="2448"/>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json 可空</w:t>
            </w:r>
          </w:p>
        </w:tc>
        <w:tc>
          <w:tcPr>
            <w:tcW w:type="dxa" w:w="4752"/>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状态转换路径、任务参数摘要、原系统定位、来源证据引用</w:t>
            </w:r>
          </w:p>
        </w:tc>
      </w:tr>
      <w:tr>
        <w:trPr>
          <w:cantSplit/>
        </w:trPr>
        <w:tc>
          <w:tcPr>
            <w:tcW w:type="dxa" w:w="2880"/>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schema_version</w:t>
            </w:r>
          </w:p>
        </w:tc>
        <w:tc>
          <w:tcPr>
            <w:tcW w:type="dxa" w:w="2448"/>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smallint 非空，初值1</w:t>
            </w:r>
          </w:p>
        </w:tc>
        <w:tc>
          <w:tcPr>
            <w:tcW w:type="dxa" w:w="4752"/>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事件及快照解释版本</w:t>
            </w:r>
          </w:p>
        </w:tc>
      </w:tr>
    </w:tbl>
    <w:p>
      <w:pPr>
        <w:spacing w:after="60" w:before="0" w:line="120" w:lineRule="auto"/>
      </w:pPr>
      <w:r>
        <w:rPr>
          <w:sz w:val="6"/>
        </w:rPr>
      </w:r>
    </w:p>
    <w:p>
      <w:pPr>
        <w:widowControl/>
        <w:jc w:val="left"/>
      </w:pPr>
      <w:r>
        <w:t>唯一索引 uk_audit_event_key(tenant_id, event_key)；查询索引 idx_event_operation(tenant_id, operation_id, id)、idx_event_batch(tenant_id, batch_id, id)、idx_event_stage_time(tenant_id, stage, recorded_at, id)。原始上游 key 应结合来源和业务范围构造 event_key，不直接信任客户端任意填值。</w:t>
      </w:r>
    </w:p>
    <w:p>
      <w:pPr>
        <w:widowControl/>
        <w:jc w:val="left"/>
      </w:pPr>
      <w:r>
        <w:t>开始、成功、失败是不同的只追加事件，不更新同一事件的 outcome。审计写入与业务幂等要一起实现：不能业务重复执行后仅把第二条日志去掉。用户有意发起的再次生成／再次发送产生新的 operation_id；网络重试同一意图才复用幂等键。</w:t>
      </w:r>
    </w:p>
    <w:p>
      <w:pPr>
        <w:pStyle w:val="Heading2"/>
        <w:jc w:val="left"/>
      </w:pPr>
      <w:r>
        <w:rPr>
          <w:rFonts w:ascii="Microsoft YaHei" w:hAnsi="Microsoft YaHei" w:eastAsia="Microsoft YaHei"/>
          <w:b/>
          <w:color w:val="000000"/>
        </w:rPr>
        <w:t>4.5 事件与样本关联</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2448"/>
        <w:gridCol w:w="4752"/>
      </w:tblGrid>
      <w:tr>
        <w:trPr>
          <w:cantSplit/>
          <w:tblHeader/>
        </w:trPr>
        <w:tc>
          <w:tcPr>
            <w:tcW w:type="dxa" w:w="2880"/>
            <w:vAlign w:val="center"/>
            <w:tcMar>
              <w:top w:w="75" w:type="dxa"/>
              <w:bottom w:w="75" w:type="dxa"/>
              <w:left w:w="90" w:type="dxa"/>
              <w:right w:w="90" w:type="dxa"/>
            </w:tcMar>
            <w:shd w:fill="DCE6F1"/>
          </w:tcPr>
          <w:p>
            <w:pPr>
              <w:spacing w:after="0" w:before="0" w:line="269" w:lineRule="auto"/>
              <w:jc w:val="left"/>
            </w:pPr>
            <w:r>
              <w:rPr>
                <w:rFonts w:ascii="Microsoft YaHei" w:hAnsi="Microsoft YaHei" w:eastAsia="Microsoft YaHei"/>
                <w:b/>
                <w:color w:val="000000"/>
                <w:sz w:val="19"/>
              </w:rPr>
              <w:t>字段</w:t>
            </w:r>
          </w:p>
        </w:tc>
        <w:tc>
          <w:tcPr>
            <w:tcW w:type="dxa" w:w="2448"/>
            <w:vAlign w:val="center"/>
            <w:tcMar>
              <w:top w:w="75" w:type="dxa"/>
              <w:bottom w:w="75" w:type="dxa"/>
              <w:left w:w="90" w:type="dxa"/>
              <w:right w:w="90" w:type="dxa"/>
            </w:tcMar>
            <w:shd w:fill="DCE6F1"/>
          </w:tcPr>
          <w:p>
            <w:pPr>
              <w:spacing w:after="0" w:before="0" w:line="269" w:lineRule="auto"/>
              <w:jc w:val="left"/>
            </w:pPr>
            <w:r>
              <w:rPr>
                <w:rFonts w:ascii="Microsoft YaHei" w:hAnsi="Microsoft YaHei" w:eastAsia="Microsoft YaHei"/>
                <w:b/>
                <w:color w:val="000000"/>
                <w:sz w:val="19"/>
              </w:rPr>
              <w:t>建议类型及可空性</w:t>
            </w:r>
          </w:p>
        </w:tc>
        <w:tc>
          <w:tcPr>
            <w:tcW w:type="dxa" w:w="4752"/>
            <w:vAlign w:val="center"/>
            <w:tcMar>
              <w:top w:w="75" w:type="dxa"/>
              <w:bottom w:w="75" w:type="dxa"/>
              <w:left w:w="90" w:type="dxa"/>
              <w:right w:w="90" w:type="dxa"/>
            </w:tcMar>
            <w:shd w:fill="DCE6F1"/>
          </w:tcPr>
          <w:p>
            <w:pPr>
              <w:spacing w:after="0" w:before="0" w:line="269" w:lineRule="auto"/>
              <w:jc w:val="left"/>
            </w:pPr>
            <w:r>
              <w:rPr>
                <w:rFonts w:ascii="Microsoft YaHei" w:hAnsi="Microsoft YaHei" w:eastAsia="Microsoft YaHei"/>
                <w:b/>
                <w:color w:val="000000"/>
                <w:sz w:val="19"/>
              </w:rPr>
              <w:t>含义与约束</w:t>
            </w:r>
          </w:p>
        </w:tc>
      </w:tr>
      <w:tr>
        <w:trPr>
          <w:cantSplit/>
        </w:trPr>
        <w:tc>
          <w:tcPr>
            <w:tcW w:type="dxa" w:w="2880"/>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event_id</w:t>
            </w:r>
          </w:p>
        </w:tc>
        <w:tc>
          <w:tcPr>
            <w:tcW w:type="dxa" w:w="2448"/>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bigint 非空</w:t>
            </w:r>
          </w:p>
        </w:tc>
        <w:tc>
          <w:tcPr>
            <w:tcW w:type="dxa" w:w="4752"/>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父事件</w:t>
            </w:r>
          </w:p>
        </w:tc>
      </w:tr>
      <w:tr>
        <w:trPr>
          <w:cantSplit/>
        </w:trPr>
        <w:tc>
          <w:tcPr>
            <w:tcW w:type="dxa" w:w="2880"/>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sample_trace_id</w:t>
            </w:r>
          </w:p>
        </w:tc>
        <w:tc>
          <w:tcPr>
            <w:tcW w:type="dxa" w:w="2448"/>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bigint 非空</w:t>
            </w:r>
          </w:p>
        </w:tc>
        <w:tc>
          <w:tcPr>
            <w:tcW w:type="dxa" w:w="4752"/>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被影响的稳定样本身份</w:t>
            </w:r>
          </w:p>
        </w:tc>
      </w:tr>
      <w:tr>
        <w:trPr>
          <w:cantSplit/>
        </w:trPr>
        <w:tc>
          <w:tcPr>
            <w:tcW w:type="dxa" w:w="2880"/>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sample_file_id</w:t>
            </w:r>
          </w:p>
        </w:tc>
        <w:tc>
          <w:tcPr>
            <w:tcW w:type="dxa" w:w="2448"/>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bigint 可空</w:t>
            </w:r>
          </w:p>
        </w:tc>
        <w:tc>
          <w:tcPr>
            <w:tcW w:type="dxa" w:w="4752"/>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当时录单行主键</w:t>
            </w:r>
          </w:p>
        </w:tc>
      </w:tr>
      <w:tr>
        <w:trPr>
          <w:cantSplit/>
        </w:trPr>
        <w:tc>
          <w:tcPr>
            <w:tcW w:type="dxa" w:w="2880"/>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subbarcode_snapshot</w:t>
            </w:r>
          </w:p>
        </w:tc>
        <w:tc>
          <w:tcPr>
            <w:tcW w:type="dxa" w:w="2448"/>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varchar(160) 可空</w:t>
            </w:r>
          </w:p>
        </w:tc>
        <w:tc>
          <w:tcPr>
            <w:tcW w:type="dxa" w:w="4752"/>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事件发生时的样本编号</w:t>
            </w:r>
          </w:p>
        </w:tc>
      </w:tr>
      <w:tr>
        <w:trPr>
          <w:cantSplit/>
        </w:trPr>
        <w:tc>
          <w:tcPr>
            <w:tcW w:type="dxa" w:w="2880"/>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analysis_id</w:t>
            </w:r>
          </w:p>
        </w:tc>
        <w:tc>
          <w:tcPr>
            <w:tcW w:type="dxa" w:w="2448"/>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bigint 可空</w:t>
            </w:r>
          </w:p>
        </w:tc>
        <w:tc>
          <w:tcPr>
            <w:tcW w:type="dxa" w:w="4752"/>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本事件针对的分析批次；事件跨多个批次时见 context_json</w:t>
            </w:r>
          </w:p>
        </w:tc>
      </w:tr>
      <w:tr>
        <w:trPr>
          <w:cantSplit/>
        </w:trPr>
        <w:tc>
          <w:tcPr>
            <w:tcW w:type="dxa" w:w="2880"/>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report_id</w:t>
            </w:r>
          </w:p>
        </w:tc>
        <w:tc>
          <w:tcPr>
            <w:tcW w:type="dxa" w:w="2448"/>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bigint 可空</w:t>
            </w:r>
          </w:p>
        </w:tc>
        <w:tc>
          <w:tcPr>
            <w:tcW w:type="dxa" w:w="4752"/>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本事件针对的报告；事件跨多报告时见 context_json</w:t>
            </w:r>
          </w:p>
        </w:tc>
      </w:tr>
      <w:tr>
        <w:trPr>
          <w:cantSplit/>
        </w:trPr>
        <w:tc>
          <w:tcPr>
            <w:tcW w:type="dxa" w:w="2880"/>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context_json</w:t>
            </w:r>
          </w:p>
        </w:tc>
        <w:tc>
          <w:tcPr>
            <w:tcW w:type="dxa" w:w="2448"/>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json 可空</w:t>
            </w:r>
          </w:p>
        </w:tc>
        <w:tc>
          <w:tcPr>
            <w:tcW w:type="dxa" w:w="4752"/>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产品、分析日期、多个对象 id、关联依据及缺口摘要</w:t>
            </w:r>
          </w:p>
        </w:tc>
      </w:tr>
    </w:tbl>
    <w:p>
      <w:pPr>
        <w:spacing w:after="60" w:before="0" w:line="120" w:lineRule="auto"/>
      </w:pPr>
      <w:r>
        <w:rPr>
          <w:sz w:val="6"/>
        </w:rPr>
      </w:r>
    </w:p>
    <w:p>
      <w:pPr>
        <w:widowControl/>
        <w:jc w:val="left"/>
      </w:pPr>
      <w:r>
        <w:t>唯一索引 uk_audit_event_subject(tenant_id, event_id, sample_trace_id)。查询索引 idx_subject_timeline(tenant_id, sample_trace_id, event_id)、idx_subject_analysis(tenant_id, analysis_id, event_id)、idx_subject_report(tenant_id, report_id, event_id)。</w:t>
      </w:r>
    </w:p>
    <w:p>
      <w:pPr>
        <w:widowControl/>
        <w:jc w:val="left"/>
      </w:pPr>
      <w:r>
        <w:t>同一事件对同一样本只建一条关联，不按明细行复制时间线。多批次／多报告动作应优先拆成语义明确的子事件；必须同事务的整体动作在 context_json 的 analysisIds、reportIds 字符串数组列出全部范围。过滤同时检查单值列与 JSON 数组精确成员，不使用 LIKE 或只查一个任意 report_id；单样本页面仍只显示一张事件卡片。</w:t>
      </w:r>
    </w:p>
    <w:p>
      <w:pPr>
        <w:pStyle w:val="Heading2"/>
        <w:jc w:val="left"/>
      </w:pPr>
      <w:r>
        <w:rPr>
          <w:rFonts w:ascii="Microsoft YaHei" w:hAnsi="Microsoft YaHei" w:eastAsia="Microsoft YaHei"/>
          <w:b/>
          <w:color w:val="000000"/>
        </w:rPr>
        <w:t>4.6 逐记录变更</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2448"/>
        <w:gridCol w:w="4752"/>
      </w:tblGrid>
      <w:tr>
        <w:trPr>
          <w:cantSplit/>
          <w:tblHeader/>
        </w:trPr>
        <w:tc>
          <w:tcPr>
            <w:tcW w:type="dxa" w:w="2880"/>
            <w:vAlign w:val="center"/>
            <w:tcMar>
              <w:top w:w="75" w:type="dxa"/>
              <w:bottom w:w="75" w:type="dxa"/>
              <w:left w:w="90" w:type="dxa"/>
              <w:right w:w="90" w:type="dxa"/>
            </w:tcMar>
            <w:shd w:fill="DCE6F1"/>
          </w:tcPr>
          <w:p>
            <w:pPr>
              <w:spacing w:after="0" w:before="0" w:line="269" w:lineRule="auto"/>
              <w:jc w:val="left"/>
            </w:pPr>
            <w:r>
              <w:rPr>
                <w:rFonts w:ascii="Microsoft YaHei" w:hAnsi="Microsoft YaHei" w:eastAsia="Microsoft YaHei"/>
                <w:b/>
                <w:color w:val="000000"/>
                <w:sz w:val="19"/>
              </w:rPr>
              <w:t>字段</w:t>
            </w:r>
          </w:p>
        </w:tc>
        <w:tc>
          <w:tcPr>
            <w:tcW w:type="dxa" w:w="2448"/>
            <w:vAlign w:val="center"/>
            <w:tcMar>
              <w:top w:w="75" w:type="dxa"/>
              <w:bottom w:w="75" w:type="dxa"/>
              <w:left w:w="90" w:type="dxa"/>
              <w:right w:w="90" w:type="dxa"/>
            </w:tcMar>
            <w:shd w:fill="DCE6F1"/>
          </w:tcPr>
          <w:p>
            <w:pPr>
              <w:spacing w:after="0" w:before="0" w:line="269" w:lineRule="auto"/>
              <w:jc w:val="left"/>
            </w:pPr>
            <w:r>
              <w:rPr>
                <w:rFonts w:ascii="Microsoft YaHei" w:hAnsi="Microsoft YaHei" w:eastAsia="Microsoft YaHei"/>
                <w:b/>
                <w:color w:val="000000"/>
                <w:sz w:val="19"/>
              </w:rPr>
              <w:t>建议类型及可空性</w:t>
            </w:r>
          </w:p>
        </w:tc>
        <w:tc>
          <w:tcPr>
            <w:tcW w:type="dxa" w:w="4752"/>
            <w:vAlign w:val="center"/>
            <w:tcMar>
              <w:top w:w="75" w:type="dxa"/>
              <w:bottom w:w="75" w:type="dxa"/>
              <w:left w:w="90" w:type="dxa"/>
              <w:right w:w="90" w:type="dxa"/>
            </w:tcMar>
            <w:shd w:fill="DCE6F1"/>
          </w:tcPr>
          <w:p>
            <w:pPr>
              <w:spacing w:after="0" w:before="0" w:line="269" w:lineRule="auto"/>
              <w:jc w:val="left"/>
            </w:pPr>
            <w:r>
              <w:rPr>
                <w:rFonts w:ascii="Microsoft YaHei" w:hAnsi="Microsoft YaHei" w:eastAsia="Microsoft YaHei"/>
                <w:b/>
                <w:color w:val="000000"/>
                <w:sz w:val="19"/>
              </w:rPr>
              <w:t>含义与约束</w:t>
            </w:r>
          </w:p>
        </w:tc>
      </w:tr>
      <w:tr>
        <w:trPr>
          <w:cantSplit/>
        </w:trPr>
        <w:tc>
          <w:tcPr>
            <w:tcW w:type="dxa" w:w="2880"/>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event_id</w:t>
            </w:r>
          </w:p>
        </w:tc>
        <w:tc>
          <w:tcPr>
            <w:tcW w:type="dxa" w:w="2448"/>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bigint 非空</w:t>
            </w:r>
          </w:p>
        </w:tc>
        <w:tc>
          <w:tcPr>
            <w:tcW w:type="dxa" w:w="4752"/>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所属业务事件</w:t>
            </w:r>
          </w:p>
        </w:tc>
      </w:tr>
      <w:tr>
        <w:trPr>
          <w:cantSplit/>
        </w:trPr>
        <w:tc>
          <w:tcPr>
            <w:tcW w:type="dxa" w:w="2880"/>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sample_trace_id</w:t>
            </w:r>
          </w:p>
        </w:tc>
        <w:tc>
          <w:tcPr>
            <w:tcW w:type="dxa" w:w="2448"/>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bigint 可空</w:t>
            </w:r>
          </w:p>
        </w:tc>
        <w:tc>
          <w:tcPr>
            <w:tcW w:type="dxa" w:w="4752"/>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此条明细所属样本；共享对象可空，但须有单独可见性判断</w:t>
            </w:r>
          </w:p>
        </w:tc>
      </w:tr>
      <w:tr>
        <w:trPr>
          <w:cantSplit/>
        </w:trPr>
        <w:tc>
          <w:tcPr>
            <w:tcW w:type="dxa" w:w="2880"/>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ordinal</w:t>
            </w:r>
          </w:p>
        </w:tc>
        <w:tc>
          <w:tcPr>
            <w:tcW w:type="dxa" w:w="2448"/>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int 非空</w:t>
            </w:r>
          </w:p>
        </w:tc>
        <w:tc>
          <w:tcPr>
            <w:tcW w:type="dxa" w:w="4752"/>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同一事件内的稳定明细顺序</w:t>
            </w:r>
          </w:p>
        </w:tc>
      </w:tr>
      <w:tr>
        <w:trPr>
          <w:cantSplit/>
        </w:trPr>
        <w:tc>
          <w:tcPr>
            <w:tcW w:type="dxa" w:w="2880"/>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object_type</w:t>
            </w:r>
          </w:p>
        </w:tc>
        <w:tc>
          <w:tcPr>
            <w:tcW w:type="dxa" w:w="2448"/>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varchar(64) 非空</w:t>
            </w:r>
          </w:p>
        </w:tc>
        <w:tc>
          <w:tcPr>
            <w:tcW w:type="dxa" w:w="4752"/>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SAMPLE／BIO_QC／REPORT／VARIANT／HISTORY 等业务对象类别</w:t>
            </w:r>
          </w:p>
        </w:tc>
      </w:tr>
      <w:tr>
        <w:trPr>
          <w:cantSplit/>
        </w:trPr>
        <w:tc>
          <w:tcPr>
            <w:tcW w:type="dxa" w:w="2880"/>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table_name</w:t>
            </w:r>
          </w:p>
        </w:tc>
        <w:tc>
          <w:tcPr>
            <w:tcW w:type="dxa" w:w="2448"/>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varchar(64) 非空</w:t>
            </w:r>
          </w:p>
        </w:tc>
        <w:tc>
          <w:tcPr>
            <w:tcW w:type="dxa" w:w="4752"/>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服务端白名单中的实际表名，仅作证据标识</w:t>
            </w:r>
          </w:p>
        </w:tc>
      </w:tr>
      <w:tr>
        <w:trPr>
          <w:cantSplit/>
        </w:trPr>
        <w:tc>
          <w:tcPr>
            <w:tcW w:type="dxa" w:w="2880"/>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object_pk_json</w:t>
            </w:r>
          </w:p>
        </w:tc>
        <w:tc>
          <w:tcPr>
            <w:tcW w:type="dxa" w:w="2448"/>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json 非空</w:t>
            </w:r>
          </w:p>
        </w:tc>
        <w:tc>
          <w:tcPr>
            <w:tcW w:type="dxa" w:w="4752"/>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实际主键，例如 report_id，或关联表的完整复合主键</w:t>
            </w:r>
          </w:p>
        </w:tc>
      </w:tr>
      <w:tr>
        <w:trPr>
          <w:cantSplit/>
        </w:trPr>
        <w:tc>
          <w:tcPr>
            <w:tcW w:type="dxa" w:w="2880"/>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object_key_hash</w:t>
            </w:r>
          </w:p>
        </w:tc>
        <w:tc>
          <w:tcPr>
            <w:tcW w:type="dxa" w:w="2448"/>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char(64) 非空</w:t>
            </w:r>
          </w:p>
        </w:tc>
        <w:tc>
          <w:tcPr>
            <w:tcW w:type="dxa" w:w="4752"/>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规范化表名与主键的 SHA256 检索摘要；命中后仍校验原主键</w:t>
            </w:r>
          </w:p>
        </w:tc>
      </w:tr>
      <w:tr>
        <w:trPr>
          <w:cantSplit/>
        </w:trPr>
        <w:tc>
          <w:tcPr>
            <w:tcW w:type="dxa" w:w="2880"/>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change_type</w:t>
            </w:r>
          </w:p>
        </w:tc>
        <w:tc>
          <w:tcPr>
            <w:tcW w:type="dxa" w:w="2448"/>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varchar(24) 非空</w:t>
            </w:r>
          </w:p>
        </w:tc>
        <w:tc>
          <w:tcPr>
            <w:tcW w:type="dxa" w:w="4752"/>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CREATE／UPDATE／SOFT_DELETE／DELETE／RESTORE</w:t>
            </w:r>
          </w:p>
        </w:tc>
      </w:tr>
      <w:tr>
        <w:trPr>
          <w:cantSplit/>
        </w:trPr>
        <w:tc>
          <w:tcPr>
            <w:tcW w:type="dxa" w:w="2880"/>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before_json</w:t>
            </w:r>
          </w:p>
        </w:tc>
        <w:tc>
          <w:tcPr>
            <w:tcW w:type="dxa" w:w="2448"/>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json 可空</w:t>
            </w:r>
          </w:p>
        </w:tc>
        <w:tc>
          <w:tcPr>
            <w:tcW w:type="dxa" w:w="4752"/>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实际变更前的受控快照；新增时为 SQL NULL</w:t>
            </w:r>
          </w:p>
        </w:tc>
      </w:tr>
      <w:tr>
        <w:trPr>
          <w:cantSplit/>
        </w:trPr>
        <w:tc>
          <w:tcPr>
            <w:tcW w:type="dxa" w:w="2880"/>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after_json</w:t>
            </w:r>
          </w:p>
        </w:tc>
        <w:tc>
          <w:tcPr>
            <w:tcW w:type="dxa" w:w="2448"/>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json 可空</w:t>
            </w:r>
          </w:p>
        </w:tc>
        <w:tc>
          <w:tcPr>
            <w:tcW w:type="dxa" w:w="4752"/>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实际变更后的受控快照；物理删除时为 SQL NULL</w:t>
            </w:r>
          </w:p>
        </w:tc>
      </w:tr>
      <w:tr>
        <w:trPr>
          <w:cantSplit/>
        </w:trPr>
        <w:tc>
          <w:tcPr>
            <w:tcW w:type="dxa" w:w="2880"/>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changed_fields_json</w:t>
            </w:r>
          </w:p>
        </w:tc>
        <w:tc>
          <w:tcPr>
            <w:tcW w:type="dxa" w:w="2448"/>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json 非空</w:t>
            </w:r>
          </w:p>
        </w:tc>
        <w:tc>
          <w:tcPr>
            <w:tcW w:type="dxa" w:w="4752"/>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字段路径、中文名快照、类型、单位、旧值、新值、敏感等级</w:t>
            </w:r>
          </w:p>
        </w:tc>
      </w:tr>
      <w:tr>
        <w:trPr>
          <w:cantSplit/>
        </w:trPr>
        <w:tc>
          <w:tcPr>
            <w:tcW w:type="dxa" w:w="2880"/>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context_json</w:t>
            </w:r>
          </w:p>
        </w:tc>
        <w:tc>
          <w:tcPr>
            <w:tcW w:type="dxa" w:w="2448"/>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json 可空</w:t>
            </w:r>
          </w:p>
        </w:tc>
        <w:tc>
          <w:tcPr>
            <w:tcW w:type="dxa" w:w="4752"/>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analysis_id、report_id、生成批次、影响范围及替换关联</w:t>
            </w:r>
          </w:p>
        </w:tc>
      </w:tr>
      <w:tr>
        <w:trPr>
          <w:cantSplit/>
        </w:trPr>
        <w:tc>
          <w:tcPr>
            <w:tcW w:type="dxa" w:w="2880"/>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schema_version</w:t>
            </w:r>
          </w:p>
        </w:tc>
        <w:tc>
          <w:tcPr>
            <w:tcW w:type="dxa" w:w="2448"/>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smallint 非空，初值1</w:t>
            </w:r>
          </w:p>
        </w:tc>
        <w:tc>
          <w:tcPr>
            <w:tcW w:type="dxa" w:w="4752"/>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快照与字段口径版本</w:t>
            </w:r>
          </w:p>
        </w:tc>
      </w:tr>
    </w:tbl>
    <w:p>
      <w:pPr>
        <w:spacing w:after="60" w:before="0" w:line="120" w:lineRule="auto"/>
      </w:pPr>
      <w:r>
        <w:rPr>
          <w:sz w:val="6"/>
        </w:rPr>
      </w:r>
    </w:p>
    <w:p>
      <w:pPr>
        <w:widowControl/>
        <w:jc w:val="left"/>
      </w:pPr>
      <w:r>
        <w:t>索引 idx_change_event(tenant_id, event_id, ordinal)、idx_change_object(tenant_id, table_name, object_key_hash, id)、idx_change_subject(tenant_id, sample_trace_id, id)。同一个表中多个相同“业务唯一字段”仍分别按真实主键存明细；无主键关联表记录完整键列及该次成员快照，不能按名称配对旧新行。</w:t>
      </w:r>
    </w:p>
    <w:p>
      <w:pPr>
        <w:widowControl/>
        <w:jc w:val="left"/>
      </w:pPr>
      <w:r>
        <w:t>before／after 是纳入审计字段集合的完整业务快照，不是任意 ORM 实体的全量序列化。字段集合由模块接入规则明确定义，涵盖影响业务含义的字段；自动更新时间等技术列默认不进入差异。大文件记录摘要与制品引用，不把文件正文塞进每行 JSON。新增、删除即使所有值为空，也必须有对象级动作。实现时对单行快照、事务明细总量和数据库报文设置限额；超限应在提交前明确拒绝或采用受控的不可变外置快照，不能截断内容后标记为完整。</w:t>
      </w:r>
    </w:p>
    <w:p>
      <w:pPr>
        <w:pStyle w:val="Heading2"/>
        <w:jc w:val="left"/>
      </w:pPr>
      <w:r>
        <w:rPr>
          <w:rFonts w:ascii="Microsoft YaHei" w:hAnsi="Microsoft YaHei" w:eastAsia="Microsoft YaHei"/>
          <w:b/>
          <w:color w:val="000000"/>
        </w:rPr>
        <w:t>4.7 报告制品</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2448"/>
        <w:gridCol w:w="4752"/>
      </w:tblGrid>
      <w:tr>
        <w:trPr>
          <w:cantSplit/>
          <w:tblHeader/>
        </w:trPr>
        <w:tc>
          <w:tcPr>
            <w:tcW w:type="dxa" w:w="2880"/>
            <w:vAlign w:val="center"/>
            <w:tcMar>
              <w:top w:w="75" w:type="dxa"/>
              <w:bottom w:w="75" w:type="dxa"/>
              <w:left w:w="90" w:type="dxa"/>
              <w:right w:w="90" w:type="dxa"/>
            </w:tcMar>
            <w:shd w:fill="DCE6F1"/>
          </w:tcPr>
          <w:p>
            <w:pPr>
              <w:spacing w:after="0" w:before="0" w:line="269" w:lineRule="auto"/>
              <w:jc w:val="left"/>
            </w:pPr>
            <w:r>
              <w:rPr>
                <w:rFonts w:ascii="Microsoft YaHei" w:hAnsi="Microsoft YaHei" w:eastAsia="Microsoft YaHei"/>
                <w:b/>
                <w:color w:val="000000"/>
                <w:sz w:val="19"/>
              </w:rPr>
              <w:t>字段</w:t>
            </w:r>
          </w:p>
        </w:tc>
        <w:tc>
          <w:tcPr>
            <w:tcW w:type="dxa" w:w="2448"/>
            <w:vAlign w:val="center"/>
            <w:tcMar>
              <w:top w:w="75" w:type="dxa"/>
              <w:bottom w:w="75" w:type="dxa"/>
              <w:left w:w="90" w:type="dxa"/>
              <w:right w:w="90" w:type="dxa"/>
            </w:tcMar>
            <w:shd w:fill="DCE6F1"/>
          </w:tcPr>
          <w:p>
            <w:pPr>
              <w:spacing w:after="0" w:before="0" w:line="269" w:lineRule="auto"/>
              <w:jc w:val="left"/>
            </w:pPr>
            <w:r>
              <w:rPr>
                <w:rFonts w:ascii="Microsoft YaHei" w:hAnsi="Microsoft YaHei" w:eastAsia="Microsoft YaHei"/>
                <w:b/>
                <w:color w:val="000000"/>
                <w:sz w:val="19"/>
              </w:rPr>
              <w:t>建议类型及可空性</w:t>
            </w:r>
          </w:p>
        </w:tc>
        <w:tc>
          <w:tcPr>
            <w:tcW w:type="dxa" w:w="4752"/>
            <w:vAlign w:val="center"/>
            <w:tcMar>
              <w:top w:w="75" w:type="dxa"/>
              <w:bottom w:w="75" w:type="dxa"/>
              <w:left w:w="90" w:type="dxa"/>
              <w:right w:w="90" w:type="dxa"/>
            </w:tcMar>
            <w:shd w:fill="DCE6F1"/>
          </w:tcPr>
          <w:p>
            <w:pPr>
              <w:spacing w:after="0" w:before="0" w:line="269" w:lineRule="auto"/>
              <w:jc w:val="left"/>
            </w:pPr>
            <w:r>
              <w:rPr>
                <w:rFonts w:ascii="Microsoft YaHei" w:hAnsi="Microsoft YaHei" w:eastAsia="Microsoft YaHei"/>
                <w:b/>
                <w:color w:val="000000"/>
                <w:sz w:val="19"/>
              </w:rPr>
              <w:t>含义与约束</w:t>
            </w:r>
          </w:p>
        </w:tc>
      </w:tr>
      <w:tr>
        <w:trPr>
          <w:cantSplit/>
        </w:trPr>
        <w:tc>
          <w:tcPr>
            <w:tcW w:type="dxa" w:w="2880"/>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sample_trace_id</w:t>
            </w:r>
          </w:p>
        </w:tc>
        <w:tc>
          <w:tcPr>
            <w:tcW w:type="dxa" w:w="2448"/>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bigint 非空</w:t>
            </w:r>
          </w:p>
        </w:tc>
        <w:tc>
          <w:tcPr>
            <w:tcW w:type="dxa" w:w="4752"/>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样本追踪身份</w:t>
            </w:r>
          </w:p>
        </w:tc>
      </w:tr>
      <w:tr>
        <w:trPr>
          <w:cantSplit/>
        </w:trPr>
        <w:tc>
          <w:tcPr>
            <w:tcW w:type="dxa" w:w="2880"/>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analysis_id</w:t>
            </w:r>
          </w:p>
        </w:tc>
        <w:tc>
          <w:tcPr>
            <w:tcW w:type="dxa" w:w="2448"/>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bigint 非空</w:t>
            </w:r>
          </w:p>
        </w:tc>
        <w:tc>
          <w:tcPr>
            <w:tcW w:type="dxa" w:w="4752"/>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分析批次</w:t>
            </w:r>
          </w:p>
        </w:tc>
      </w:tr>
      <w:tr>
        <w:trPr>
          <w:cantSplit/>
        </w:trPr>
        <w:tc>
          <w:tcPr>
            <w:tcW w:type="dxa" w:w="2880"/>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report_id</w:t>
            </w:r>
          </w:p>
        </w:tc>
        <w:tc>
          <w:tcPr>
            <w:tcW w:type="dxa" w:w="2448"/>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bigint 非空</w:t>
            </w:r>
          </w:p>
        </w:tc>
        <w:tc>
          <w:tcPr>
            <w:tcW w:type="dxa" w:w="4752"/>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业务报告记录</w:t>
            </w:r>
          </w:p>
        </w:tc>
      </w:tr>
      <w:tr>
        <w:trPr>
          <w:cantSplit/>
        </w:trPr>
        <w:tc>
          <w:tcPr>
            <w:tcW w:type="dxa" w:w="2880"/>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generation_no</w:t>
            </w:r>
          </w:p>
        </w:tc>
        <w:tc>
          <w:tcPr>
            <w:tcW w:type="dxa" w:w="2448"/>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int 可空</w:t>
            </w:r>
          </w:p>
        </w:tc>
        <w:tc>
          <w:tcPr>
            <w:tcW w:type="dxa" w:w="4752"/>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新生成产物必须为正数；仅未知顺序的历史导入可空，允许失败留下缺号</w:t>
            </w:r>
          </w:p>
        </w:tc>
      </w:tr>
      <w:tr>
        <w:trPr>
          <w:cantSplit/>
        </w:trPr>
        <w:tc>
          <w:tcPr>
            <w:tcW w:type="dxa" w:w="2880"/>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artifact_origin</w:t>
            </w:r>
          </w:p>
        </w:tc>
        <w:tc>
          <w:tcPr>
            <w:tcW w:type="dxa" w:w="2448"/>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varchar(24) 非空</w:t>
            </w:r>
          </w:p>
        </w:tc>
        <w:tc>
          <w:tcPr>
            <w:tcW w:type="dxa" w:w="4752"/>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GENERATED／SIGN_RESULT／LEGACY_IMPORT</w:t>
            </w:r>
          </w:p>
        </w:tc>
      </w:tr>
      <w:tr>
        <w:trPr>
          <w:cantSplit/>
        </w:trPr>
        <w:tc>
          <w:tcPr>
            <w:tcW w:type="dxa" w:w="2880"/>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artifact_kind</w:t>
            </w:r>
          </w:p>
        </w:tc>
        <w:tc>
          <w:tcPr>
            <w:tcW w:type="dxa" w:w="2448"/>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varchar(24) 非空</w:t>
            </w:r>
          </w:p>
        </w:tc>
        <w:tc>
          <w:tcPr>
            <w:tcW w:type="dxa" w:w="4752"/>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INPUT_JSON／DOCX／PDF／SIGNED_PDF</w:t>
            </w:r>
          </w:p>
        </w:tc>
      </w:tr>
      <w:tr>
        <w:trPr>
          <w:cantSplit/>
        </w:trPr>
        <w:tc>
          <w:tcPr>
            <w:tcW w:type="dxa" w:w="2880"/>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parent_artifact_id</w:t>
            </w:r>
          </w:p>
        </w:tc>
        <w:tc>
          <w:tcPr>
            <w:tcW w:type="dxa" w:w="2448"/>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bigint 可空</w:t>
            </w:r>
          </w:p>
        </w:tc>
        <w:tc>
          <w:tcPr>
            <w:tcW w:type="dxa" w:w="4752"/>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签署 PDF 指向实际送签的 PDF</w:t>
            </w:r>
          </w:p>
        </w:tc>
      </w:tr>
      <w:tr>
        <w:trPr>
          <w:cantSplit/>
        </w:trPr>
        <w:tc>
          <w:tcPr>
            <w:tcW w:type="dxa" w:w="2880"/>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event_id</w:t>
            </w:r>
          </w:p>
        </w:tc>
        <w:tc>
          <w:tcPr>
            <w:tcW w:type="dxa" w:w="2448"/>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bigint 非空</w:t>
            </w:r>
          </w:p>
        </w:tc>
        <w:tc>
          <w:tcPr>
            <w:tcW w:type="dxa" w:w="4752"/>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成功登记该产物的事件</w:t>
            </w:r>
          </w:p>
        </w:tc>
      </w:tr>
      <w:tr>
        <w:trPr>
          <w:cantSplit/>
        </w:trPr>
        <w:tc>
          <w:tcPr>
            <w:tcW w:type="dxa" w:w="2880"/>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file_ref</w:t>
            </w:r>
          </w:p>
        </w:tc>
        <w:tc>
          <w:tcPr>
            <w:tcW w:type="dxa" w:w="2448"/>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varchar(1000) 非空</w:t>
            </w:r>
          </w:p>
        </w:tc>
        <w:tc>
          <w:tcPr>
            <w:tcW w:type="dxa" w:w="4752"/>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不可覆盖的内部文件／对象版本引用，不是临时下载 URL</w:t>
            </w:r>
          </w:p>
        </w:tc>
      </w:tr>
      <w:tr>
        <w:trPr>
          <w:cantSplit/>
        </w:trPr>
        <w:tc>
          <w:tcPr>
            <w:tcW w:type="dxa" w:w="2880"/>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file_name</w:t>
            </w:r>
          </w:p>
        </w:tc>
        <w:tc>
          <w:tcPr>
            <w:tcW w:type="dxa" w:w="2448"/>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varchar(500) 非空</w:t>
            </w:r>
          </w:p>
        </w:tc>
        <w:tc>
          <w:tcPr>
            <w:tcW w:type="dxa" w:w="4752"/>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当时名称</w:t>
            </w:r>
          </w:p>
        </w:tc>
      </w:tr>
      <w:tr>
        <w:trPr>
          <w:cantSplit/>
        </w:trPr>
        <w:tc>
          <w:tcPr>
            <w:tcW w:type="dxa" w:w="2880"/>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byte_size</w:t>
            </w:r>
          </w:p>
        </w:tc>
        <w:tc>
          <w:tcPr>
            <w:tcW w:type="dxa" w:w="2448"/>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bigint 非空</w:t>
            </w:r>
          </w:p>
        </w:tc>
        <w:tc>
          <w:tcPr>
            <w:tcW w:type="dxa" w:w="4752"/>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实际文件大小</w:t>
            </w:r>
          </w:p>
        </w:tc>
      </w:tr>
      <w:tr>
        <w:trPr>
          <w:cantSplit/>
        </w:trPr>
        <w:tc>
          <w:tcPr>
            <w:tcW w:type="dxa" w:w="2880"/>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sha256</w:t>
            </w:r>
          </w:p>
        </w:tc>
        <w:tc>
          <w:tcPr>
            <w:tcW w:type="dxa" w:w="2448"/>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char(64) 非空</w:t>
            </w:r>
          </w:p>
        </w:tc>
        <w:tc>
          <w:tcPr>
            <w:tcW w:type="dxa" w:w="4752"/>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实际文件内容校验值</w:t>
            </w:r>
          </w:p>
        </w:tc>
      </w:tr>
      <w:tr>
        <w:trPr>
          <w:cantSplit/>
        </w:trPr>
        <w:tc>
          <w:tcPr>
            <w:tcW w:type="dxa" w:w="2880"/>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input_snapshot_ref</w:t>
            </w:r>
          </w:p>
        </w:tc>
        <w:tc>
          <w:tcPr>
            <w:tcW w:type="dxa" w:w="2448"/>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varchar(1000) 可空</w:t>
            </w:r>
          </w:p>
        </w:tc>
        <w:tc>
          <w:tcPr>
            <w:tcW w:type="dxa" w:w="4752"/>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新生成／签署产物必须有当次冻结输入引用；旧制品无法证明时为空并标缺口</w:t>
            </w:r>
          </w:p>
        </w:tc>
      </w:tr>
      <w:tr>
        <w:trPr>
          <w:cantSplit/>
        </w:trPr>
        <w:tc>
          <w:tcPr>
            <w:tcW w:type="dxa" w:w="2880"/>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dependencies_json</w:t>
            </w:r>
          </w:p>
        </w:tc>
        <w:tc>
          <w:tcPr>
            <w:tcW w:type="dxa" w:w="2448"/>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json 非空</w:t>
            </w:r>
          </w:p>
        </w:tc>
        <w:tc>
          <w:tcPr>
            <w:tcW w:type="dxa" w:w="4752"/>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模板内容摘要、规则快照／版本、知识证据标识、来源文件与生成器版本</w:t>
            </w:r>
          </w:p>
        </w:tc>
      </w:tr>
      <w:tr>
        <w:trPr>
          <w:cantSplit/>
        </w:trPr>
        <w:tc>
          <w:tcPr>
            <w:tcW w:type="dxa" w:w="2880"/>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produced_at</w:t>
            </w:r>
          </w:p>
        </w:tc>
        <w:tc>
          <w:tcPr>
            <w:tcW w:type="dxa" w:w="2448"/>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datetime(3) 非空</w:t>
            </w:r>
          </w:p>
        </w:tc>
        <w:tc>
          <w:tcPr>
            <w:tcW w:type="dxa" w:w="4752"/>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制品实际完成时间</w:t>
            </w:r>
          </w:p>
        </w:tc>
      </w:tr>
    </w:tbl>
    <w:p>
      <w:pPr>
        <w:spacing w:after="60" w:before="0" w:line="120" w:lineRule="auto"/>
      </w:pPr>
      <w:r>
        <w:rPr>
          <w:sz w:val="6"/>
        </w:rPr>
      </w:r>
    </w:p>
    <w:p>
      <w:pPr>
        <w:widowControl/>
        <w:jc w:val="left"/>
      </w:pPr>
      <w:r>
        <w:t>唯一索引 uk_audit_report_artifact(tenant_id, report_id, generation_no, artifact_kind, sha256)。查询索引 idx_artifact_report(tenant_id, report_id, generation_no, id)、idx_artifact_subject(tenant_id, sample_trace_id, id)。同一次生成的不同制品共用 generation_no 和冻结输入；签署件继承该生成序号，但产生独立 artifact id。</w:t>
      </w:r>
    </w:p>
    <w:p>
      <w:pPr>
        <w:widowControl/>
        <w:jc w:val="left"/>
      </w:pPr>
      <w:r>
        <w:t>generation_no 从已持久化的 REPORT_GENERATE_REQUESTED 事件分配，在锁定报告行的短事务内计算并登记；不能仅对成功制品 MAX+1，否则失败后重试会复用序号。业务 report_id 不等于生成序号，也不把签署件、再次发送当作新的一次报告生成。</w:t>
      </w:r>
    </w:p>
    <w:p>
      <w:pPr>
        <w:widowControl/>
        <w:jc w:val="left"/>
      </w:pPr>
      <w:r>
        <w:t>同种制品因补生成／签名重试出现不同内容时分别保留，用事件与 parent_artifact_id 定位选中的实例。同一生成序号、同种产物且字节完全相同时可复用制品记录，但每次有意尝试仍保留独立事件。历史导入不依赖含 NULL 的唯一索引去重，另以稳定导入 event_key 与文件引用、校验值共同识别重放。发送事件记录实际附件 artifact id、校验值、收件范围、发送日志 id 与服务商消息号；不通过报告“当前路径”反查历史附件。</w:t>
      </w:r>
    </w:p>
    <w:p>
      <w:pPr>
        <w:pStyle w:val="Heading2"/>
        <w:jc w:val="left"/>
      </w:pPr>
      <w:r>
        <w:rPr>
          <w:rFonts w:ascii="Microsoft YaHei" w:hAnsi="Microsoft YaHei" w:eastAsia="Microsoft YaHei"/>
          <w:b/>
          <w:color w:val="000000"/>
        </w:rPr>
        <w:t>4.8 建表与迁移边界</w:t>
      </w:r>
    </w:p>
    <w:p>
      <w:pPr>
        <w:widowControl/>
        <w:jc w:val="left"/>
      </w:pPr>
      <w:r>
        <w:t>本期交付设计字典，不提供或执行最终 DDL。进入实现前先核对运行库版本、实际约束、编号重复、外部写入方及上游样本身份，再生成独立的 audit 建表与 trace 列迁移脚本。迁移脚本须走数据库规范闸门和隔离库验证，不修改已发布历史迁移。</w:t>
      </w:r>
    </w:p>
    <w:p>
      <w:pPr>
        <w:widowControl/>
        <w:jc w:val="left"/>
      </w:pPr>
      <w:r>
        <w:t>五张业务表的新增关联索引建议为 (tenant_id, sample_trace_id, 原主键)。分阶段允许存量 trace 列为空，迁移期显式返回关联缺口；新接入操作应保证 trace id 非空或按第3章明示临时身份，不能默默沿用 NULL。迁移结束是否改为数据库 NOT NULL 由异常处置结果决定。</w:t>
      </w:r>
    </w:p>
    <w:p>
      <w:pPr>
        <w:pStyle w:val="Heading1"/>
        <w:jc w:val="left"/>
      </w:pPr>
      <w:r>
        <w:rPr>
          <w:rFonts w:ascii="Microsoft YaHei" w:hAnsi="Microsoft YaHei" w:eastAsia="Microsoft YaHei"/>
          <w:b/>
          <w:color w:val="000000"/>
        </w:rPr>
        <w:t>5 新增修改删除如何持续留痕</w:t>
      </w:r>
    </w:p>
    <w:p>
      <w:pPr>
        <w:pStyle w:val="Heading2"/>
        <w:jc w:val="left"/>
      </w:pPr>
      <w:r>
        <w:rPr>
          <w:rFonts w:ascii="Microsoft YaHei" w:hAnsi="Microsoft YaHei" w:eastAsia="Microsoft YaHei"/>
          <w:b/>
          <w:color w:val="000000"/>
        </w:rPr>
        <w:t>5.1 写入位置与依赖</w:t>
      </w:r>
    </w:p>
    <w:p>
      <w:pPr>
        <w:widowControl/>
        <w:jc w:val="left"/>
      </w:pPr>
      <w:r>
        <w:t>建议新增独立 ruoyi-audit 模块，提供一个具体 AuditRecorder 写入组件和审计查询服务。报告、质控等模块依赖它；审计模块只依赖公共基础能力，不反向依赖报告／质控服务。各业务模块自行解析样本身份并传入，避免循环依赖。</w:t>
      </w:r>
    </w:p>
    <w:p>
      <w:pPr>
        <w:widowControl/>
        <w:jc w:val="left"/>
      </w:pPr>
      <w:r>
        <w:t>统一组件负责校验上下文、保存事件／样本关联／明细以及受控差异处理。业务服务负责确定业务动作、读取旧数据、执行更新、读取结果、解释字段和确定受影响样本。不能用通用 AOP 猜业务关联，也不能向前端暴露通用“写入审计”接口。</w:t>
      </w:r>
    </w:p>
    <w:p>
      <w:pPr>
        <w:widowControl/>
        <w:jc w:val="left"/>
      </w:pPr>
      <w:r>
        <w:t>新增一个需要审计的写操作时，开发者依次完成：识别事务入口；登记对象和字段口径；解析稳定身份；捕获旧值；执行业务并读取实际结果；共同写入事件及明细；补充正常、并发、回滚、重试和权限用例。接入映射随模块代码维护，不增加可被普通管理员关闭关键审计的开关。</w:t>
      </w:r>
    </w:p>
    <w:p>
      <w:pPr>
        <w:pStyle w:val="Heading2"/>
        <w:jc w:val="left"/>
      </w:pPr>
      <w:r>
        <w:rPr>
          <w:rFonts w:ascii="Microsoft YaHei" w:hAnsi="Microsoft YaHei" w:eastAsia="Microsoft YaHei"/>
          <w:b/>
          <w:color w:val="000000"/>
        </w:rPr>
        <w:t>5.2 事务与真实值</w:t>
      </w:r>
    </w:p>
    <w:p>
      <w:pPr>
        <w:widowControl/>
        <w:jc w:val="left"/>
      </w:pPr>
      <w:r>
        <w:t>本地数据库写操作在同一 Spring 事务内完成。先锁定目标行或使用条件更新／版本检查，保存实际旧值，再执行业务，读取最终新值，最后插入事件、subject 与 change。审计插入失败应让该事务整体回滚。</w:t>
      </w:r>
    </w:p>
    <w:p>
      <w:pPr>
        <w:widowControl/>
        <w:jc w:val="left"/>
      </w:pPr>
      <w:r>
        <w:t>涉及新增对象先获取真实自增主键再写审计；多表动作只在最外层业务边界生成一个事件，各协作步骤贡献明细，避免每个 Mapper 重复生成看似独立的动作。插入 subject、alias、artifact 的内部顺序由统一写入组件控制并共同提交；应用校验须处理同事务中新建的父子关系。</w:t>
      </w:r>
    </w:p>
    <w:p>
      <w:pPr>
        <w:widowControl/>
        <w:jc w:val="left"/>
      </w:pPr>
      <w:r>
        <w:t>不能依赖同一 Bean 内部调用带 @Transactional 的私有／普通方法来建立新事务。现有未完整包事务的生成、发送、逐行导入等入口，需按实际提交边界重整为可代理调用或显式事务模板。</w:t>
      </w:r>
    </w:p>
    <w:p>
      <w:pPr>
        <w:widowControl/>
        <w:jc w:val="left"/>
      </w:pPr>
      <w:r>
        <w:t>失败事务不留下 SUCCESS 事件。拒绝、失败尝试需要保留时，在原事务已回滚后另写 FAILED 事件，不伪造 before／after 已变更；独立失败日志也写入失败时应报警，不能谎称已完整留痕。</w:t>
      </w:r>
    </w:p>
    <w:p>
      <w:pPr>
        <w:pStyle w:val="Heading2"/>
        <w:jc w:val="left"/>
      </w:pPr>
      <w:r>
        <w:rPr>
          <w:rFonts w:ascii="Microsoft YaHei" w:hAnsi="Microsoft YaHei" w:eastAsia="Microsoft YaHei"/>
          <w:b/>
          <w:color w:val="000000"/>
        </w:rPr>
        <w:t>5.3 差异口径</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7704"/>
      </w:tblGrid>
      <w:tr>
        <w:trPr>
          <w:cantSplit/>
          <w:tblHeader/>
        </w:trPr>
        <w:tc>
          <w:tcPr>
            <w:tcW w:type="dxa" w:w="2376"/>
            <w:vAlign w:val="center"/>
            <w:tcMar>
              <w:top w:w="75" w:type="dxa"/>
              <w:bottom w:w="75" w:type="dxa"/>
              <w:left w:w="90" w:type="dxa"/>
              <w:right w:w="90" w:type="dxa"/>
            </w:tcMar>
            <w:shd w:fill="DCE6F1"/>
          </w:tcPr>
          <w:p>
            <w:pPr>
              <w:spacing w:after="0" w:before="0" w:line="269" w:lineRule="auto"/>
              <w:jc w:val="left"/>
            </w:pPr>
            <w:r>
              <w:rPr>
                <w:rFonts w:ascii="Microsoft YaHei" w:hAnsi="Microsoft YaHei" w:eastAsia="Microsoft YaHei"/>
                <w:b/>
                <w:color w:val="000000"/>
                <w:sz w:val="19"/>
              </w:rPr>
              <w:t>动作</w:t>
            </w:r>
          </w:p>
        </w:tc>
        <w:tc>
          <w:tcPr>
            <w:tcW w:type="dxa" w:w="7704"/>
            <w:vAlign w:val="center"/>
            <w:tcMar>
              <w:top w:w="75" w:type="dxa"/>
              <w:bottom w:w="75" w:type="dxa"/>
              <w:left w:w="90" w:type="dxa"/>
              <w:right w:w="90" w:type="dxa"/>
            </w:tcMar>
            <w:shd w:fill="DCE6F1"/>
          </w:tcPr>
          <w:p>
            <w:pPr>
              <w:spacing w:after="0" w:before="0" w:line="269" w:lineRule="auto"/>
              <w:jc w:val="left"/>
            </w:pPr>
            <w:r>
              <w:rPr>
                <w:rFonts w:ascii="Microsoft YaHei" w:hAnsi="Microsoft YaHei" w:eastAsia="Microsoft YaHei"/>
                <w:b/>
                <w:color w:val="000000"/>
                <w:sz w:val="19"/>
              </w:rPr>
              <w:t>留痕规则</w:t>
            </w:r>
          </w:p>
        </w:tc>
      </w:tr>
      <w:tr>
        <w:trPr>
          <w:cantSplit/>
        </w:trPr>
        <w:tc>
          <w:tcPr>
            <w:tcW w:type="dxa" w:w="2376"/>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新增</w:t>
            </w:r>
          </w:p>
        </w:tc>
        <w:tc>
          <w:tcPr>
            <w:tcW w:type="dxa" w:w="7704"/>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CREATE；before 为 SQL NULL，after 为实际落库快照与真实主键</w:t>
            </w:r>
          </w:p>
        </w:tc>
      </w:tr>
      <w:tr>
        <w:trPr>
          <w:cantSplit/>
        </w:trPr>
        <w:tc>
          <w:tcPr>
            <w:tcW w:type="dxa" w:w="2376"/>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修改</w:t>
            </w:r>
          </w:p>
        </w:tc>
        <w:tc>
          <w:tcPr>
            <w:tcW w:type="dxa" w:w="7704"/>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UPDATE；比较实际持久化前后值，只列真实变化字段</w:t>
            </w:r>
          </w:p>
        </w:tc>
      </w:tr>
      <w:tr>
        <w:trPr>
          <w:cantSplit/>
        </w:trPr>
        <w:tc>
          <w:tcPr>
            <w:tcW w:type="dxa" w:w="2376"/>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软删除</w:t>
            </w:r>
          </w:p>
        </w:tc>
        <w:tc>
          <w:tcPr>
            <w:tcW w:type="dxa" w:w="7704"/>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SOFT_DELETE；保留前后快照及 del_flag 变化，不隐藏旧记录</w:t>
            </w:r>
          </w:p>
        </w:tc>
      </w:tr>
      <w:tr>
        <w:trPr>
          <w:cantSplit/>
        </w:trPr>
        <w:tc>
          <w:tcPr>
            <w:tcW w:type="dxa" w:w="2376"/>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物理删除</w:t>
            </w:r>
          </w:p>
        </w:tc>
        <w:tc>
          <w:tcPr>
            <w:tcW w:type="dxa" w:w="7704"/>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DELETE；删除前保存快照，after 为 SQL NULL；级联逐行纳入同事件</w:t>
            </w:r>
          </w:p>
        </w:tc>
      </w:tr>
      <w:tr>
        <w:trPr>
          <w:cantSplit/>
        </w:trPr>
        <w:tc>
          <w:tcPr>
            <w:tcW w:type="dxa" w:w="2376"/>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删除后重建／整批替换</w:t>
            </w:r>
          </w:p>
        </w:tc>
        <w:tc>
          <w:tcPr>
            <w:tcW w:type="dxa" w:w="7704"/>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同事件保存 DELETE／SOFT_DELETE 与 CREATE 明细；真实新旧主键分别保留</w:t>
            </w:r>
          </w:p>
        </w:tc>
      </w:tr>
      <w:tr>
        <w:trPr>
          <w:cantSplit/>
        </w:trPr>
        <w:tc>
          <w:tcPr>
            <w:tcW w:type="dxa" w:w="2376"/>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既有业务恢复软删行</w:t>
            </w:r>
          </w:p>
        </w:tc>
        <w:tc>
          <w:tcPr>
            <w:tcW w:type="dxa" w:w="7704"/>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RESTORE 加字段差异；这是被审计业务动作，不是审计提供还原能力</w:t>
            </w:r>
          </w:p>
        </w:tc>
      </w:tr>
      <w:tr>
        <w:trPr>
          <w:cantSplit/>
        </w:trPr>
        <w:tc>
          <w:tcPr>
            <w:tcW w:type="dxa" w:w="2376"/>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值未变化</w:t>
            </w:r>
          </w:p>
        </w:tc>
        <w:tc>
          <w:tcPr>
            <w:tcW w:type="dxa" w:w="7704"/>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明确用户或接口处理记 NO_CHANGE，不造 UPDATE；普通读取不刷时间线</w:t>
            </w:r>
          </w:p>
        </w:tc>
      </w:tr>
    </w:tbl>
    <w:p>
      <w:pPr>
        <w:spacing w:after="60" w:before="0" w:line="120" w:lineRule="auto"/>
      </w:pPr>
      <w:r>
        <w:rPr>
          <w:sz w:val="6"/>
        </w:rPr>
      </w:r>
    </w:p>
    <w:p>
      <w:pPr>
        <w:widowControl/>
        <w:jc w:val="left"/>
      </w:pPr>
      <w:r>
        <w:t>未传字段与显式清空必须区分。PATCH／合并更新以最终数据库值为准；SQL NULL、空字符串、数字0、字符串“0”和空数组不能混同。decimal 依据业务精度比较，字符串不擅自 trim 或改大小写。JSON 对象按键语义比较；无序集合按已确认业务键比较，有序列表保留顺序。</w:t>
      </w:r>
    </w:p>
    <w:p>
      <w:pPr>
        <w:widowControl/>
        <w:jc w:val="left"/>
      </w:pPr>
      <w:r>
        <w:t>新旧子记录不按数组下标配对。保留主键时按主键比较；换了主键则记录删除／新增，并可在 context_json 给出业务替换说明。一次更新命中多行时捕获所有真实主键，校验数量，不因某业务字段“看起来唯一”而只留一条。</w:t>
      </w:r>
    </w:p>
    <w:p>
      <w:pPr>
        <w:pStyle w:val="Heading2"/>
        <w:jc w:val="left"/>
      </w:pPr>
      <w:r>
        <w:rPr>
          <w:rFonts w:ascii="Microsoft YaHei" w:hAnsi="Microsoft YaHei" w:eastAsia="Microsoft YaHei"/>
          <w:b/>
          <w:color w:val="000000"/>
        </w:rPr>
        <w:t>5.4 批量与跨表</w:t>
      </w:r>
    </w:p>
    <w:p>
      <w:pPr>
        <w:widowControl/>
        <w:jc w:val="left"/>
      </w:pPr>
      <w:r>
        <w:t>一次原子事务修改多个样本时，保存一个事件、多条 subject、多个 change；每个 change 标记所属样本或共享范围。页面按样本裁剪明细，不泄露同一事件中其他样本数据。</w:t>
      </w:r>
    </w:p>
    <w:p>
      <w:pPr>
        <w:widowControl/>
        <w:jc w:val="left"/>
      </w:pPr>
      <w:r>
        <w:t>Excel 等允许逐行部分成功的任务使用 batch_id 聚合，逐行或约定分块事务独立记录；不能先提交所有业务后在循环外补一次日志。若现有接口是整批事务，应保持整批共同回滚语义；只有明确变更接口约定后才改为分块提交。跨药企批次按药企分事件，批次汇总也只能返回授权范围。</w:t>
      </w:r>
    </w:p>
    <w:p>
      <w:pPr>
        <w:widowControl/>
        <w:jc w:val="left"/>
      </w:pPr>
      <w:r>
        <w:t>报告提交审核可能同时更新 analysis_report、history_somatic／history_germline、report_variant_history 及复用日志，统一作为一个“报告提交”事件保存。驳回重提时，现有检出历史的 upsert 前后值也必须进入审计。</w:t>
      </w:r>
    </w:p>
    <w:p>
      <w:pPr>
        <w:widowControl/>
        <w:jc w:val="left"/>
      </w:pPr>
      <w:r>
        <w:t>共享 history 行的修改要记录真实 history 主键及本次操作样本的使用上下文，不把该行的当前值显示成所有旧样本当时的解读结论。产品、规则、模板变更作为配置对象事件单独留痕；某样本实际采用的版本在处理事件／报告输入快照中冻结，不向所有历史样本追加“发生过配置修改”的伪事件。</w:t>
      </w:r>
    </w:p>
    <w:p>
      <w:pPr>
        <w:pStyle w:val="Heading2"/>
        <w:jc w:val="left"/>
      </w:pPr>
      <w:r>
        <w:rPr>
          <w:rFonts w:ascii="Microsoft YaHei" w:hAnsi="Microsoft YaHei" w:eastAsia="Microsoft YaHei"/>
          <w:b/>
          <w:color w:val="000000"/>
        </w:rPr>
        <w:t>5.5 报告生成签署与交付</w:t>
      </w:r>
    </w:p>
    <w:p>
      <w:pPr>
        <w:widowControl/>
        <w:jc w:val="left"/>
      </w:pPr>
      <w:r>
        <w:t>生成采用短事务登记意图并冻结本次输入，再在事务外渲染文件，最后短事务登记制品与结果。并发期间记录版本已变化时，保存“生成结果已过期，未应用”的 SUPERSEDED 事件，不能把旧输入产物覆盖成当前报告。文件校验与永久存储成功后才登记可查询产物；失败记录失败阶段，不把半成品标成正式版本。</w:t>
      </w:r>
    </w:p>
    <w:p>
      <w:pPr>
        <w:widowControl/>
        <w:jc w:val="left"/>
      </w:pPr>
      <w:r>
        <w:t>报告文件本身继续使用不覆盖的路径，并纳入保留管理。历史页面只能通过 artifact id 鉴权下载；若旧文件已缺失，显示“元数据存在，文件不可用”，不能拿当前文件替代。input_snapshot_ref 指向当次实际输入，dependencies_json 不仅保存会被覆盖的模板／规则 id，还保存内容摘要或受保留的具体快照。</w:t>
      </w:r>
    </w:p>
    <w:p>
      <w:pPr>
        <w:widowControl/>
        <w:jc w:val="left"/>
      </w:pPr>
      <w:r>
        <w:t>外部邮件或签名不能通过数据库回滚撤销。先持久化 REQUESTED／STARTED 事件，再调用服务，随后追加 SUCCESS／FAILED／UNKNOWN 事件；超时无法判断是否已送达时记 UNKNOWN，后续查证再追加结果。每次有意重试用新的尝试号，与原事件建立因果关联。服务商支持的幂等键与本地去重共同使用，不宣称数据库事务能保证外部动作恰好一次。</w:t>
      </w:r>
    </w:p>
    <w:p>
      <w:pPr>
        <w:widowControl/>
        <w:jc w:val="left"/>
      </w:pPr>
      <w:r>
        <w:t>邮件发送成功仅表示当前已验证的发送阶段成功；没有收件回执时不写“收件人已收到”。签名结果须关联具体送签制品与签署流程。生产环境选择哪种签名实现需要另行核验，本设计不把发现签名类当作已验证真实签名链路。</w:t>
      </w:r>
    </w:p>
    <w:p>
      <w:pPr>
        <w:pStyle w:val="Heading2"/>
        <w:jc w:val="left"/>
      </w:pPr>
      <w:r>
        <w:rPr>
          <w:rFonts w:ascii="Microsoft YaHei" w:hAnsi="Microsoft YaHei" w:eastAsia="Microsoft YaHei"/>
          <w:b/>
          <w:color w:val="000000"/>
        </w:rPr>
        <w:t>5.6 后台任务直接写库及维护</w:t>
      </w:r>
    </w:p>
    <w:p>
      <w:pPr>
        <w:widowControl/>
        <w:jc w:val="left"/>
      </w:pPr>
      <w:r>
        <w:t>所有受控写入入口均须携带 actor_type、稳定任务／服务身份、operation_id、受影响样本及实际输入摘要。绕过应用的 SQL、外部脚本和外部集群驱动无法靠应用埋点自动补齐；实施时应列出写入清单并改为受控接口／受控写入库。</w:t>
      </w:r>
    </w:p>
    <w:p>
      <w:pPr>
        <w:widowControl/>
        <w:jc w:val="left"/>
      </w:pPr>
      <w:r>
        <w:t>确需保留直写时，应提供经过验证的数据库变更采集或受控脚本同事务审计作为补充，并解决操作者归因、删除前值、重放去重及缺失检测。binlog 本身不能补出业务意图和修改原因。在所有实际写入方完成接入前，只能报告“已覆盖的入口”，不能报告全系统历史完整。</w:t>
      </w:r>
    </w:p>
    <w:p>
      <w:pPr>
        <w:widowControl/>
        <w:jc w:val="left"/>
      </w:pPr>
      <w:r>
        <w:t>审计证据无普通修改、删除、清空入口；应用数据库账户拒绝审计表 UPDATE、DELETE、TRUNCATE、DDL。查询索引或缓存可重建，证据不可被缓存清理任务删除。DBA 维护、保留到期处置、独立备份与防篡改归档须另走受控运维程序并留记录，不在本期增加审计删除接口。</w:t>
      </w:r>
    </w:p>
    <w:p>
      <w:pPr>
        <w:pStyle w:val="Heading1"/>
        <w:jc w:val="left"/>
      </w:pPr>
      <w:r>
        <w:rPr>
          <w:rFonts w:ascii="Microsoft YaHei" w:hAnsi="Microsoft YaHei" w:eastAsia="Microsoft YaHei"/>
          <w:b/>
          <w:color w:val="000000"/>
        </w:rPr>
        <w:t>6 如何查询</w:t>
      </w:r>
    </w:p>
    <w:p>
      <w:pPr>
        <w:pStyle w:val="Heading2"/>
        <w:jc w:val="left"/>
      </w:pPr>
      <w:r>
        <w:rPr>
          <w:rFonts w:ascii="Microsoft YaHei" w:hAnsi="Microsoft YaHei" w:eastAsia="Microsoft YaHei"/>
          <w:b/>
          <w:color w:val="000000"/>
        </w:rPr>
        <w:t>6.1 查询路径</w:t>
      </w:r>
    </w:p>
    <w:p>
      <w:pPr>
        <w:widowControl/>
        <w:jc w:val="left"/>
      </w:pPr>
      <w:r>
        <w:t>先根据租户权限和当前／历史编号搜索 audit_sample_alias，返回追踪根候选；用户选定 sample_trace_id 后，按 audit_event_subject 查事件，再批量取事件头与该样本的 change。主链查询不依赖 sample_file 当前是否存在，也不要求报告仍是最新版本。</w:t>
      </w:r>
    </w:p>
    <w:p>
      <w:pPr>
        <w:widowControl/>
        <w:jc w:val="left"/>
      </w:pPr>
      <w:r>
        <w:t>直接从样本、流转或报告页面进入时传已授权的内部 id，由服务端解析 trace id；仍需重新检查权限，不能因为从业务页面跳转就信任前端传入的租户。原业务行被删除后，只要具有相应历史查看权限，仍可通过审计主体索引查询。</w:t>
      </w:r>
    </w:p>
    <w:p>
      <w:pPr>
        <w:pStyle w:val="Heading2"/>
        <w:jc w:val="left"/>
      </w:pPr>
      <w:r>
        <w:rPr>
          <w:rFonts w:ascii="Microsoft YaHei" w:hAnsi="Microsoft YaHei" w:eastAsia="Microsoft YaHei"/>
          <w:b/>
          <w:color w:val="000000"/>
        </w:rPr>
        <w:t>6.2 拟议只读接口</w:t>
      </w:r>
    </w:p>
    <w:p>
      <w:pPr>
        <w:widowControl/>
        <w:jc w:val="left"/>
      </w:pPr>
      <w:r>
        <w:t>下列路径、权限均是本方案建议，尚未注册。Bigint id 和游标内的 id 均按字符串传输。租户范围由后端授权上下文决定，管理员跨药企筛选也须经过显式权限校验。</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72"/>
        <w:gridCol w:w="4291"/>
        <w:gridCol w:w="2117"/>
      </w:tblGrid>
      <w:tr>
        <w:trPr>
          <w:cantSplit/>
          <w:tblHeader/>
        </w:trPr>
        <w:tc>
          <w:tcPr>
            <w:tcW w:type="dxa" w:w="3672"/>
            <w:vAlign w:val="center"/>
            <w:tcMar>
              <w:top w:w="75" w:type="dxa"/>
              <w:bottom w:w="75" w:type="dxa"/>
              <w:left w:w="90" w:type="dxa"/>
              <w:right w:w="90" w:type="dxa"/>
            </w:tcMar>
            <w:shd w:fill="DCE6F1"/>
          </w:tcPr>
          <w:p>
            <w:pPr>
              <w:spacing w:after="0" w:before="0" w:line="269" w:lineRule="auto"/>
              <w:jc w:val="left"/>
            </w:pPr>
            <w:r>
              <w:rPr>
                <w:rFonts w:ascii="Microsoft YaHei" w:hAnsi="Microsoft YaHei" w:eastAsia="Microsoft YaHei"/>
                <w:b/>
                <w:color w:val="000000"/>
                <w:sz w:val="19"/>
              </w:rPr>
              <w:t>接口</w:t>
            </w:r>
          </w:p>
        </w:tc>
        <w:tc>
          <w:tcPr>
            <w:tcW w:type="dxa" w:w="4291"/>
            <w:vAlign w:val="center"/>
            <w:tcMar>
              <w:top w:w="75" w:type="dxa"/>
              <w:bottom w:w="75" w:type="dxa"/>
              <w:left w:w="90" w:type="dxa"/>
              <w:right w:w="90" w:type="dxa"/>
            </w:tcMar>
            <w:shd w:fill="DCE6F1"/>
          </w:tcPr>
          <w:p>
            <w:pPr>
              <w:spacing w:after="0" w:before="0" w:line="269" w:lineRule="auto"/>
              <w:jc w:val="left"/>
            </w:pPr>
            <w:r>
              <w:rPr>
                <w:rFonts w:ascii="Microsoft YaHei" w:hAnsi="Microsoft YaHei" w:eastAsia="Microsoft YaHei"/>
                <w:b/>
                <w:color w:val="000000"/>
                <w:sz w:val="19"/>
              </w:rPr>
              <w:t>主要参数与返回</w:t>
            </w:r>
          </w:p>
        </w:tc>
        <w:tc>
          <w:tcPr>
            <w:tcW w:type="dxa" w:w="2117"/>
            <w:vAlign w:val="center"/>
            <w:tcMar>
              <w:top w:w="75" w:type="dxa"/>
              <w:bottom w:w="75" w:type="dxa"/>
              <w:left w:w="90" w:type="dxa"/>
              <w:right w:w="90" w:type="dxa"/>
            </w:tcMar>
            <w:shd w:fill="DCE6F1"/>
          </w:tcPr>
          <w:p>
            <w:pPr>
              <w:spacing w:after="0" w:before="0" w:line="269" w:lineRule="auto"/>
              <w:jc w:val="left"/>
            </w:pPr>
            <w:r>
              <w:rPr>
                <w:rFonts w:ascii="Microsoft YaHei" w:hAnsi="Microsoft YaHei" w:eastAsia="Microsoft YaHei"/>
                <w:b/>
                <w:color w:val="000000"/>
                <w:sz w:val="19"/>
              </w:rPr>
              <w:t>拟议权限</w:t>
            </w:r>
          </w:p>
        </w:tc>
      </w:tr>
      <w:tr>
        <w:trPr>
          <w:cantSplit/>
        </w:trPr>
        <w:tc>
          <w:tcPr>
            <w:tcW w:type="dxa" w:w="3672"/>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GET /audit/samples</w:t>
            </w:r>
          </w:p>
        </w:tc>
        <w:tc>
          <w:tcPr>
            <w:tcW w:type="dxa" w:w="4291"/>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keyword、aliasType、来源筛选、pageNum/pageSize；返回候选根、编号摘要、来源、关联完整性与记录数</w:t>
            </w:r>
          </w:p>
        </w:tc>
        <w:tc>
          <w:tcPr>
            <w:tcW w:type="dxa" w:w="2117"/>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audit:sample:list</w:t>
            </w:r>
          </w:p>
        </w:tc>
      </w:tr>
      <w:tr>
        <w:trPr>
          <w:cantSplit/>
        </w:trPr>
        <w:tc>
          <w:tcPr>
            <w:tcW w:type="dxa" w:w="3672"/>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GET /audit/samples/{traceId}/overview</w:t>
            </w:r>
          </w:p>
        </w:tc>
        <w:tc>
          <w:tcPr>
            <w:tcW w:type="dxa" w:w="4291"/>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返回样本身份、当前摘要、存量基线、已知分析批次、全部报告及缺口提示</w:t>
            </w:r>
          </w:p>
        </w:tc>
        <w:tc>
          <w:tcPr>
            <w:tcW w:type="dxa" w:w="2117"/>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audit:sample:query</w:t>
            </w:r>
          </w:p>
        </w:tc>
      </w:tr>
      <w:tr>
        <w:trPr>
          <w:cantSplit/>
        </w:trPr>
        <w:tc>
          <w:tcPr>
            <w:tcW w:type="dxa" w:w="3672"/>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GET /audit/samples/{traceId}/events</w:t>
            </w:r>
          </w:p>
        </w:tc>
        <w:tc>
          <w:tcPr>
            <w:tcW w:type="dxa" w:w="4291"/>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stage、eventCode、outcome、analysisId、reportId、时间区间、cursor、pageSize；返回事件卡片</w:t>
            </w:r>
          </w:p>
        </w:tc>
        <w:tc>
          <w:tcPr>
            <w:tcW w:type="dxa" w:w="2117"/>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audit:sample:query</w:t>
            </w:r>
          </w:p>
        </w:tc>
      </w:tr>
      <w:tr>
        <w:trPr>
          <w:cantSplit/>
        </w:trPr>
        <w:tc>
          <w:tcPr>
            <w:tcW w:type="dxa" w:w="3672"/>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GET /audit/events/{eventId}</w:t>
            </w:r>
          </w:p>
        </w:tc>
        <w:tc>
          <w:tcPr>
            <w:tcW w:type="dxa" w:w="4291"/>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必须附当前 traceId 查询上下文；返回该样本可见的多表明细与因果事件</w:t>
            </w:r>
          </w:p>
        </w:tc>
        <w:tc>
          <w:tcPr>
            <w:tcW w:type="dxa" w:w="2117"/>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audit:event:query</w:t>
            </w:r>
          </w:p>
        </w:tc>
      </w:tr>
      <w:tr>
        <w:trPr>
          <w:cantSplit/>
        </w:trPr>
        <w:tc>
          <w:tcPr>
            <w:tcW w:type="dxa" w:w="3672"/>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GET /audit/samples/{traceId}/reports</w:t>
            </w:r>
          </w:p>
        </w:tc>
        <w:tc>
          <w:tcPr>
            <w:tcW w:type="dxa" w:w="4291"/>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返回所有 analysisId／reportId、各次生成及签署制品、各次交付事件</w:t>
            </w:r>
          </w:p>
        </w:tc>
        <w:tc>
          <w:tcPr>
            <w:tcW w:type="dxa" w:w="2117"/>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audit:sample:query</w:t>
            </w:r>
          </w:p>
        </w:tc>
      </w:tr>
      <w:tr>
        <w:trPr>
          <w:cantSplit/>
        </w:trPr>
        <w:tc>
          <w:tcPr>
            <w:tcW w:type="dxa" w:w="3672"/>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GET /audit/artifacts/{artifactId}/download</w:t>
            </w:r>
          </w:p>
        </w:tc>
        <w:tc>
          <w:tcPr>
            <w:tcW w:type="dxa" w:w="4291"/>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校验样本与制品权限后读取受控文件；记录访问，不接受客户端文件路径</w:t>
            </w:r>
          </w:p>
        </w:tc>
        <w:tc>
          <w:tcPr>
            <w:tcW w:type="dxa" w:w="2117"/>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audit:artifact:download</w:t>
            </w:r>
          </w:p>
        </w:tc>
      </w:tr>
    </w:tbl>
    <w:p>
      <w:pPr>
        <w:spacing w:after="60" w:before="0" w:line="120" w:lineRule="auto"/>
      </w:pPr>
      <w:r>
        <w:rPr>
          <w:sz w:val="6"/>
        </w:rPr>
      </w:r>
    </w:p>
    <w:p>
      <w:pPr>
        <w:widowControl/>
        <w:jc w:val="left"/>
      </w:pPr>
      <w:r>
        <w:t>不提供审计新增、编辑、删除、复核、还原 HTTP 接口。本期不实现通用审计导出；后续需要时独立设计权限、字段脱敏与导出行为留痕。</w:t>
      </w:r>
    </w:p>
    <w:p>
      <w:pPr>
        <w:widowControl/>
        <w:jc w:val="left"/>
      </w:pPr>
      <w:r>
        <w:t>候选搜索对编号优先精确匹配，允许历史别名；确需模糊检索时限制长度、页大小及频率。时间线默认按 event_id 倒序进行键集分页，首屏返回 ceilingEventId，后续请求固定上界，避免新写入使翻页重复；新数据通过刷新获取。记录时间筛选与排序口径分别标明，不伪装为完整时间点数据库快照。</w:t>
      </w:r>
    </w:p>
    <w:p>
      <w:pPr>
        <w:pStyle w:val="Heading2"/>
        <w:jc w:val="left"/>
      </w:pPr>
      <w:r>
        <w:rPr>
          <w:rFonts w:ascii="Microsoft YaHei" w:hAnsi="Microsoft YaHei" w:eastAsia="Microsoft YaHei"/>
          <w:b/>
          <w:color w:val="000000"/>
        </w:rPr>
        <w:t>6.3 可见性与性能</w:t>
      </w:r>
    </w:p>
    <w:p>
      <w:pPr>
        <w:widowControl/>
        <w:jc w:val="left"/>
      </w:pPr>
      <w:r>
        <w:t>审计权限与原业务权限分别校验，范围至少为药企与当前已有的业务授权；未来增加项目／试验限制时同样下推到候选、统计、列表、详情与文件。批次标题和计数也不能暴露其他药企数据。多样本事件详情只返回当前样本明细；共享对象快照须有共享配置查看权限。</w:t>
      </w:r>
    </w:p>
    <w:p>
      <w:pPr>
        <w:widowControl/>
        <w:jc w:val="left"/>
      </w:pPr>
      <w:r>
        <w:t>列表只返回短摘要、变化行数与字段数；展开事件才取 before／after。一页事件一次批量加载 subject 和统计，不按每个事件逐次查多张业务表。大 JSON 延迟加载，不截断后冒称完整；前端摘要截断时可展开全文。文件和快照按同一受控保留策略管理，审计保留不短于其需要支撑的业务记录。</w:t>
      </w:r>
    </w:p>
    <w:p>
      <w:pPr>
        <w:widowControl/>
        <w:jc w:val="left"/>
      </w:pPr>
      <w:r>
        <w:t>当前样本摘要可来自最新授权业务数据或审计投影，但必须标为“当前信息”；事件详情使用当时快照。显示脱敏不应销毁原本必须保留的业务证据；敏感原值只在有授权的详情中返回，不在列表、URL、标题中输出。</w:t>
      </w:r>
    </w:p>
    <w:p>
      <w:pPr>
        <w:pStyle w:val="Heading1"/>
        <w:jc w:val="left"/>
      </w:pPr>
      <w:r>
        <w:rPr>
          <w:rFonts w:ascii="Microsoft YaHei" w:hAnsi="Microsoft YaHei" w:eastAsia="Microsoft YaHei"/>
          <w:b/>
          <w:color w:val="000000"/>
        </w:rPr>
        <w:t>7 在哪里与怎样展示</w:t>
      </w:r>
    </w:p>
    <w:p>
      <w:pPr>
        <w:pStyle w:val="Heading2"/>
        <w:jc w:val="left"/>
      </w:pPr>
      <w:r>
        <w:rPr>
          <w:rFonts w:ascii="Microsoft YaHei" w:hAnsi="Microsoft YaHei" w:eastAsia="Microsoft YaHei"/>
          <w:b/>
          <w:color w:val="000000"/>
        </w:rPr>
        <w:t>7.1 入口</w:t>
      </w:r>
    </w:p>
    <w:p>
      <w:pPr>
        <w:widowControl/>
        <w:jc w:val="left"/>
      </w:pPr>
      <w:r>
        <w:t>建议新增“审计追踪 → 样本履历”独立页面，拟议路由 /audit/samples。候选结果包含当前与曾用编号、药企、内部追踪号、录单主键、来源摘要、分析次数、报告数和关联缺口；同号多条时必须先选择具体实例。</w:t>
      </w:r>
    </w:p>
    <w:p>
      <w:pPr>
        <w:widowControl/>
        <w:jc w:val="left"/>
      </w:pPr>
      <w:r>
        <w:t>在现有 report/sample-info/index.vue、report/sample-flow/index.vue、质控列表及报告解读详情增加“查看履历”入口。样本流转行带 analysisId 进入时预选该批次，报告详情带 reportId 进入时预选该报告，同时允许切换“该样本全部历史”。这些均为拟议界面增量，当前未实现。</w:t>
      </w:r>
    </w:p>
    <w:p>
      <w:pPr>
        <w:pStyle w:val="Heading2"/>
        <w:jc w:val="left"/>
      </w:pPr>
      <w:r>
        <w:rPr>
          <w:rFonts w:ascii="Microsoft YaHei" w:hAnsi="Microsoft YaHei" w:eastAsia="Microsoft YaHei"/>
          <w:b/>
          <w:color w:val="000000"/>
        </w:rPr>
        <w:t>7.2 样本履历页面</w:t>
      </w:r>
    </w:p>
    <w:p>
      <w:pPr>
        <w:widowControl/>
        <w:jc w:val="left"/>
      </w:pPr>
      <w:r>
        <w:t>页面顶部展示稳定追踪号、当前编号、曾用编号、所属药企和历史起点；编号重复、临时身份、缺失关联或启用前历史不完整须直接可见。</w:t>
      </w:r>
    </w:p>
    <w:p>
      <w:pPr>
        <w:widowControl/>
        <w:jc w:val="left"/>
      </w:pPr>
      <w:r>
        <w:t>主体使用三个页签：“过程时间线”“报告与交付”“对象变更”。筛选区提供环节、操作、结果、操作人、来源、日期、分析批次和报告。筛选后的计数要标为当前条件范围，不能把少量事件当成完整履历。</w:t>
      </w:r>
    </w:p>
    <w:p>
      <w:pPr>
        <w:widowControl/>
        <w:jc w:val="left"/>
      </w:pPr>
      <w:r>
        <w:t>时间线按事件展示，卡片包括动作、时间、操作者／来源、结果、分析批次、报告、摘要及变化数。展开后按对象／表分组，逐行查看业务主键与“字段、原值、新值、单位”。新增与删除显示完整受控快照；同一事件涉及多张表时只展示一次主动作。</w:t>
      </w:r>
    </w:p>
    <w:p>
      <w:pPr>
        <w:widowControl/>
        <w:jc w:val="left"/>
      </w:pPr>
      <w:r>
        <w:t>过程是可循环、可失败的事实序列，不能用一条必然单向完成的进度条替代历史。现有瞬时态可在同一事件 context_json 中保存 transitions 数组，例如 41→43→50，界面显示“审核通过并发起签署”，同时保留最终数据库前后快照；不伪造不存在的独立已提交中间行。</w:t>
      </w:r>
    </w:p>
    <w:p>
      <w:pPr>
        <w:pStyle w:val="Heading2"/>
        <w:jc w:val="left"/>
      </w:pPr>
      <w:r>
        <w:rPr>
          <w:rFonts w:ascii="Microsoft YaHei" w:hAnsi="Microsoft YaHei" w:eastAsia="Microsoft YaHei"/>
          <w:b/>
          <w:color w:val="000000"/>
        </w:rPr>
        <w:t>7.3 设计示例</w:t>
      </w:r>
    </w:p>
    <w:p>
      <w:pPr>
        <w:widowControl/>
        <w:jc w:val="left"/>
      </w:pPr>
      <w:r>
        <w:t>以下编号与数值仅为设计示例，非运行数据。样本追踪号 T100、样本编号 S001，有两个分析批次 A10、A20。</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3168"/>
        <w:gridCol w:w="4680"/>
      </w:tblGrid>
      <w:tr>
        <w:trPr>
          <w:cantSplit/>
          <w:tblHeader/>
        </w:trPr>
        <w:tc>
          <w:tcPr>
            <w:tcW w:type="dxa" w:w="2232"/>
            <w:vAlign w:val="center"/>
            <w:tcMar>
              <w:top w:w="75" w:type="dxa"/>
              <w:bottom w:w="75" w:type="dxa"/>
              <w:left w:w="90" w:type="dxa"/>
              <w:right w:w="90" w:type="dxa"/>
            </w:tcMar>
            <w:shd w:fill="DCE6F1"/>
          </w:tcPr>
          <w:p>
            <w:pPr>
              <w:spacing w:after="0" w:before="0" w:line="269" w:lineRule="auto"/>
              <w:jc w:val="left"/>
            </w:pPr>
            <w:r>
              <w:rPr>
                <w:rFonts w:ascii="Microsoft YaHei" w:hAnsi="Microsoft YaHei" w:eastAsia="Microsoft YaHei"/>
                <w:b/>
                <w:color w:val="000000"/>
                <w:sz w:val="19"/>
              </w:rPr>
              <w:t>顺序</w:t>
            </w:r>
          </w:p>
        </w:tc>
        <w:tc>
          <w:tcPr>
            <w:tcW w:type="dxa" w:w="3168"/>
            <w:vAlign w:val="center"/>
            <w:tcMar>
              <w:top w:w="75" w:type="dxa"/>
              <w:bottom w:w="75" w:type="dxa"/>
              <w:left w:w="90" w:type="dxa"/>
              <w:right w:w="90" w:type="dxa"/>
            </w:tcMar>
            <w:shd w:fill="DCE6F1"/>
          </w:tcPr>
          <w:p>
            <w:pPr>
              <w:spacing w:after="0" w:before="0" w:line="269" w:lineRule="auto"/>
              <w:jc w:val="left"/>
            </w:pPr>
            <w:r>
              <w:rPr>
                <w:rFonts w:ascii="Microsoft YaHei" w:hAnsi="Microsoft YaHei" w:eastAsia="Microsoft YaHei"/>
                <w:b/>
                <w:color w:val="000000"/>
                <w:sz w:val="19"/>
              </w:rPr>
              <w:t>环节与事件</w:t>
            </w:r>
          </w:p>
        </w:tc>
        <w:tc>
          <w:tcPr>
            <w:tcW w:type="dxa" w:w="4680"/>
            <w:vAlign w:val="center"/>
            <w:tcMar>
              <w:top w:w="75" w:type="dxa"/>
              <w:bottom w:w="75" w:type="dxa"/>
              <w:left w:w="90" w:type="dxa"/>
              <w:right w:w="90" w:type="dxa"/>
            </w:tcMar>
            <w:shd w:fill="DCE6F1"/>
          </w:tcPr>
          <w:p>
            <w:pPr>
              <w:spacing w:after="0" w:before="0" w:line="269" w:lineRule="auto"/>
              <w:jc w:val="left"/>
            </w:pPr>
            <w:r>
              <w:rPr>
                <w:rFonts w:ascii="Microsoft YaHei" w:hAnsi="Microsoft YaHei" w:eastAsia="Microsoft YaHei"/>
                <w:b/>
                <w:color w:val="000000"/>
                <w:sz w:val="19"/>
              </w:rPr>
              <w:t>页面可观察内容</w:t>
            </w:r>
          </w:p>
        </w:tc>
      </w:tr>
      <w:tr>
        <w:trPr>
          <w:cantSplit/>
        </w:trPr>
        <w:tc>
          <w:tcPr>
            <w:tcW w:type="dxa" w:w="2232"/>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1</w:t>
            </w:r>
          </w:p>
        </w:tc>
        <w:tc>
          <w:tcPr>
            <w:tcW w:type="dxa" w:w="3168"/>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录单新增</w:t>
            </w:r>
          </w:p>
        </w:tc>
        <w:tc>
          <w:tcPr>
            <w:tcW w:type="dxa" w:w="4680"/>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sample_file#101；样本信息创建；完整新增快照</w:t>
            </w:r>
          </w:p>
        </w:tc>
      </w:tr>
      <w:tr>
        <w:trPr>
          <w:cantSplit/>
        </w:trPr>
        <w:tc>
          <w:tcPr>
            <w:tcW w:type="dxa" w:w="2232"/>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2</w:t>
            </w:r>
          </w:p>
        </w:tc>
        <w:tc>
          <w:tcPr>
            <w:tcW w:type="dxa" w:w="3168"/>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湿实验质控接收</w:t>
            </w:r>
          </w:p>
        </w:tc>
        <w:tc>
          <w:tcPr>
            <w:tcW w:type="dxa" w:w="4680"/>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wet_lab_qc#50；数值录入；判定及依据快照</w:t>
            </w:r>
          </w:p>
        </w:tc>
      </w:tr>
      <w:tr>
        <w:trPr>
          <w:cantSplit/>
        </w:trPr>
        <w:tc>
          <w:tcPr>
            <w:tcW w:type="dxa" w:w="2232"/>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3</w:t>
            </w:r>
          </w:p>
        </w:tc>
        <w:tc>
          <w:tcPr>
            <w:tcW w:type="dxa" w:w="3168"/>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生信质控更正</w:t>
            </w:r>
          </w:p>
        </w:tc>
        <w:tc>
          <w:tcPr>
            <w:tcW w:type="dxa" w:w="4680"/>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average_depth 500→620；判定前后值；源记录号</w:t>
            </w:r>
          </w:p>
        </w:tc>
      </w:tr>
      <w:tr>
        <w:trPr>
          <w:cantSplit/>
        </w:trPr>
        <w:tc>
          <w:tcPr>
            <w:tcW w:type="dxa" w:w="2232"/>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4</w:t>
            </w:r>
          </w:p>
        </w:tc>
        <w:tc>
          <w:tcPr>
            <w:tcW w:type="dxa" w:w="3168"/>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A10 文件重新驱动</w:t>
            </w:r>
          </w:p>
        </w:tc>
        <w:tc>
          <w:tcPr>
            <w:tcW w:type="dxa" w:w="4680"/>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某文件删除旧解析行并新增新行；一个事件展开全部变化</w:t>
            </w:r>
          </w:p>
        </w:tc>
      </w:tr>
      <w:tr>
        <w:trPr>
          <w:cantSplit/>
        </w:trPr>
        <w:tc>
          <w:tcPr>
            <w:tcW w:type="dxa" w:w="2232"/>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5</w:t>
            </w:r>
          </w:p>
        </w:tc>
        <w:tc>
          <w:tcPr>
            <w:tcW w:type="dxa" w:w="3168"/>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A10 报告 R30 解读</w:t>
            </w:r>
          </w:p>
        </w:tc>
        <w:tc>
          <w:tcPr>
            <w:tcW w:type="dxa" w:w="4680"/>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改靶／临床意义变更；源位点和共享历史对象分别列出</w:t>
            </w:r>
          </w:p>
        </w:tc>
      </w:tr>
      <w:tr>
        <w:trPr>
          <w:cantSplit/>
        </w:trPr>
        <w:tc>
          <w:tcPr>
            <w:tcW w:type="dxa" w:w="2232"/>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6</w:t>
            </w:r>
          </w:p>
        </w:tc>
        <w:tc>
          <w:tcPr>
            <w:tcW w:type="dxa" w:w="3168"/>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R30 第1次生成</w:t>
            </w:r>
          </w:p>
        </w:tc>
        <w:tc>
          <w:tcPr>
            <w:tcW w:type="dxa" w:w="4680"/>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输入 JSON、DOCX、PDF，各有制品号和校验值</w:t>
            </w:r>
          </w:p>
        </w:tc>
      </w:tr>
      <w:tr>
        <w:trPr>
          <w:cantSplit/>
        </w:trPr>
        <w:tc>
          <w:tcPr>
            <w:tcW w:type="dxa" w:w="2232"/>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7</w:t>
            </w:r>
          </w:p>
        </w:tc>
        <w:tc>
          <w:tcPr>
            <w:tcW w:type="dxa" w:w="3168"/>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R30 第2次生成</w:t>
            </w:r>
          </w:p>
        </w:tc>
        <w:tc>
          <w:tcPr>
            <w:tcW w:type="dxa" w:w="4680"/>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保留第1次；显示当次参数和报告字段变化</w:t>
            </w:r>
          </w:p>
        </w:tc>
      </w:tr>
      <w:tr>
        <w:trPr>
          <w:cantSplit/>
        </w:trPr>
        <w:tc>
          <w:tcPr>
            <w:tcW w:type="dxa" w:w="2232"/>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8</w:t>
            </w:r>
          </w:p>
        </w:tc>
        <w:tc>
          <w:tcPr>
            <w:tcW w:type="dxa" w:w="3168"/>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R30 第2次生成签署</w:t>
            </w:r>
          </w:p>
        </w:tc>
        <w:tc>
          <w:tcPr>
            <w:tcW w:type="dxa" w:w="4680"/>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签署 PDF 指向确切送签 PDF</w:t>
            </w:r>
          </w:p>
        </w:tc>
      </w:tr>
      <w:tr>
        <w:trPr>
          <w:cantSplit/>
        </w:trPr>
        <w:tc>
          <w:tcPr>
            <w:tcW w:type="dxa" w:w="2232"/>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9</w:t>
            </w:r>
          </w:p>
        </w:tc>
        <w:tc>
          <w:tcPr>
            <w:tcW w:type="dxa" w:w="3168"/>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R30 两次发送尝试</w:t>
            </w:r>
          </w:p>
        </w:tc>
        <w:tc>
          <w:tcPr>
            <w:tcW w:type="dxa" w:w="4680"/>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第一次失败、第二次服务商接受；各自附件与结果独立</w:t>
            </w:r>
          </w:p>
        </w:tc>
      </w:tr>
      <w:tr>
        <w:trPr>
          <w:cantSplit/>
        </w:trPr>
        <w:tc>
          <w:tcPr>
            <w:tcW w:type="dxa" w:w="2232"/>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10</w:t>
            </w:r>
          </w:p>
        </w:tc>
        <w:tc>
          <w:tcPr>
            <w:tcW w:type="dxa" w:w="3168"/>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A10 再次进入解读建 R31</w:t>
            </w:r>
          </w:p>
        </w:tc>
        <w:tc>
          <w:tcPr>
            <w:tcW w:type="dxa" w:w="4680"/>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新业务报告分支，不覆盖 R30 的交付记录</w:t>
            </w:r>
          </w:p>
        </w:tc>
      </w:tr>
      <w:tr>
        <w:trPr>
          <w:cantSplit/>
        </w:trPr>
        <w:tc>
          <w:tcPr>
            <w:tcW w:type="dxa" w:w="2232"/>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11</w:t>
            </w:r>
          </w:p>
        </w:tc>
        <w:tc>
          <w:tcPr>
            <w:tcW w:type="dxa" w:w="3168"/>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A20 后续分析</w:t>
            </w:r>
          </w:p>
        </w:tc>
        <w:tc>
          <w:tcPr>
            <w:tcW w:type="dxa" w:w="4680"/>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同一样本的新分析分支，与 A10 并列</w:t>
            </w:r>
          </w:p>
        </w:tc>
      </w:tr>
    </w:tbl>
    <w:p>
      <w:pPr>
        <w:spacing w:after="60" w:before="0" w:line="120" w:lineRule="auto"/>
      </w:pPr>
      <w:r>
        <w:rPr>
          <w:sz w:val="6"/>
        </w:rPr>
      </w:r>
    </w:p>
    <w:p>
      <w:pPr>
        <w:widowControl/>
        <w:jc w:val="left"/>
      </w:pPr>
      <w:r>
        <w:t>“报告与交付”按分析批次 → report_id → generation_no 分组，再列 JSON／DOCX／PDF／签署件及发送尝试。版本标签明确写“报告 R30 第2次生成”，不把不同报告的局部序号统称为全样本 V2。文件下载指向历史制品，发送记录显示实际附件，不能只有一个“当前报告”链接。</w:t>
      </w:r>
    </w:p>
    <w:p>
      <w:pPr>
        <w:pStyle w:val="Heading2"/>
        <w:jc w:val="left"/>
      </w:pPr>
      <w:r>
        <w:rPr>
          <w:rFonts w:ascii="Microsoft YaHei" w:hAnsi="Microsoft YaHei" w:eastAsia="Microsoft YaHei"/>
          <w:b/>
          <w:color w:val="000000"/>
        </w:rPr>
        <w:t>7.4 交互状态与组件约束</w:t>
      </w:r>
    </w:p>
    <w:p>
      <w:pPr>
        <w:widowControl/>
        <w:jc w:val="left"/>
      </w:pPr>
      <w:r>
        <w:t>沿用 Vue3／Naive UI、现有表格 hooks、分页、主题和抽屉规范，不引入新 UI 库。候选选择采用 NSelect 或候选列表；多条候选不自动默认选第一条。事件摘要、长字段值和多表明细可逐层展开，窄屏保留上下文并允许表格横向查看。</w:t>
      </w:r>
    </w:p>
    <w:p>
      <w:pPr>
        <w:widowControl/>
        <w:jc w:val="left"/>
      </w:pPr>
      <w:r>
        <w:t>空状态区分“该样本无审计”“当前筛选无结果”“启用前仅有基线”“关联待确认”。请求失败允许重试，禁止以空数组吞掉异常；无权访问返回明确拒绝。已删对象仍显示快照，业务跳转不可用时提示已删除。字段值和导入文本按纯文本展示，不执行其中的 HTML 或脚本。无复核、还原、删除审计按钮。</w:t>
      </w:r>
    </w:p>
    <w:p>
      <w:pPr>
        <w:pStyle w:val="Heading1"/>
        <w:jc w:val="left"/>
      </w:pPr>
      <w:r>
        <w:rPr>
          <w:rFonts w:ascii="Microsoft YaHei" w:hAnsi="Microsoft YaHei" w:eastAsia="Microsoft YaHei"/>
          <w:b/>
          <w:color w:val="000000"/>
        </w:rPr>
        <w:t>8 现有代码接入与实施顺序</w:t>
      </w:r>
    </w:p>
    <w:p>
      <w:pPr>
        <w:pStyle w:val="Heading2"/>
        <w:jc w:val="left"/>
      </w:pPr>
      <w:r>
        <w:rPr>
          <w:rFonts w:ascii="Microsoft YaHei" w:hAnsi="Microsoft YaHei" w:eastAsia="Microsoft YaHei"/>
          <w:b/>
          <w:color w:val="000000"/>
        </w:rPr>
        <w:t>8.1 接入清单</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7704"/>
      </w:tblGrid>
      <w:tr>
        <w:trPr>
          <w:cantSplit/>
          <w:tblHeader/>
        </w:trPr>
        <w:tc>
          <w:tcPr>
            <w:tcW w:type="dxa" w:w="2376"/>
            <w:vAlign w:val="center"/>
            <w:tcMar>
              <w:top w:w="75" w:type="dxa"/>
              <w:bottom w:w="75" w:type="dxa"/>
              <w:left w:w="90" w:type="dxa"/>
              <w:right w:w="90" w:type="dxa"/>
            </w:tcMar>
            <w:shd w:fill="DCE6F1"/>
          </w:tcPr>
          <w:p>
            <w:pPr>
              <w:spacing w:after="0" w:before="0" w:line="269" w:lineRule="auto"/>
              <w:jc w:val="left"/>
            </w:pPr>
            <w:r>
              <w:rPr>
                <w:rFonts w:ascii="Microsoft YaHei" w:hAnsi="Microsoft YaHei" w:eastAsia="Microsoft YaHei"/>
                <w:b/>
                <w:color w:val="000000"/>
                <w:sz w:val="19"/>
              </w:rPr>
              <w:t>真实入口或组件</w:t>
            </w:r>
          </w:p>
        </w:tc>
        <w:tc>
          <w:tcPr>
            <w:tcW w:type="dxa" w:w="7704"/>
            <w:vAlign w:val="center"/>
            <w:tcMar>
              <w:top w:w="75" w:type="dxa"/>
              <w:bottom w:w="75" w:type="dxa"/>
              <w:left w:w="90" w:type="dxa"/>
              <w:right w:w="90" w:type="dxa"/>
            </w:tcMar>
            <w:shd w:fill="DCE6F1"/>
          </w:tcPr>
          <w:p>
            <w:pPr>
              <w:spacing w:after="0" w:before="0" w:line="269" w:lineRule="auto"/>
              <w:jc w:val="left"/>
            </w:pPr>
            <w:r>
              <w:rPr>
                <w:rFonts w:ascii="Microsoft YaHei" w:hAnsi="Microsoft YaHei" w:eastAsia="Microsoft YaHei"/>
                <w:b/>
                <w:color w:val="000000"/>
                <w:sz w:val="19"/>
              </w:rPr>
              <w:t>拟议接入动作</w:t>
            </w:r>
          </w:p>
        </w:tc>
      </w:tr>
      <w:tr>
        <w:trPr>
          <w:cantSplit/>
        </w:trPr>
        <w:tc>
          <w:tcPr>
            <w:tcW w:type="dxa" w:w="2376"/>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SampleInfoServiceImpl</w:t>
            </w:r>
          </w:p>
        </w:tc>
        <w:tc>
          <w:tcPr>
            <w:tcW w:type="dxa" w:w="7704"/>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新增／修改／删除／Excel 每个提交单元留痕；改号补 alias；业务恢复保留 trace id</w:t>
            </w:r>
          </w:p>
        </w:tc>
      </w:tr>
      <w:tr>
        <w:trPr>
          <w:cantSplit/>
        </w:trPr>
        <w:tc>
          <w:tcPr>
            <w:tcW w:type="dxa" w:w="2376"/>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WetLabQcServiceImpl、BioinfoQcServiceImpl</w:t>
            </w:r>
          </w:p>
        </w:tc>
        <w:tc>
          <w:tcPr>
            <w:tcW w:type="dxa" w:w="7704"/>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接收、人工修改与删除；实际合并值及判定依据；歧义归属拦截；物理重建分别记录</w:t>
            </w:r>
          </w:p>
        </w:tc>
      </w:tr>
      <w:tr>
        <w:trPr>
          <w:cantSplit/>
        </w:trPr>
        <w:tc>
          <w:tcPr>
            <w:tcW w:type="dxa" w:w="2376"/>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SampleFlowServiceImpl</w:t>
            </w:r>
          </w:p>
        </w:tc>
        <w:tc>
          <w:tcPr>
            <w:tcW w:type="dxa" w:w="7704"/>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认领、状态变化与首次进入创建报告；纯跳转不生成数据变更事件</w:t>
            </w:r>
          </w:p>
        </w:tc>
      </w:tr>
      <w:tr>
        <w:trPr>
          <w:cantSplit/>
        </w:trPr>
        <w:tc>
          <w:tcPr>
            <w:tcW w:type="dxa" w:w="2376"/>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InterpretationServiceImpl</w:t>
            </w:r>
          </w:p>
        </w:tc>
        <w:tc>
          <w:tcPr>
            <w:tcW w:type="dxa" w:w="7704"/>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报告创建、看点完成、生信审核、位点是否报出等真实变化</w:t>
            </w:r>
          </w:p>
        </w:tc>
      </w:tr>
      <w:tr>
        <w:trPr>
          <w:cantSplit/>
        </w:trPr>
        <w:tc>
          <w:tcPr>
            <w:tcW w:type="dxa" w:w="2376"/>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InterpretationPreviewServiceImpl、VariantEditService</w:t>
            </w:r>
          </w:p>
        </w:tc>
        <w:tc>
          <w:tcPr>
            <w:tcW w:type="dxa" w:w="7704"/>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区分只读预览与实际参数／位点写入；事务内收集多表明细</w:t>
            </w:r>
          </w:p>
        </w:tc>
      </w:tr>
      <w:tr>
        <w:trPr>
          <w:cantSplit/>
        </w:trPr>
        <w:tc>
          <w:tcPr>
            <w:tcW w:type="dxa" w:w="2376"/>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ReportVariantHistoryWriter</w:t>
            </w:r>
          </w:p>
        </w:tc>
        <w:tc>
          <w:tcPr>
            <w:tcW w:type="dxa" w:w="7704"/>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提交冻结、复用、检出 upsert 及重提覆盖的真实前后值</w:t>
            </w:r>
          </w:p>
        </w:tc>
      </w:tr>
      <w:tr>
        <w:trPr>
          <w:cantSplit/>
        </w:trPr>
        <w:tc>
          <w:tcPr>
            <w:tcW w:type="dxa" w:w="2376"/>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ReportGenerationService</w:t>
            </w:r>
          </w:p>
        </w:tc>
        <w:tc>
          <w:tcPr>
            <w:tcW w:type="dxa" w:w="7704"/>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请求／失败／生成成功；冻结输入与制品；并发结果不覆盖新状态</w:t>
            </w:r>
          </w:p>
        </w:tc>
      </w:tr>
      <w:tr>
        <w:trPr>
          <w:cantSplit/>
        </w:trPr>
        <w:tc>
          <w:tcPr>
            <w:tcW w:type="dxa" w:w="2376"/>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ReportMailSendService</w:t>
            </w:r>
          </w:p>
        </w:tc>
        <w:tc>
          <w:tcPr>
            <w:tcW w:type="dxa" w:w="7704"/>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发送意图、实际附件制品、每次结果和报告状态；关联既有发送日志</w:t>
            </w:r>
          </w:p>
        </w:tc>
      </w:tr>
      <w:tr>
        <w:trPr>
          <w:cantSplit/>
        </w:trPr>
        <w:tc>
          <w:tcPr>
            <w:tcW w:type="dxa" w:w="2376"/>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报告签名实际启用实现</w:t>
            </w:r>
          </w:p>
        </w:tc>
        <w:tc>
          <w:tcPr>
            <w:tcW w:type="dxa" w:w="7704"/>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请求、回调、人工刷新、失败重试；必须先核验运行配置和真实调用链</w:t>
            </w:r>
          </w:p>
        </w:tc>
      </w:tr>
      <w:tr>
        <w:trPr>
          <w:cantSplit/>
        </w:trPr>
        <w:tc>
          <w:tcPr>
            <w:tcW w:type="dxa" w:w="2376"/>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外部文件驱动与数据写入方</w:t>
            </w:r>
          </w:p>
        </w:tc>
        <w:tc>
          <w:tcPr>
            <w:tcW w:type="dxa" w:w="7704"/>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清点实际写库入口；建立受控审计上下文，不假设仓库内组件覆盖外部副作用</w:t>
            </w:r>
          </w:p>
        </w:tc>
      </w:tr>
    </w:tbl>
    <w:p>
      <w:pPr>
        <w:spacing w:after="60" w:before="0" w:line="120" w:lineRule="auto"/>
      </w:pPr>
      <w:r>
        <w:rPr>
          <w:sz w:val="6"/>
        </w:rPr>
      </w:r>
    </w:p>
    <w:p>
      <w:pPr>
        <w:pStyle w:val="Heading2"/>
        <w:jc w:val="left"/>
      </w:pPr>
      <w:r>
        <w:rPr>
          <w:rFonts w:ascii="Microsoft YaHei" w:hAnsi="Microsoft YaHei" w:eastAsia="Microsoft YaHei"/>
          <w:b/>
          <w:color w:val="000000"/>
        </w:rPr>
        <w:t>8.2 存量迁移</w:t>
      </w:r>
    </w:p>
    <w:p>
      <w:pPr>
        <w:widowControl/>
        <w:jc w:val="left"/>
      </w:pPr>
      <w:r>
        <w:t>先只读体检运行库：租户与编号重复、空编号、编号复用、孤儿 analysis_id／report_id、跨租户关联、软删对象、外部源 id 冲突，以及仅剩最新路径的旧报告。体检结果不能由仓库 DDL 或模拟数据代替。</w:t>
      </w:r>
    </w:p>
    <w:p>
      <w:pPr>
        <w:widowControl/>
        <w:jc w:val="left"/>
      </w:pPr>
      <w:r>
        <w:t>为每条已确认样本身份分配 trace id；沿可信内部主键和经确认的一对一来源关系回填。仅同编号但无法证明一致的记录不强行合并，单独列为缺口。基线在共同快照或暂停写入窗口获取，记录切换时点；并行运行时须制定水位与增量补齐方案，避免切换丢变更。</w:t>
      </w:r>
    </w:p>
    <w:p>
      <w:pPr>
        <w:widowControl/>
        <w:jc w:val="left"/>
      </w:pPr>
      <w:r>
        <w:t>基线事件使用 BASELINE_IMPORTED，包含采集时间、来源表和当前快照。历史 create_time、update_time 仅作为来源元数据，不冒充过去每次修改。能够找到并校验的旧报告文件登记为 artifact_origin=LEGACY_IMPORT；无法证明生成顺序时 generation_no=NULL，缺失原始输入时 input_snapshot_ref=NULL，并在 dependencies_json 标明缺口。界面单独列出“历史导入，原版本未知”，不能把未知序号随意写成1。</w:t>
      </w:r>
    </w:p>
    <w:p>
      <w:pPr>
        <w:pStyle w:val="Heading2"/>
        <w:jc w:val="left"/>
      </w:pPr>
      <w:r>
        <w:rPr>
          <w:rFonts w:ascii="Microsoft YaHei" w:hAnsi="Microsoft YaHei" w:eastAsia="Microsoft YaHei"/>
          <w:b/>
          <w:color w:val="000000"/>
        </w:rPr>
        <w:t>8.3 分阶段交付</w:t>
      </w:r>
    </w:p>
    <w:p>
      <w:pPr>
        <w:widowControl/>
        <w:jc w:val="left"/>
      </w:pPr>
      <w:r>
        <w:t>第一步完成重复数据体检、身份规则和一条样本的端到端设计确认。第二步实现六表、trace 关联、统一写入与查询，并以样本／质控 CRUD 验证事务、差异和删除后查询。第三步接入解读多表、文件重驱动、报告多版本和交付尝试。第四步核对全部实际写入方、迁移基线及权限后再启用完整覆盖声明。</w:t>
      </w:r>
    </w:p>
    <w:p>
      <w:pPr>
        <w:widowControl/>
        <w:jc w:val="left"/>
      </w:pPr>
      <w:r>
        <w:t>本期结束标准是声明范围内的新增、修改、删除和过程都能查询，并能解释历史缺口；不以增加一个日志菜单代替业务入口接入。审计复核和还原不进入这四步验收。</w:t>
      </w:r>
    </w:p>
    <w:p>
      <w:pPr>
        <w:pStyle w:val="Heading1"/>
        <w:jc w:val="left"/>
      </w:pPr>
      <w:r>
        <w:rPr>
          <w:rFonts w:ascii="Microsoft YaHei" w:hAnsi="Microsoft YaHei" w:eastAsia="Microsoft YaHei"/>
          <w:b/>
          <w:color w:val="000000"/>
        </w:rPr>
        <w:t>9 验收用例设计</w:t>
      </w:r>
    </w:p>
    <w:p>
      <w:pPr>
        <w:widowControl/>
        <w:jc w:val="left"/>
      </w:pPr>
      <w:r>
        <w:t>以下均为待实施测试，不是已执行结果。应在隔离数据库与真实服务集成环境验证，前端以实际接口数据验证；设计示例不得冒充生产记录。</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3168"/>
        <w:gridCol w:w="4680"/>
      </w:tblGrid>
      <w:tr>
        <w:trPr>
          <w:cantSplit/>
          <w:tblHeader/>
        </w:trPr>
        <w:tc>
          <w:tcPr>
            <w:tcW w:type="dxa" w:w="2232"/>
            <w:vAlign w:val="center"/>
            <w:tcMar>
              <w:top w:w="75" w:type="dxa"/>
              <w:bottom w:w="75" w:type="dxa"/>
              <w:left w:w="90" w:type="dxa"/>
              <w:right w:w="90" w:type="dxa"/>
            </w:tcMar>
            <w:shd w:fill="DCE6F1"/>
          </w:tcPr>
          <w:p>
            <w:pPr>
              <w:spacing w:after="0" w:before="0" w:line="269" w:lineRule="auto"/>
              <w:jc w:val="left"/>
            </w:pPr>
            <w:r>
              <w:rPr>
                <w:rFonts w:ascii="Microsoft YaHei" w:hAnsi="Microsoft YaHei" w:eastAsia="Microsoft YaHei"/>
                <w:b/>
                <w:color w:val="000000"/>
                <w:sz w:val="19"/>
              </w:rPr>
              <w:t>编号</w:t>
            </w:r>
          </w:p>
        </w:tc>
        <w:tc>
          <w:tcPr>
            <w:tcW w:type="dxa" w:w="3168"/>
            <w:vAlign w:val="center"/>
            <w:tcMar>
              <w:top w:w="75" w:type="dxa"/>
              <w:bottom w:w="75" w:type="dxa"/>
              <w:left w:w="90" w:type="dxa"/>
              <w:right w:w="90" w:type="dxa"/>
            </w:tcMar>
            <w:shd w:fill="DCE6F1"/>
          </w:tcPr>
          <w:p>
            <w:pPr>
              <w:spacing w:after="0" w:before="0" w:line="269" w:lineRule="auto"/>
              <w:jc w:val="left"/>
            </w:pPr>
            <w:r>
              <w:rPr>
                <w:rFonts w:ascii="Microsoft YaHei" w:hAnsi="Microsoft YaHei" w:eastAsia="Microsoft YaHei"/>
                <w:b/>
                <w:color w:val="000000"/>
                <w:sz w:val="19"/>
              </w:rPr>
              <w:t>场景</w:t>
            </w:r>
          </w:p>
        </w:tc>
        <w:tc>
          <w:tcPr>
            <w:tcW w:type="dxa" w:w="4680"/>
            <w:vAlign w:val="center"/>
            <w:tcMar>
              <w:top w:w="75" w:type="dxa"/>
              <w:bottom w:w="75" w:type="dxa"/>
              <w:left w:w="90" w:type="dxa"/>
              <w:right w:w="90" w:type="dxa"/>
            </w:tcMar>
            <w:shd w:fill="DCE6F1"/>
          </w:tcPr>
          <w:p>
            <w:pPr>
              <w:spacing w:after="0" w:before="0" w:line="269" w:lineRule="auto"/>
              <w:jc w:val="left"/>
            </w:pPr>
            <w:r>
              <w:rPr>
                <w:rFonts w:ascii="Microsoft YaHei" w:hAnsi="Microsoft YaHei" w:eastAsia="Microsoft YaHei"/>
                <w:b/>
                <w:color w:val="000000"/>
                <w:sz w:val="19"/>
              </w:rPr>
              <w:t>预期结果</w:t>
            </w:r>
          </w:p>
        </w:tc>
      </w:tr>
      <w:tr>
        <w:trPr>
          <w:cantSplit/>
        </w:trPr>
        <w:tc>
          <w:tcPr>
            <w:tcW w:type="dxa" w:w="2232"/>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AT01</w:t>
            </w:r>
          </w:p>
        </w:tc>
        <w:tc>
          <w:tcPr>
            <w:tcW w:type="dxa" w:w="3168"/>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两药企同样本编号</w:t>
            </w:r>
          </w:p>
        </w:tc>
        <w:tc>
          <w:tcPr>
            <w:tcW w:type="dxa" w:w="4680"/>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普通用户只见本药企候选、计数、事件、详情及文件</w:t>
            </w:r>
          </w:p>
        </w:tc>
      </w:tr>
      <w:tr>
        <w:trPr>
          <w:cantSplit/>
        </w:trPr>
        <w:tc>
          <w:tcPr>
            <w:tcW w:type="dxa" w:w="2232"/>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AT02</w:t>
            </w:r>
          </w:p>
        </w:tc>
        <w:tc>
          <w:tcPr>
            <w:tcW w:type="dxa" w:w="3168"/>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同药企两条同编号存量行</w:t>
            </w:r>
          </w:p>
        </w:tc>
        <w:tc>
          <w:tcPr>
            <w:tcW w:type="dxa" w:w="4680"/>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搜索返回两个候选；无依据不合并，不自动取最大 id</w:t>
            </w:r>
          </w:p>
        </w:tc>
      </w:tr>
      <w:tr>
        <w:trPr>
          <w:cantSplit/>
        </w:trPr>
        <w:tc>
          <w:tcPr>
            <w:tcW w:type="dxa" w:w="2232"/>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AT03</w:t>
            </w:r>
          </w:p>
        </w:tc>
        <w:tc>
          <w:tcPr>
            <w:tcW w:type="dxa" w:w="3168"/>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编号 A 改 B</w:t>
            </w:r>
          </w:p>
        </w:tc>
        <w:tc>
          <w:tcPr>
            <w:tcW w:type="dxa" w:w="4680"/>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新旧编号均可找到同 trace id；事件显示 A→B</w:t>
            </w:r>
          </w:p>
        </w:tc>
      </w:tr>
      <w:tr>
        <w:trPr>
          <w:cantSplit/>
        </w:trPr>
        <w:tc>
          <w:tcPr>
            <w:tcW w:type="dxa" w:w="2232"/>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AT04</w:t>
            </w:r>
          </w:p>
        </w:tc>
        <w:tc>
          <w:tcPr>
            <w:tcW w:type="dxa" w:w="3168"/>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已删样本编号用于新取样</w:t>
            </w:r>
          </w:p>
        </w:tc>
        <w:tc>
          <w:tcPr>
            <w:tcW w:type="dxa" w:w="4680"/>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旧新 trace id 分离，旧历史仍可查询</w:t>
            </w:r>
          </w:p>
        </w:tc>
      </w:tr>
      <w:tr>
        <w:trPr>
          <w:cantSplit/>
        </w:trPr>
        <w:tc>
          <w:tcPr>
            <w:tcW w:type="dxa" w:w="2232"/>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AT05</w:t>
            </w:r>
          </w:p>
        </w:tc>
        <w:tc>
          <w:tcPr>
            <w:tcW w:type="dxa" w:w="3168"/>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原业务导入恢复软删原行</w:t>
            </w:r>
          </w:p>
        </w:tc>
        <w:tc>
          <w:tcPr>
            <w:tcW w:type="dxa" w:w="4680"/>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原 id／trace 不变；RESTORE 与字段变化可见</w:t>
            </w:r>
          </w:p>
        </w:tc>
      </w:tr>
      <w:tr>
        <w:trPr>
          <w:cantSplit/>
        </w:trPr>
        <w:tc>
          <w:tcPr>
            <w:tcW w:type="dxa" w:w="2232"/>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AT06</w:t>
            </w:r>
          </w:p>
        </w:tc>
        <w:tc>
          <w:tcPr>
            <w:tcW w:type="dxa" w:w="3168"/>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新增时默认值由数据库生成</w:t>
            </w:r>
          </w:p>
        </w:tc>
        <w:tc>
          <w:tcPr>
            <w:tcW w:type="dxa" w:w="4680"/>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新值为实际落库值；有真实主键</w:t>
            </w:r>
          </w:p>
        </w:tc>
      </w:tr>
      <w:tr>
        <w:trPr>
          <w:cantSplit/>
        </w:trPr>
        <w:tc>
          <w:tcPr>
            <w:tcW w:type="dxa" w:w="2232"/>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AT07</w:t>
            </w:r>
          </w:p>
        </w:tc>
        <w:tc>
          <w:tcPr>
            <w:tcW w:type="dxa" w:w="3168"/>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未传、空串、NULL、0、空数组</w:t>
            </w:r>
          </w:p>
        </w:tc>
        <w:tc>
          <w:tcPr>
            <w:tcW w:type="dxa" w:w="4680"/>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按真实更新语义区分，不伪造差异或丢失清空</w:t>
            </w:r>
          </w:p>
        </w:tc>
      </w:tr>
      <w:tr>
        <w:trPr>
          <w:cantSplit/>
        </w:trPr>
        <w:tc>
          <w:tcPr>
            <w:tcW w:type="dxa" w:w="2232"/>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AT08</w:t>
            </w:r>
          </w:p>
        </w:tc>
        <w:tc>
          <w:tcPr>
            <w:tcW w:type="dxa" w:w="3168"/>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一次多表多行更新</w:t>
            </w:r>
          </w:p>
        </w:tc>
        <w:tc>
          <w:tcPr>
            <w:tcW w:type="dxa" w:w="4680"/>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一个主事件，所有真实主键逐条明细；成员替换不是按下标配对</w:t>
            </w:r>
          </w:p>
        </w:tc>
      </w:tr>
      <w:tr>
        <w:trPr>
          <w:cantSplit/>
        </w:trPr>
        <w:tc>
          <w:tcPr>
            <w:tcW w:type="dxa" w:w="2232"/>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AT09</w:t>
            </w:r>
          </w:p>
        </w:tc>
        <w:tc>
          <w:tcPr>
            <w:tcW w:type="dxa" w:w="3168"/>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质控物理删旧插新</w:t>
            </w:r>
          </w:p>
        </w:tc>
        <w:tc>
          <w:tcPr>
            <w:tcW w:type="dxa" w:w="4680"/>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删除前快照和新主键均保留，可定位同样本内的替换</w:t>
            </w:r>
          </w:p>
        </w:tc>
      </w:tr>
      <w:tr>
        <w:trPr>
          <w:cantSplit/>
        </w:trPr>
        <w:tc>
          <w:tcPr>
            <w:tcW w:type="dxa" w:w="2232"/>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AT10</w:t>
            </w:r>
          </w:p>
        </w:tc>
        <w:tc>
          <w:tcPr>
            <w:tcW w:type="dxa" w:w="3168"/>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业务事务失败或审计写失败</w:t>
            </w:r>
          </w:p>
        </w:tc>
        <w:tc>
          <w:tcPr>
            <w:tcW w:type="dxa" w:w="4680"/>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业务与成功审计共同回滚；失败尝试不声称成功变更</w:t>
            </w:r>
          </w:p>
        </w:tc>
      </w:tr>
      <w:tr>
        <w:trPr>
          <w:cantSplit/>
        </w:trPr>
        <w:tc>
          <w:tcPr>
            <w:tcW w:type="dxa" w:w="2232"/>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AT11</w:t>
            </w:r>
          </w:p>
        </w:tc>
        <w:tc>
          <w:tcPr>
            <w:tcW w:type="dxa" w:w="3168"/>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两人并发改同一值</w:t>
            </w:r>
          </w:p>
        </w:tc>
        <w:tc>
          <w:tcPr>
            <w:tcW w:type="dxa" w:w="4680"/>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每个已提交事件前值对应真实前序状态；冲突请求明确拒绝</w:t>
            </w:r>
          </w:p>
        </w:tc>
      </w:tr>
      <w:tr>
        <w:trPr>
          <w:cantSplit/>
        </w:trPr>
        <w:tc>
          <w:tcPr>
            <w:tcW w:type="dxa" w:w="2232"/>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AT12</w:t>
            </w:r>
          </w:p>
        </w:tc>
        <w:tc>
          <w:tcPr>
            <w:tcW w:type="dxa" w:w="3168"/>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请求重放与有意重复操作</w:t>
            </w:r>
          </w:p>
        </w:tc>
        <w:tc>
          <w:tcPr>
            <w:tcW w:type="dxa" w:w="4680"/>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重放不重复业务副作用；有意再生成／再发送有独立尝试</w:t>
            </w:r>
          </w:p>
        </w:tc>
      </w:tr>
      <w:tr>
        <w:trPr>
          <w:cantSplit/>
        </w:trPr>
        <w:tc>
          <w:tcPr>
            <w:tcW w:type="dxa" w:w="2232"/>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AT13</w:t>
            </w:r>
          </w:p>
        </w:tc>
        <w:tc>
          <w:tcPr>
            <w:tcW w:type="dxa" w:w="3168"/>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批量部分成功／整批回滚</w:t>
            </w:r>
          </w:p>
        </w:tc>
        <w:tc>
          <w:tcPr>
            <w:tcW w:type="dxa" w:w="4680"/>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与接口约定一致；事件准确对应已提交单元和失败行</w:t>
            </w:r>
          </w:p>
        </w:tc>
      </w:tr>
      <w:tr>
        <w:trPr>
          <w:cantSplit/>
        </w:trPr>
        <w:tc>
          <w:tcPr>
            <w:tcW w:type="dxa" w:w="2232"/>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AT14</w:t>
            </w:r>
          </w:p>
        </w:tc>
        <w:tc>
          <w:tcPr>
            <w:tcW w:type="dxa" w:w="3168"/>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驳回重提并 upsert 检出历史</w:t>
            </w:r>
          </w:p>
        </w:tc>
        <w:tc>
          <w:tcPr>
            <w:tcW w:type="dxa" w:w="4680"/>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旧审计快照不覆盖，多表前后变化可比较</w:t>
            </w:r>
          </w:p>
        </w:tc>
      </w:tr>
      <w:tr>
        <w:trPr>
          <w:cantSplit/>
        </w:trPr>
        <w:tc>
          <w:tcPr>
            <w:tcW w:type="dxa" w:w="2232"/>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AT15</w:t>
            </w:r>
          </w:p>
        </w:tc>
        <w:tc>
          <w:tcPr>
            <w:tcW w:type="dxa" w:w="3168"/>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同报告两次生成，再新建另一报告</w:t>
            </w:r>
          </w:p>
        </w:tc>
        <w:tc>
          <w:tcPr>
            <w:tcW w:type="dxa" w:w="4680"/>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三层身份清晰；旧输入、文件与后续交付均可追踪</w:t>
            </w:r>
          </w:p>
        </w:tc>
      </w:tr>
      <w:tr>
        <w:trPr>
          <w:cantSplit/>
        </w:trPr>
        <w:tc>
          <w:tcPr>
            <w:tcW w:type="dxa" w:w="2232"/>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AT16</w:t>
            </w:r>
          </w:p>
        </w:tc>
        <w:tc>
          <w:tcPr>
            <w:tcW w:type="dxa" w:w="3168"/>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生成期间业务数据变化</w:t>
            </w:r>
          </w:p>
        </w:tc>
        <w:tc>
          <w:tcPr>
            <w:tcW w:type="dxa" w:w="4680"/>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旧结果标记过期，不能更新为当前报告制品</w:t>
            </w:r>
          </w:p>
        </w:tc>
      </w:tr>
      <w:tr>
        <w:trPr>
          <w:cantSplit/>
        </w:trPr>
        <w:tc>
          <w:tcPr>
            <w:tcW w:type="dxa" w:w="2232"/>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AT17</w:t>
            </w:r>
          </w:p>
        </w:tc>
        <w:tc>
          <w:tcPr>
            <w:tcW w:type="dxa" w:w="3168"/>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邮件超时、签名回调重复</w:t>
            </w:r>
          </w:p>
        </w:tc>
        <w:tc>
          <w:tcPr>
            <w:tcW w:type="dxa" w:w="4680"/>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不确定结果可见；重复回调无重复状态迁移；实际制品对应</w:t>
            </w:r>
          </w:p>
        </w:tc>
      </w:tr>
      <w:tr>
        <w:trPr>
          <w:cantSplit/>
        </w:trPr>
        <w:tc>
          <w:tcPr>
            <w:tcW w:type="dxa" w:w="2232"/>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AT18</w:t>
            </w:r>
          </w:p>
        </w:tc>
        <w:tc>
          <w:tcPr>
            <w:tcW w:type="dxa" w:w="3168"/>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一个事件含多个样本</w:t>
            </w:r>
          </w:p>
        </w:tc>
        <w:tc>
          <w:tcPr>
            <w:tcW w:type="dxa" w:w="4680"/>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单样本视图无其他样本敏感明细，事件只出现一次</w:t>
            </w:r>
          </w:p>
        </w:tc>
      </w:tr>
      <w:tr>
        <w:trPr>
          <w:cantSplit/>
        </w:trPr>
        <w:tc>
          <w:tcPr>
            <w:tcW w:type="dxa" w:w="2232"/>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AT19</w:t>
            </w:r>
          </w:p>
        </w:tc>
        <w:tc>
          <w:tcPr>
            <w:tcW w:type="dxa" w:w="3168"/>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删除业务行、改用户昵称、改模板名</w:t>
            </w:r>
          </w:p>
        </w:tc>
        <w:tc>
          <w:tcPr>
            <w:tcW w:type="dxa" w:w="4680"/>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历史仍可查；历史名称和输入快照保持当时含义</w:t>
            </w:r>
          </w:p>
        </w:tc>
      </w:tr>
      <w:tr>
        <w:trPr>
          <w:cantSplit/>
        </w:trPr>
        <w:tc>
          <w:tcPr>
            <w:tcW w:type="dxa" w:w="2232"/>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AT20</w:t>
            </w:r>
          </w:p>
        </w:tc>
        <w:tc>
          <w:tcPr>
            <w:tcW w:type="dxa" w:w="3168"/>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多页查询时插入新事件</w:t>
            </w:r>
          </w:p>
        </w:tc>
        <w:tc>
          <w:tcPr>
            <w:tcW w:type="dxa" w:w="4680"/>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固定上界与键集分页无重复；刷新后获取新事件</w:t>
            </w:r>
          </w:p>
        </w:tc>
      </w:tr>
      <w:tr>
        <w:trPr>
          <w:cantSplit/>
        </w:trPr>
        <w:tc>
          <w:tcPr>
            <w:tcW w:type="dxa" w:w="2232"/>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AT21</w:t>
            </w:r>
          </w:p>
        </w:tc>
        <w:tc>
          <w:tcPr>
            <w:tcW w:type="dxa" w:w="3168"/>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原始报告文件缺失</w:t>
            </w:r>
          </w:p>
        </w:tc>
        <w:tc>
          <w:tcPr>
            <w:tcW w:type="dxa" w:w="4680"/>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显示不可用，不下载当前版本替代</w:t>
            </w:r>
          </w:p>
        </w:tc>
      </w:tr>
      <w:tr>
        <w:trPr>
          <w:cantSplit/>
        </w:trPr>
        <w:tc>
          <w:tcPr>
            <w:tcW w:type="dxa" w:w="2232"/>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AT22</w:t>
            </w:r>
          </w:p>
        </w:tc>
        <w:tc>
          <w:tcPr>
            <w:tcW w:type="dxa" w:w="3168"/>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应用账号修改或清空 audit 表</w:t>
            </w:r>
          </w:p>
        </w:tc>
        <w:tc>
          <w:tcPr>
            <w:tcW w:type="dxa" w:w="4680"/>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数据库权限拒绝；无普通维护接口可绕过</w:t>
            </w:r>
          </w:p>
        </w:tc>
      </w:tr>
      <w:tr>
        <w:trPr>
          <w:cantSplit/>
        </w:trPr>
        <w:tc>
          <w:tcPr>
            <w:tcW w:type="dxa" w:w="2232"/>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AT23</w:t>
            </w:r>
          </w:p>
        </w:tc>
        <w:tc>
          <w:tcPr>
            <w:tcW w:type="dxa" w:w="3168"/>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存量基线与关联缺口</w:t>
            </w:r>
          </w:p>
        </w:tc>
        <w:tc>
          <w:tcPr>
            <w:tcW w:type="dxa" w:w="4680"/>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明确显示上线前不完整，不生成虚构历史事件</w:t>
            </w:r>
          </w:p>
        </w:tc>
      </w:tr>
      <w:tr>
        <w:trPr>
          <w:cantSplit/>
        </w:trPr>
        <w:tc>
          <w:tcPr>
            <w:tcW w:type="dxa" w:w="2232"/>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AT24</w:t>
            </w:r>
          </w:p>
        </w:tc>
        <w:tc>
          <w:tcPr>
            <w:tcW w:type="dxa" w:w="3168"/>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超过 JavaScript 精确整数范围的 id</w:t>
            </w:r>
          </w:p>
        </w:tc>
        <w:tc>
          <w:tcPr>
            <w:tcW w:type="dxa" w:w="4680"/>
            <w:vAlign w:val="center"/>
            <w:tcMar>
              <w:top w:w="75" w:type="dxa"/>
              <w:bottom w:w="75" w:type="dxa"/>
              <w:left w:w="90" w:type="dxa"/>
              <w:right w:w="90" w:type="dxa"/>
            </w:tcMar>
            <w:shd w:fill="F7F9FB"/>
          </w:tcPr>
          <w:p>
            <w:pPr>
              <w:spacing w:after="0" w:before="0" w:line="269" w:lineRule="auto"/>
              <w:jc w:val="left"/>
            </w:pPr>
            <w:r>
              <w:rPr>
                <w:rFonts w:ascii="Microsoft YaHei" w:hAnsi="Microsoft YaHei" w:eastAsia="Microsoft YaHei"/>
                <w:b w:val="0"/>
                <w:color w:val="000000"/>
                <w:sz w:val="19"/>
              </w:rPr>
              <w:t>API 与路由完整保留字符串 id，无错样本或错报告</w:t>
            </w:r>
          </w:p>
        </w:tc>
      </w:tr>
      <w:tr>
        <w:trPr>
          <w:cantSplit/>
        </w:trPr>
        <w:tc>
          <w:tcPr>
            <w:tcW w:type="dxa" w:w="2232"/>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AT25</w:t>
            </w:r>
          </w:p>
        </w:tc>
        <w:tc>
          <w:tcPr>
            <w:tcW w:type="dxa" w:w="3168"/>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新模块新增写入入口</w:t>
            </w:r>
          </w:p>
        </w:tc>
        <w:tc>
          <w:tcPr>
            <w:tcW w:type="dxa" w:w="4680"/>
            <w:vAlign w:val="center"/>
            <w:tcMar>
              <w:top w:w="75" w:type="dxa"/>
              <w:bottom w:w="75" w:type="dxa"/>
              <w:left w:w="90" w:type="dxa"/>
              <w:right w:w="90" w:type="dxa"/>
            </w:tcMar>
            <w:shd w:fill="FFFFFF"/>
          </w:tcPr>
          <w:p>
            <w:pPr>
              <w:spacing w:after="0" w:before="0" w:line="269" w:lineRule="auto"/>
              <w:jc w:val="left"/>
            </w:pPr>
            <w:r>
              <w:rPr>
                <w:rFonts w:ascii="Microsoft YaHei" w:hAnsi="Microsoft YaHei" w:eastAsia="Microsoft YaHei"/>
                <w:b w:val="0"/>
                <w:color w:val="000000"/>
                <w:sz w:val="19"/>
              </w:rPr>
              <w:t>接入清单与事务用例同步，未接入不能声明覆盖</w:t>
            </w:r>
          </w:p>
        </w:tc>
      </w:tr>
    </w:tbl>
    <w:p>
      <w:pPr>
        <w:spacing w:after="60" w:before="0" w:line="120" w:lineRule="auto"/>
      </w:pPr>
      <w:r>
        <w:rPr>
          <w:sz w:val="6"/>
        </w:rPr>
      </w:r>
    </w:p>
    <w:p>
      <w:pPr>
        <w:widowControl/>
        <w:jc w:val="left"/>
      </w:pPr>
      <w:r>
        <w:t>需求映射：AUD-01 对应 AT01、AT15、AT19、AT20、AT23；AUD-02 对应 AT06—AT14、AT17、AT18；AUD-03 对应 AT02—AT05、AT09、AT15、AT16；AUD-04 对应第4—8章及 AT21—AT25。</w:t>
      </w:r>
    </w:p>
    <w:p>
      <w:pPr>
        <w:pStyle w:val="Heading1"/>
        <w:jc w:val="left"/>
      </w:pPr>
      <w:r>
        <w:rPr>
          <w:rFonts w:ascii="Microsoft YaHei" w:hAnsi="Microsoft YaHei" w:eastAsia="Microsoft YaHei"/>
          <w:b/>
          <w:color w:val="000000"/>
        </w:rPr>
        <w:t>10 实施前确认与扩展边界</w:t>
      </w:r>
    </w:p>
    <w:p>
      <w:pPr>
        <w:widowControl/>
        <w:jc w:val="left"/>
      </w:pPr>
      <w:r>
        <w:t>需确认：同编号是否允许代表新的取样；上游能否提供稳定样本身份和幂等消息号；真实运行库的重复／孤儿情况；外部集群及脚本的写库边界；审计可见范围与敏感原值权限；文件及审计保留策略。这些不阻止本版方案评审，但不能在实现中用猜测补齐。</w:t>
      </w:r>
    </w:p>
    <w:p>
      <w:pPr>
        <w:widowControl/>
        <w:jc w:val="left"/>
      </w:pPr>
      <w:r>
        <w:t>本期不要求所有新增／自动同步都弹出“修改原因”。沿用已有业务原因，自动任务记录来源和规则依据；哪些人工关键更正必须填原因在业务确认后再约束，不能借审计设计无依据增加审批流程。</w:t>
      </w:r>
    </w:p>
    <w:p>
      <w:pPr>
        <w:widowControl/>
        <w:jc w:val="left"/>
      </w:pPr>
      <w:r>
        <w:t>未来复核可建立引用 event_id 与范围水位的独立记录；未来还原须重新检查权限、状态、外部副作用与兼容性，并以新的业务写入产生审计，不能篡改旧事件。本期不实现上述服务，也不承诺现有快照可自动恢复所有数据。</w:t>
      </w:r>
    </w:p>
    <w:p>
      <w:pPr>
        <w:widowControl/>
        <w:jc w:val="left"/>
      </w:pPr>
      <w:r>
        <w:t>正式开发仍须依当前后端、前端和 ai-rules 规范执行，特别是数据库闸门、结构闸门、可读性闸门及独立代码评审。本文件只完成设计，数据库、API、页面、迁移与上述25项业务用例均未实施。</w:t>
      </w:r>
    </w:p>
    <w:sectPr w:rsidR="00FC693F" w:rsidRPr="0006063C" w:rsidSect="00034616">
      <w:headerReference w:type="default" r:id="rId9"/>
      <w:footerReference w:type="default" r:id="rId10"/>
      <w:pgSz w:w="12240" w:h="15840"/>
      <w:pgMar w:top="936" w:right="1080" w:bottom="936" w:left="1080"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YaHei" w:hAnsi="Microsoft YaHei" w:eastAsia="Microsoft YaHei"/>
        <w:color w:val="000000"/>
        <w:sz w:val="16"/>
      </w:rPr>
      <w:t xml:space="preserve">V0.1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Microsoft YaHei" w:hAnsi="Microsoft YaHei" w:eastAsia="Microsoft YaHei"/>
        <w:color w:val="000000"/>
        <w:sz w:val="16"/>
      </w:rPr>
      <w:t>Biotech Plus  样本审计追踪  设计建议稿</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jc w:val="left"/>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Microsoft YaHei" w:hAnsi="Microsoft YaHei" w:eastAsia="Microsoft YaHe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Microsoft YaHei" w:hAnsi="Microsoft YaHei" w:eastAsia="Microsoft YaHe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Microsoft YaHei" w:hAnsi="Microsoft YaHei" w:eastAsia="Microsoft YaHei"/>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样本审计追踪功能说明书</dc:title>
  <dc:subject>新增修改删除留痕与样本全过程查询设计</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